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j16x0iax3no6" w:id="0"/>
      <w:bookmarkEnd w:id="0"/>
      <w:r w:rsidDel="00000000" w:rsidR="00000000" w:rsidRPr="00000000">
        <w:rPr>
          <w:b w:val="1"/>
          <w:color w:val="000000"/>
          <w:sz w:val="26"/>
          <w:szCs w:val="26"/>
          <w:rtl w:val="0"/>
        </w:rPr>
        <w:t xml:space="preserve">COVID-19 Average New Case Rate Analysis Report</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uwa9n7yga42r" w:id="1"/>
      <w:bookmarkEnd w:id="1"/>
      <w:r w:rsidDel="00000000" w:rsidR="00000000" w:rsidRPr="00000000">
        <w:rPr>
          <w:b w:val="1"/>
          <w:color w:val="000000"/>
          <w:sz w:val="22"/>
          <w:szCs w:val="22"/>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report presents an analysis of the average new COVID-19 case rates per million people. The analysis is broken down by the top 20 countries with the highest average new case rates and by continent to provide a regional perspective. The findings are based on data over a selected time period and highlight the countries and continents most impacted by new case rates.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972yi6an2dgx" w:id="2"/>
      <w:bookmarkEnd w:id="2"/>
      <w:r w:rsidDel="00000000" w:rsidR="00000000" w:rsidRPr="00000000">
        <w:rPr>
          <w:b w:val="1"/>
          <w:color w:val="000000"/>
          <w:sz w:val="26"/>
          <w:szCs w:val="26"/>
          <w:rtl w:val="0"/>
        </w:rPr>
        <w:t xml:space="preserve">Top 20 Countries with the Highest Average New Case Rate per Million</w:t>
      </w:r>
    </w:p>
    <w:p w:rsidR="00000000" w:rsidDel="00000000" w:rsidP="00000000" w:rsidRDefault="00000000" w:rsidRPr="00000000" w14:paraId="00000006">
      <w:pPr>
        <w:spacing w:after="240" w:before="240" w:lineRule="auto"/>
        <w:rPr/>
      </w:pPr>
      <w:r w:rsidDel="00000000" w:rsidR="00000000" w:rsidRPr="00000000">
        <w:rPr>
          <w:rtl w:val="0"/>
        </w:rPr>
        <w:t xml:space="preserve">The first chart focuses on the top 20 countries with the highest average new COVID-19 case rate per million people. This metric reflects the average daily increase in cases relative to the population size, which allows for a fair comparison across countries with varying population sizes.</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rtl w:val="0"/>
        </w:rPr>
        <w:t xml:space="preserve">Key Findings:</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b w:val="1"/>
          <w:rtl w:val="0"/>
        </w:rPr>
        <w:t xml:space="preserve">Seychelles</w:t>
      </w:r>
      <w:r w:rsidDel="00000000" w:rsidR="00000000" w:rsidRPr="00000000">
        <w:rPr>
          <w:rtl w:val="0"/>
        </w:rPr>
        <w:t xml:space="preserve">, </w:t>
      </w:r>
      <w:r w:rsidDel="00000000" w:rsidR="00000000" w:rsidRPr="00000000">
        <w:rPr>
          <w:b w:val="1"/>
          <w:rtl w:val="0"/>
        </w:rPr>
        <w:t xml:space="preserve">Montenegro</w:t>
      </w:r>
      <w:r w:rsidDel="00000000" w:rsidR="00000000" w:rsidRPr="00000000">
        <w:rPr>
          <w:rtl w:val="0"/>
        </w:rPr>
        <w:t xml:space="preserve">, and </w:t>
      </w:r>
      <w:r w:rsidDel="00000000" w:rsidR="00000000" w:rsidRPr="00000000">
        <w:rPr>
          <w:b w:val="1"/>
          <w:rtl w:val="0"/>
        </w:rPr>
        <w:t xml:space="preserve">Andorra</w:t>
      </w:r>
      <w:r w:rsidDel="00000000" w:rsidR="00000000" w:rsidRPr="00000000">
        <w:rPr>
          <w:rtl w:val="0"/>
        </w:rPr>
        <w:t xml:space="preserve"> top the list with the highest average new case rates per million, all exceeding 350 cases per million on average.</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Many of the countries with high rates are smaller countries, suggesting that even a moderate increase in absolute case numbers can significantly impact the per-million rate.</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Several European microstates and islands, including </w:t>
      </w:r>
      <w:r w:rsidDel="00000000" w:rsidR="00000000" w:rsidRPr="00000000">
        <w:rPr>
          <w:b w:val="1"/>
          <w:rtl w:val="0"/>
        </w:rPr>
        <w:t xml:space="preserve">San Marino</w:t>
      </w:r>
      <w:r w:rsidDel="00000000" w:rsidR="00000000" w:rsidRPr="00000000">
        <w:rPr>
          <w:rtl w:val="0"/>
        </w:rPr>
        <w:t xml:space="preserve">, </w:t>
      </w:r>
      <w:r w:rsidDel="00000000" w:rsidR="00000000" w:rsidRPr="00000000">
        <w:rPr>
          <w:b w:val="1"/>
          <w:rtl w:val="0"/>
        </w:rPr>
        <w:t xml:space="preserve">Malta</w:t>
      </w:r>
      <w:r w:rsidDel="00000000" w:rsidR="00000000" w:rsidRPr="00000000">
        <w:rPr>
          <w:rtl w:val="0"/>
        </w:rPr>
        <w:t xml:space="preserve">, and </w:t>
      </w:r>
      <w:r w:rsidDel="00000000" w:rsidR="00000000" w:rsidRPr="00000000">
        <w:rPr>
          <w:b w:val="1"/>
          <w:rtl w:val="0"/>
        </w:rPr>
        <w:t xml:space="preserve">Cyprus</w:t>
      </w:r>
      <w:r w:rsidDel="00000000" w:rsidR="00000000" w:rsidRPr="00000000">
        <w:rPr>
          <w:rtl w:val="0"/>
        </w:rPr>
        <w:t xml:space="preserve">, appear in the top 20, which might be due to high population densities and robust testing and reporting systems.</w:t>
      </w:r>
    </w:p>
    <w:p w:rsidR="00000000" w:rsidDel="00000000" w:rsidP="00000000" w:rsidRDefault="00000000" w:rsidRPr="00000000" w14:paraId="0000000B">
      <w:pPr>
        <w:numPr>
          <w:ilvl w:val="1"/>
          <w:numId w:val="2"/>
        </w:numPr>
        <w:spacing w:after="240" w:before="0" w:beforeAutospacing="0" w:lineRule="auto"/>
        <w:ind w:left="1440" w:hanging="360"/>
      </w:pPr>
      <w:r w:rsidDel="00000000" w:rsidR="00000000" w:rsidRPr="00000000">
        <w:rPr>
          <w:rtl w:val="0"/>
        </w:rPr>
        <w:t xml:space="preserve">Other notable countries include </w:t>
      </w:r>
      <w:r w:rsidDel="00000000" w:rsidR="00000000" w:rsidRPr="00000000">
        <w:rPr>
          <w:b w:val="1"/>
          <w:rtl w:val="0"/>
        </w:rPr>
        <w:t xml:space="preserve">Czechia</w:t>
      </w:r>
      <w:r w:rsidDel="00000000" w:rsidR="00000000" w:rsidRPr="00000000">
        <w:rPr>
          <w:rtl w:val="0"/>
        </w:rPr>
        <w:t xml:space="preserve">, </w:t>
      </w:r>
      <w:r w:rsidDel="00000000" w:rsidR="00000000" w:rsidRPr="00000000">
        <w:rPr>
          <w:b w:val="1"/>
          <w:rtl w:val="0"/>
        </w:rPr>
        <w:t xml:space="preserve">Israel</w:t>
      </w:r>
      <w:r w:rsidDel="00000000" w:rsidR="00000000" w:rsidRPr="00000000">
        <w:rPr>
          <w:rtl w:val="0"/>
        </w:rPr>
        <w:t xml:space="preserve">, and </w:t>
      </w:r>
      <w:r w:rsidDel="00000000" w:rsidR="00000000" w:rsidRPr="00000000">
        <w:rPr>
          <w:b w:val="1"/>
          <w:rtl w:val="0"/>
        </w:rPr>
        <w:t xml:space="preserve">Georgia</w:t>
      </w:r>
      <w:r w:rsidDel="00000000" w:rsidR="00000000" w:rsidRPr="00000000">
        <w:rPr>
          <w:rtl w:val="0"/>
        </w:rPr>
        <w:t xml:space="preserve">, indicating widespread impact across different regions and economic profiles.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to2k7rfjzexc" w:id="3"/>
      <w:bookmarkEnd w:id="3"/>
      <w:r w:rsidDel="00000000" w:rsidR="00000000" w:rsidRPr="00000000">
        <w:rPr>
          <w:b w:val="1"/>
          <w:color w:val="000000"/>
          <w:sz w:val="26"/>
          <w:szCs w:val="26"/>
          <w:rtl w:val="0"/>
        </w:rPr>
        <w:t xml:space="preserve">Average New Case Rate per Million by Continent</w:t>
      </w:r>
    </w:p>
    <w:p w:rsidR="00000000" w:rsidDel="00000000" w:rsidP="00000000" w:rsidRDefault="00000000" w:rsidRPr="00000000" w14:paraId="0000000E">
      <w:pPr>
        <w:spacing w:after="240" w:before="240" w:lineRule="auto"/>
        <w:rPr/>
      </w:pPr>
      <w:r w:rsidDel="00000000" w:rsidR="00000000" w:rsidRPr="00000000">
        <w:rPr>
          <w:rtl w:val="0"/>
        </w:rPr>
        <w:t xml:space="preserve">The second chart presents the average new COVID-19 case rate per million by continent, providing a broader view of the pandemic’s impact across large geographic regions.</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Key Findings:</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rtl w:val="0"/>
        </w:rPr>
        <w:t xml:space="preserve">Europe</w:t>
      </w:r>
      <w:r w:rsidDel="00000000" w:rsidR="00000000" w:rsidRPr="00000000">
        <w:rPr>
          <w:rtl w:val="0"/>
        </w:rPr>
        <w:t xml:space="preserve"> shows the highest average new case rate per million, with a significant lead over other continents. This could be attributed to multiple factors, including high population density, early pandemic peaks, and rigorous reporting standards.</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South America</w:t>
      </w:r>
      <w:r w:rsidDel="00000000" w:rsidR="00000000" w:rsidRPr="00000000">
        <w:rPr>
          <w:rtl w:val="0"/>
        </w:rPr>
        <w:t xml:space="preserve"> follows, with an average case rate close to 130 per million. This high rate may reflect the impact of multiple COVID-19 waves and varying public health responses across the continent.</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North America</w:t>
      </w:r>
      <w:r w:rsidDel="00000000" w:rsidR="00000000" w:rsidRPr="00000000">
        <w:rPr>
          <w:rtl w:val="0"/>
        </w:rPr>
        <w:t xml:space="preserve"> and </w:t>
      </w:r>
      <w:r w:rsidDel="00000000" w:rsidR="00000000" w:rsidRPr="00000000">
        <w:rPr>
          <w:b w:val="1"/>
          <w:rtl w:val="0"/>
        </w:rPr>
        <w:t xml:space="preserve">Asia</w:t>
      </w:r>
      <w:r w:rsidDel="00000000" w:rsidR="00000000" w:rsidRPr="00000000">
        <w:rPr>
          <w:rtl w:val="0"/>
        </w:rPr>
        <w:t xml:space="preserve"> also show notable average case rates, with North America higher than Asia. North America’s rate could be influenced by significant outbreaks in the United States, Canada, and Mexico.</w:t>
      </w:r>
    </w:p>
    <w:p w:rsidR="00000000" w:rsidDel="00000000" w:rsidP="00000000" w:rsidRDefault="00000000" w:rsidRPr="00000000" w14:paraId="00000013">
      <w:pPr>
        <w:numPr>
          <w:ilvl w:val="1"/>
          <w:numId w:val="1"/>
        </w:numPr>
        <w:spacing w:after="240" w:before="0" w:beforeAutospacing="0" w:lineRule="auto"/>
        <w:ind w:left="1440" w:hanging="360"/>
      </w:pPr>
      <w:r w:rsidDel="00000000" w:rsidR="00000000" w:rsidRPr="00000000">
        <w:rPr>
          <w:b w:val="1"/>
          <w:rtl w:val="0"/>
        </w:rPr>
        <w:t xml:space="preserve">Africa</w:t>
      </w:r>
      <w:r w:rsidDel="00000000" w:rsidR="00000000" w:rsidRPr="00000000">
        <w:rPr>
          <w:rtl w:val="0"/>
        </w:rPr>
        <w:t xml:space="preserve"> and </w:t>
      </w:r>
      <w:r w:rsidDel="00000000" w:rsidR="00000000" w:rsidRPr="00000000">
        <w:rPr>
          <w:b w:val="1"/>
          <w:rtl w:val="0"/>
        </w:rPr>
        <w:t xml:space="preserve">Oceania</w:t>
      </w:r>
      <w:r w:rsidDel="00000000" w:rsidR="00000000" w:rsidRPr="00000000">
        <w:rPr>
          <w:rtl w:val="0"/>
        </w:rPr>
        <w:t xml:space="preserve"> have the lowest average new case rates per million. This could reflect fewer cases reported, lower testing rates, or different pandemic timelines compared to other continents.</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97q08hi3zqv7" w:id="4"/>
      <w:bookmarkEnd w:id="4"/>
      <w:r w:rsidDel="00000000" w:rsidR="00000000" w:rsidRPr="00000000">
        <w:rPr>
          <w:b w:val="1"/>
          <w:color w:val="000000"/>
          <w:sz w:val="26"/>
          <w:szCs w:val="26"/>
          <w:rtl w:val="0"/>
        </w:rPr>
        <w:t xml:space="preserve">Conclusion</w:t>
      </w:r>
    </w:p>
    <w:p w:rsidR="00000000" w:rsidDel="00000000" w:rsidP="00000000" w:rsidRDefault="00000000" w:rsidRPr="00000000" w14:paraId="00000016">
      <w:pPr>
        <w:spacing w:after="240" w:before="240" w:lineRule="auto"/>
        <w:rPr/>
      </w:pPr>
      <w:r w:rsidDel="00000000" w:rsidR="00000000" w:rsidRPr="00000000">
        <w:rPr>
          <w:rtl w:val="0"/>
        </w:rPr>
        <w:t xml:space="preserve">The analysis highlights the significant variability in average new case rates across countries and continents:</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b w:val="1"/>
          <w:rtl w:val="0"/>
        </w:rPr>
        <w:t xml:space="preserve">Countries:</w:t>
      </w:r>
      <w:r w:rsidDel="00000000" w:rsidR="00000000" w:rsidRPr="00000000">
        <w:rPr>
          <w:rtl w:val="0"/>
        </w:rPr>
        <w:t xml:space="preserve"> Smaller countries and European microstates dominate the list of countries with the highest average new case rates per million. Factors such as population density, testing rates, and healthcare infrastructure play crucial roles in these trends.</w:t>
      </w:r>
    </w:p>
    <w:p w:rsidR="00000000" w:rsidDel="00000000" w:rsidP="00000000" w:rsidRDefault="00000000" w:rsidRPr="00000000" w14:paraId="00000018">
      <w:pPr>
        <w:numPr>
          <w:ilvl w:val="0"/>
          <w:numId w:val="3"/>
        </w:numPr>
        <w:spacing w:after="240" w:before="0" w:beforeAutospacing="0" w:lineRule="auto"/>
        <w:ind w:left="720" w:hanging="360"/>
      </w:pPr>
      <w:r w:rsidDel="00000000" w:rsidR="00000000" w:rsidRPr="00000000">
        <w:rPr>
          <w:b w:val="1"/>
          <w:rtl w:val="0"/>
        </w:rPr>
        <w:t xml:space="preserve">Continents:</w:t>
      </w:r>
      <w:r w:rsidDel="00000000" w:rsidR="00000000" w:rsidRPr="00000000">
        <w:rPr>
          <w:rtl w:val="0"/>
        </w:rPr>
        <w:t xml:space="preserve"> Europe stands out with the highest average case rate, suggesting a more widespread and possibly earlier impact. The rates for other continents vary, with South America, North America, and Asia showing higher rates than Africa and Oceania.</w:t>
      </w:r>
    </w:p>
    <w:p w:rsidR="00000000" w:rsidDel="00000000" w:rsidP="00000000" w:rsidRDefault="00000000" w:rsidRPr="00000000" w14:paraId="00000019">
      <w:pPr>
        <w:spacing w:after="240" w:before="240" w:lineRule="auto"/>
        <w:rPr/>
      </w:pPr>
      <w:r w:rsidDel="00000000" w:rsidR="00000000" w:rsidRPr="00000000">
        <w:rPr>
          <w:rtl w:val="0"/>
        </w:rPr>
        <w:t xml:space="preserve">This report provides insight into the geographic distribution of COVID-19’s impact based on new case rates per million people, emphasizing the pandemic's uneven spread and highlighting regions that might benefit from targeted health interventions and resources.</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