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o1bri6fznag" w:id="0"/>
      <w:bookmarkEnd w:id="0"/>
      <w:r w:rsidDel="00000000" w:rsidR="00000000" w:rsidRPr="00000000">
        <w:rPr>
          <w:b w:val="1"/>
          <w:color w:val="000000"/>
          <w:sz w:val="26"/>
          <w:szCs w:val="26"/>
          <w:rtl w:val="0"/>
        </w:rPr>
        <w:t xml:space="preserve">NBA Free Throw Dependency Analysis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7ycwhmmwaux"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report analyzes NBA players' reliance on free throws as part of their scoring, focusing on key metrics such as FT/PTS Ratio (percentage of total points from free throws) and FT Rate (FTA/FGA). The analysis spans from the NBA-ABA merger in 1976 through the 2010s, with a closer look at the period from 2000 to 2021. It also explores free throw dependency by player role (Big Men, Wings, and Guards) and by specific eras to understand trends over time.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q3yhvo1t3ubq" w:id="2"/>
      <w:bookmarkEnd w:id="2"/>
      <w:r w:rsidDel="00000000" w:rsidR="00000000" w:rsidRPr="00000000">
        <w:rPr>
          <w:b w:val="1"/>
          <w:color w:val="000000"/>
          <w:sz w:val="22"/>
          <w:szCs w:val="22"/>
          <w:rtl w:val="0"/>
        </w:rPr>
        <w:t xml:space="preserve">Data Source</w:t>
      </w:r>
    </w:p>
    <w:p w:rsidR="00000000" w:rsidDel="00000000" w:rsidP="00000000" w:rsidRDefault="00000000" w:rsidRPr="00000000" w14:paraId="00000005">
      <w:pPr>
        <w:spacing w:after="240" w:before="240" w:lineRule="auto"/>
        <w:rPr/>
      </w:pPr>
      <w:r w:rsidDel="00000000" w:rsidR="00000000" w:rsidRPr="00000000">
        <w:rPr>
          <w:rtl w:val="0"/>
        </w:rPr>
        <w:t xml:space="preserve">The analysis is based on NBA player stats from 1950 to 2021, filtering for players with significant on-court presence and scoring contributions (at least 1,000 points in a season). Calculations for FT/PTS Ratio and FT Rate provide insight into free throw dependency.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xfq1x2hlv1l" w:id="3"/>
      <w:bookmarkEnd w:id="3"/>
      <w:r w:rsidDel="00000000" w:rsidR="00000000" w:rsidRPr="00000000">
        <w:rPr>
          <w:b w:val="1"/>
          <w:color w:val="000000"/>
          <w:sz w:val="26"/>
          <w:szCs w:val="26"/>
          <w:rtl w:val="0"/>
        </w:rPr>
        <w:t xml:space="preserve">Analysis Overview</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xxd6rv0hj1c" w:id="4"/>
      <w:bookmarkEnd w:id="4"/>
      <w:r w:rsidDel="00000000" w:rsidR="00000000" w:rsidRPr="00000000">
        <w:rPr>
          <w:b w:val="1"/>
          <w:color w:val="000000"/>
          <w:sz w:val="22"/>
          <w:szCs w:val="22"/>
          <w:rtl w:val="0"/>
        </w:rPr>
        <w:t xml:space="preserve">1. Highest FT/PTS Ratios Since 1976 and 2000</w:t>
      </w:r>
    </w:p>
    <w:p w:rsidR="00000000" w:rsidDel="00000000" w:rsidP="00000000" w:rsidRDefault="00000000" w:rsidRPr="00000000" w14:paraId="00000008">
      <w:pPr>
        <w:spacing w:after="240" w:before="240" w:lineRule="auto"/>
        <w:rPr/>
      </w:pPr>
      <w:r w:rsidDel="00000000" w:rsidR="00000000" w:rsidRPr="00000000">
        <w:rPr>
          <w:rtl w:val="0"/>
        </w:rPr>
        <w:t xml:space="preserve">The top players with the highest FT/PTS ratios since 1976 and 2000 highlight those who relied heavily on free throws for their scoring:</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Since 1976</w:t>
      </w:r>
      <w:r w:rsidDel="00000000" w:rsidR="00000000" w:rsidRPr="00000000">
        <w:rPr>
          <w:rtl w:val="0"/>
        </w:rPr>
        <w:t xml:space="preserve">: Corey Maggette (2007–2008 season) recorded a high FT/PTS ratio, with 35.7% of his points from free throws.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Since 2000</w:t>
      </w:r>
      <w:r w:rsidDel="00000000" w:rsidR="00000000" w:rsidRPr="00000000">
        <w:rPr>
          <w:rtl w:val="0"/>
        </w:rPr>
        <w:t xml:space="preserve">: James Harden (2014–2015 season) stood out with a 32.2% FT/PTS ratio, indicating a strong reliance on free throws in his scoring strategy.</w:t>
      </w:r>
    </w:p>
    <w:p w:rsidR="00000000" w:rsidDel="00000000" w:rsidP="00000000" w:rsidRDefault="00000000" w:rsidRPr="00000000" w14:paraId="0000000B">
      <w:pPr>
        <w:spacing w:after="240" w:before="240" w:lineRule="auto"/>
        <w:rPr/>
      </w:pPr>
      <w:r w:rsidDel="00000000" w:rsidR="00000000" w:rsidRPr="00000000">
        <w:rPr>
          <w:rtl w:val="0"/>
        </w:rPr>
        <w:t xml:space="preserve">These players exemplify scoring styles built on drawing fouls and converting free throws.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w8r7g6xpvmv5" w:id="5"/>
      <w:bookmarkEnd w:id="5"/>
      <w:r w:rsidDel="00000000" w:rsidR="00000000" w:rsidRPr="00000000">
        <w:rPr>
          <w:b w:val="1"/>
          <w:color w:val="000000"/>
          <w:sz w:val="22"/>
          <w:szCs w:val="22"/>
          <w:rtl w:val="0"/>
        </w:rPr>
        <w:t xml:space="preserve">2. Parameters for Accurate FT Dependency Analysis</w:t>
      </w:r>
    </w:p>
    <w:p w:rsidR="00000000" w:rsidDel="00000000" w:rsidP="00000000" w:rsidRDefault="00000000" w:rsidRPr="00000000" w14:paraId="0000000D">
      <w:pPr>
        <w:spacing w:after="240" w:before="240" w:lineRule="auto"/>
        <w:rPr/>
      </w:pPr>
      <w:r w:rsidDel="00000000" w:rsidR="00000000" w:rsidRPr="00000000">
        <w:rPr>
          <w:rtl w:val="0"/>
        </w:rPr>
        <w:t xml:space="preserve">For accurate assessment, filters such as: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Minimum Points Scored</w:t>
      </w:r>
      <w:r w:rsidDel="00000000" w:rsidR="00000000" w:rsidRPr="00000000">
        <w:rPr>
          <w:rtl w:val="0"/>
        </w:rPr>
        <w:t xml:space="preserve">: 1000, 1500, and 2000 point thresholds help isolate players with substantial scoring contributions.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Minimum Minutes Played</w:t>
      </w:r>
      <w:r w:rsidDel="00000000" w:rsidR="00000000" w:rsidRPr="00000000">
        <w:rPr>
          <w:rtl w:val="0"/>
        </w:rPr>
        <w:t xml:space="preserve">: 1500 minutes was used as a baseline to focus on players with significant playing time.</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Era Comparisons</w:t>
      </w:r>
      <w:r w:rsidDel="00000000" w:rsidR="00000000" w:rsidRPr="00000000">
        <w:rPr>
          <w:rtl w:val="0"/>
        </w:rPr>
        <w:t xml:space="preserve">: Splitting the dataset by era (post-merger and post-2000) accounts for differences in playing style and rule changes over time.</w:t>
      </w:r>
    </w:p>
    <w:p w:rsidR="00000000" w:rsidDel="00000000" w:rsidP="00000000" w:rsidRDefault="00000000" w:rsidRPr="00000000" w14:paraId="00000011">
      <w:pPr>
        <w:spacing w:after="240" w:before="240" w:lineRule="auto"/>
        <w:rPr/>
      </w:pPr>
      <w:r w:rsidDel="00000000" w:rsidR="00000000" w:rsidRPr="00000000">
        <w:rPr>
          <w:rtl w:val="0"/>
        </w:rPr>
        <w:t xml:space="preserve">These parameters help isolate players who demonstrate sustained reliance on free throws.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coghfmopiti" w:id="6"/>
      <w:bookmarkEnd w:id="6"/>
      <w:r w:rsidDel="00000000" w:rsidR="00000000" w:rsidRPr="00000000">
        <w:rPr>
          <w:b w:val="1"/>
          <w:color w:val="000000"/>
          <w:sz w:val="22"/>
          <w:szCs w:val="22"/>
          <w:rtl w:val="0"/>
        </w:rPr>
        <w:t xml:space="preserve">3. Free Throw Dependency by Player Role</w:t>
      </w:r>
    </w:p>
    <w:p w:rsidR="00000000" w:rsidDel="00000000" w:rsidP="00000000" w:rsidRDefault="00000000" w:rsidRPr="00000000" w14:paraId="00000013">
      <w:pPr>
        <w:spacing w:after="240" w:before="240" w:lineRule="auto"/>
        <w:rPr/>
      </w:pPr>
      <w:r w:rsidDel="00000000" w:rsidR="00000000" w:rsidRPr="00000000">
        <w:rPr>
          <w:rtl w:val="0"/>
        </w:rPr>
        <w:t xml:space="preserve">To understand free throw dependency by role, players were grouped into three categories based on inferred positions: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Big Men</w:t>
      </w:r>
      <w:r w:rsidDel="00000000" w:rsidR="00000000" w:rsidRPr="00000000">
        <w:rPr>
          <w:rtl w:val="0"/>
        </w:rPr>
        <w:t xml:space="preserve">: Centers and Power Forwards, who often score near the basket and draw fouls.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Wings</w:t>
      </w:r>
      <w:r w:rsidDel="00000000" w:rsidR="00000000" w:rsidRPr="00000000">
        <w:rPr>
          <w:rtl w:val="0"/>
        </w:rPr>
        <w:t xml:space="preserve">: Small Forwards and Shooting Guards, who balance scoring inside and from mid-range.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Guards</w:t>
      </w:r>
      <w:r w:rsidDel="00000000" w:rsidR="00000000" w:rsidRPr="00000000">
        <w:rPr>
          <w:rtl w:val="0"/>
        </w:rPr>
        <w:t xml:space="preserve">: Point Guards and some Shooting Guards, who frequently handle the ball and drive to the basket.</w:t>
      </w:r>
    </w:p>
    <w:p w:rsidR="00000000" w:rsidDel="00000000" w:rsidP="00000000" w:rsidRDefault="00000000" w:rsidRPr="00000000" w14:paraId="00000017">
      <w:pPr>
        <w:pStyle w:val="Heading5"/>
        <w:keepNext w:val="0"/>
        <w:keepLines w:val="0"/>
        <w:spacing w:after="40" w:before="220" w:lineRule="auto"/>
        <w:rPr>
          <w:b w:val="1"/>
          <w:color w:val="000000"/>
          <w:sz w:val="20"/>
          <w:szCs w:val="20"/>
        </w:rPr>
      </w:pPr>
      <w:bookmarkStart w:colFirst="0" w:colLast="0" w:name="_2ngxs1jglove" w:id="7"/>
      <w:bookmarkEnd w:id="7"/>
      <w:r w:rsidDel="00000000" w:rsidR="00000000" w:rsidRPr="00000000">
        <w:rPr>
          <w:b w:val="1"/>
          <w:color w:val="000000"/>
          <w:sz w:val="20"/>
          <w:szCs w:val="20"/>
          <w:rtl w:val="0"/>
        </w:rPr>
        <w:t xml:space="preserve">Key Findings by Role</w:t>
      </w:r>
    </w:p>
    <w:p w:rsidR="00000000" w:rsidDel="00000000" w:rsidP="00000000" w:rsidRDefault="00000000" w:rsidRPr="00000000" w14:paraId="00000018">
      <w:pPr>
        <w:spacing w:after="240" w:before="240" w:lineRule="auto"/>
        <w:rPr/>
      </w:pPr>
      <w:r w:rsidDel="00000000" w:rsidR="00000000" w:rsidRPr="00000000">
        <w:rPr>
          <w:rtl w:val="0"/>
        </w:rPr>
        <w:t xml:space="preserve">The role-based analysis revealed distinct trends in free throw dependency:</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Big Men</w:t>
      </w:r>
      <w:r w:rsidDel="00000000" w:rsidR="00000000" w:rsidRPr="00000000">
        <w:rPr>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27.9%</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80.8%</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Big men showed the highest FT Rate, reflecting their tendency to draw fouls close to the basket, though they rely less on free throws for their overall points compared to Wings.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Wings</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24.3%</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41.3%</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Wings, known for versatile scoring, showed a balanced reliance on free throws as part of their scoring strategy, benefiting from fouls on drives and mid-range shots.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Guards</w:t>
      </w:r>
      <w:r w:rsidDel="00000000" w:rsidR="00000000" w:rsidRPr="00000000">
        <w:rPr>
          <w:rtl w:val="0"/>
        </w:rPr>
        <w:t xml:space="preserv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23.2%</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38.5%</w:t>
      </w:r>
    </w:p>
    <w:p w:rsidR="00000000" w:rsidDel="00000000" w:rsidP="00000000" w:rsidRDefault="00000000" w:rsidRPr="00000000" w14:paraId="00000024">
      <w:pPr>
        <w:numPr>
          <w:ilvl w:val="1"/>
          <w:numId w:val="5"/>
        </w:numPr>
        <w:spacing w:after="240" w:before="0" w:beforeAutospacing="0" w:lineRule="auto"/>
        <w:ind w:left="1440" w:hanging="360"/>
      </w:pPr>
      <w:r w:rsidDel="00000000" w:rsidR="00000000" w:rsidRPr="00000000">
        <w:rPr>
          <w:b w:val="1"/>
          <w:rtl w:val="0"/>
        </w:rPr>
        <w:t xml:space="preserve">Insight</w:t>
      </w:r>
      <w:r w:rsidDel="00000000" w:rsidR="00000000" w:rsidRPr="00000000">
        <w:rPr>
          <w:rtl w:val="0"/>
        </w:rPr>
        <w:t xml:space="preserve">: Guards had the lowest FT Rate but used free throws as a consistent part of their scoring, typically drawing fouls on drives to the basket.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ma26nnlge1qi" w:id="8"/>
      <w:bookmarkEnd w:id="8"/>
      <w:r w:rsidDel="00000000" w:rsidR="00000000" w:rsidRPr="00000000">
        <w:rPr>
          <w:b w:val="1"/>
          <w:color w:val="000000"/>
          <w:sz w:val="22"/>
          <w:szCs w:val="22"/>
          <w:rtl w:val="0"/>
        </w:rPr>
        <w:t xml:space="preserve">4. Free Throw Dependency by Decade</w:t>
      </w:r>
    </w:p>
    <w:p w:rsidR="00000000" w:rsidDel="00000000" w:rsidP="00000000" w:rsidRDefault="00000000" w:rsidRPr="00000000" w14:paraId="00000026">
      <w:pPr>
        <w:spacing w:after="240" w:before="240" w:lineRule="auto"/>
        <w:rPr/>
      </w:pPr>
      <w:r w:rsidDel="00000000" w:rsidR="00000000" w:rsidRPr="00000000">
        <w:rPr>
          <w:rtl w:val="0"/>
        </w:rPr>
        <w:t xml:space="preserve">To capture how free throw dependency evolved, an analysis by specific decades was performed, covering:</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1970s (1976-1979)</w:t>
      </w:r>
      <w:r w:rsidDel="00000000" w:rsidR="00000000" w:rsidRPr="00000000">
        <w:rPr>
          <w:rtl w:val="0"/>
        </w:rPr>
        <w:t xml:space="preserve">: Just after the NBA-ABA merger, showing foundational shifts in scoring and free throw strategy.</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1980s</w:t>
      </w:r>
      <w:r w:rsidDel="00000000" w:rsidR="00000000" w:rsidRPr="00000000">
        <w:rPr>
          <w:rtl w:val="0"/>
        </w:rPr>
        <w:t xml:space="preserve">: Physical play led to higher free throw rates, with key big men drawing fouls.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1990s</w:t>
      </w:r>
      <w:r w:rsidDel="00000000" w:rsidR="00000000" w:rsidRPr="00000000">
        <w:rPr>
          <w:rtl w:val="0"/>
        </w:rPr>
        <w:t xml:space="preserve">: Known for defensive intensity, this era featured rule changes impacting free throw opportunities.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2000s</w:t>
      </w:r>
      <w:r w:rsidDel="00000000" w:rsidR="00000000" w:rsidRPr="00000000">
        <w:rPr>
          <w:rtl w:val="0"/>
        </w:rPr>
        <w:t xml:space="preserve">: Guard-centric play emerged, with perimeter play affecting free throw rates.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2010s</w:t>
      </w:r>
      <w:r w:rsidDel="00000000" w:rsidR="00000000" w:rsidRPr="00000000">
        <w:rPr>
          <w:rtl w:val="0"/>
        </w:rPr>
        <w:t xml:space="preserve">: Small-ball and pace-and-space strategies influenced scoring and free throw dynamics.</w:t>
      </w:r>
    </w:p>
    <w:p w:rsidR="00000000" w:rsidDel="00000000" w:rsidP="00000000" w:rsidRDefault="00000000" w:rsidRPr="00000000" w14:paraId="0000002C">
      <w:pPr>
        <w:pStyle w:val="Heading5"/>
        <w:keepNext w:val="0"/>
        <w:keepLines w:val="0"/>
        <w:spacing w:after="40" w:before="220" w:lineRule="auto"/>
        <w:rPr>
          <w:b w:val="1"/>
          <w:color w:val="000000"/>
          <w:sz w:val="20"/>
          <w:szCs w:val="20"/>
        </w:rPr>
      </w:pPr>
      <w:bookmarkStart w:colFirst="0" w:colLast="0" w:name="_wo8qu2s1iwk2" w:id="9"/>
      <w:bookmarkEnd w:id="9"/>
      <w:r w:rsidDel="00000000" w:rsidR="00000000" w:rsidRPr="00000000">
        <w:rPr>
          <w:b w:val="1"/>
          <w:color w:val="000000"/>
          <w:sz w:val="20"/>
          <w:szCs w:val="20"/>
          <w:rtl w:val="0"/>
        </w:rPr>
        <w:t xml:space="preserve">Decade-Wise Summary</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1976–1979</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19.6%</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31.4%</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1980s</w:t>
      </w:r>
      <w:r w:rsidDel="00000000" w:rsidR="00000000" w:rsidRPr="00000000">
        <w:rPr>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20.6%</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34.4%</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1990s</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20.3%</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33.8%</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2000s</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20.8%</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33.8%</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2010s</w:t>
      </w:r>
      <w:r w:rsidDel="00000000" w:rsidR="00000000" w:rsidRPr="00000000">
        <w:rPr>
          <w:rtl w:val="0"/>
        </w:rPr>
        <w:t xml:space="preserve">:</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b w:val="1"/>
          <w:rtl w:val="0"/>
        </w:rPr>
        <w:t xml:space="preserve">FT/PTS Ratio</w:t>
      </w:r>
      <w:r w:rsidDel="00000000" w:rsidR="00000000" w:rsidRPr="00000000">
        <w:rPr>
          <w:rtl w:val="0"/>
        </w:rPr>
        <w:t xml:space="preserve">: 19.1%</w:t>
      </w:r>
    </w:p>
    <w:p w:rsidR="00000000" w:rsidDel="00000000" w:rsidP="00000000" w:rsidRDefault="00000000" w:rsidRPr="00000000" w14:paraId="0000003B">
      <w:pPr>
        <w:numPr>
          <w:ilvl w:val="1"/>
          <w:numId w:val="6"/>
        </w:numPr>
        <w:spacing w:after="240" w:before="0" w:beforeAutospacing="0" w:lineRule="auto"/>
        <w:ind w:left="1440" w:hanging="360"/>
      </w:pPr>
      <w:r w:rsidDel="00000000" w:rsidR="00000000" w:rsidRPr="00000000">
        <w:rPr>
          <w:b w:val="1"/>
          <w:rtl w:val="0"/>
        </w:rPr>
        <w:t xml:space="preserve">FT Rate</w:t>
      </w:r>
      <w:r w:rsidDel="00000000" w:rsidR="00000000" w:rsidRPr="00000000">
        <w:rPr>
          <w:rtl w:val="0"/>
        </w:rPr>
        <w:t xml:space="preserve">: 31.5%</w:t>
      </w:r>
    </w:p>
    <w:p w:rsidR="00000000" w:rsidDel="00000000" w:rsidP="00000000" w:rsidRDefault="00000000" w:rsidRPr="00000000" w14:paraId="0000003C">
      <w:pPr>
        <w:spacing w:after="240" w:before="240" w:lineRule="auto"/>
        <w:rPr/>
      </w:pPr>
      <w:r w:rsidDel="00000000" w:rsidR="00000000" w:rsidRPr="00000000">
        <w:rPr>
          <w:rtl w:val="0"/>
        </w:rPr>
        <w:t xml:space="preserve">The visualization illustrates shifts in FT/PTS ratio across positions and decades, showing how each role's reliance on free throws has evolved over time. Notably, Big Men maintained a high FT Rate across eras, reflecting their close-range, foul-drawing playstyle, while Guards and Wings saw gradual fluctuations based on era-specific strategies.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ah46do2up8hr"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This analysis reveals that Big Men generally have higher FT Rates, reflecting their role near the basket, while Guards and Wings use free throws as a strategic yet less dominant part of their scoring. Players like Corey Maggette and James Harden, particularly since 2000, exemplify modern players’ reliance on free throws.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