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COVID-19 Cases Analysis Report: Impact of Various Factors</w:t>
      </w:r>
    </w:p>
    <w:p w:rsidR="00000000" w:rsidDel="00000000" w:rsidP="00000000" w:rsidRDefault="00000000" w:rsidRPr="00000000" w14:paraId="00000002">
      <w:pPr>
        <w:spacing w:after="240" w:before="240" w:lineRule="auto"/>
        <w:rPr/>
      </w:pPr>
      <w:r w:rsidDel="00000000" w:rsidR="00000000" w:rsidRPr="00000000">
        <w:rPr>
          <w:rtl w:val="0"/>
        </w:rPr>
        <w:t xml:space="preserve">This report presents an analysis of various demographic, economic, and health-related factors that might influence the total number of COVID-19 cases. Data visualization and correlation analysis were employed to investigate trends and relationships with COVID-19 case counts across several key factors.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lwbnpr2w8fm" w:id="0"/>
      <w:bookmarkEnd w:id="0"/>
      <w:r w:rsidDel="00000000" w:rsidR="00000000" w:rsidRPr="00000000">
        <w:rPr>
          <w:b w:val="1"/>
          <w:color w:val="000000"/>
          <w:sz w:val="26"/>
          <w:szCs w:val="26"/>
          <w:rtl w:val="0"/>
        </w:rPr>
        <w:t xml:space="preserve">1. Impact of Vaccination Rates on COVID-19 Cases</w:t>
      </w:r>
    </w:p>
    <w:p w:rsidR="00000000" w:rsidDel="00000000" w:rsidP="00000000" w:rsidRDefault="00000000" w:rsidRPr="00000000" w14:paraId="00000004">
      <w:pPr>
        <w:spacing w:after="240" w:before="240" w:lineRule="auto"/>
        <w:rPr/>
      </w:pPr>
      <w:r w:rsidDel="00000000" w:rsidR="00000000" w:rsidRPr="00000000">
        <w:rPr>
          <w:b w:val="1"/>
          <w:rtl w:val="0"/>
        </w:rPr>
        <w:t xml:space="preserve">Objective</w:t>
      </w:r>
      <w:r w:rsidDel="00000000" w:rsidR="00000000" w:rsidRPr="00000000">
        <w:rPr>
          <w:rtl w:val="0"/>
        </w:rPr>
        <w:t xml:space="preserve">: Determine whether vaccination rates affect total COVID-19 cases globally.</w:t>
      </w:r>
    </w:p>
    <w:p w:rsidR="00000000" w:rsidDel="00000000" w:rsidP="00000000" w:rsidRDefault="00000000" w:rsidRPr="00000000" w14:paraId="00000005">
      <w:pPr>
        <w:spacing w:after="240" w:before="240" w:lineRule="auto"/>
        <w:rPr/>
      </w:pPr>
      <w:r w:rsidDel="00000000" w:rsidR="00000000" w:rsidRPr="00000000">
        <w:rPr>
          <w:b w:val="1"/>
          <w:rtl w:val="0"/>
        </w:rPr>
        <w:t xml:space="preserve">Findings</w:t>
      </w:r>
      <w:r w:rsidDel="00000000" w:rsidR="00000000" w:rsidRPr="00000000">
        <w:rPr>
          <w:rtl w:val="0"/>
        </w:rPr>
        <w:t xml:space="preserve">: A strong positive correlation (0.90) was found between total vaccinations and total COVID-19 cases. However, this correlation likely reflects the global response to increasing cases by ramping up vaccinations rather than suggesting that vaccinations directly increase case counts. Visualization over time showed that as vaccination rates increased, the growth rate of cases appeared to slow down. This result suggests that while vaccinations are essential, their impact on case reduction is complex and may be influenced by other factors like population density, public health measures, and variant emergence.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q5jukjjaav5" w:id="1"/>
      <w:bookmarkEnd w:id="1"/>
      <w:r w:rsidDel="00000000" w:rsidR="00000000" w:rsidRPr="00000000">
        <w:rPr>
          <w:b w:val="1"/>
          <w:color w:val="000000"/>
          <w:sz w:val="26"/>
          <w:szCs w:val="26"/>
          <w:rtl w:val="0"/>
        </w:rPr>
        <w:t xml:space="preserve">2. Influence of Economic Indicators (GDP and Poverty Levels) on COVID-19 Cases</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w:t>
      </w:r>
      <w:r w:rsidDel="00000000" w:rsidR="00000000" w:rsidRPr="00000000">
        <w:rPr>
          <w:rtl w:val="0"/>
        </w:rPr>
        <w:t xml:space="preserve">: Examine if GDP per capita and extreme poverty levels correlate with COVID-19 case counts.</w:t>
      </w:r>
    </w:p>
    <w:p w:rsidR="00000000" w:rsidDel="00000000" w:rsidP="00000000" w:rsidRDefault="00000000" w:rsidRPr="00000000" w14:paraId="00000008">
      <w:pPr>
        <w:spacing w:after="240" w:before="240" w:lineRule="auto"/>
        <w:rPr/>
      </w:pPr>
      <w:r w:rsidDel="00000000" w:rsidR="00000000" w:rsidRPr="00000000">
        <w:rPr>
          <w:b w:val="1"/>
          <w:rtl w:val="0"/>
        </w:rPr>
        <w:t xml:space="preserve">Findings</w:t>
      </w:r>
      <w:r w:rsidDel="00000000" w:rsidR="00000000" w:rsidRPr="00000000">
        <w:rPr>
          <w:rtl w:val="0"/>
        </w:rPr>
        <w:t xml:space="preserve">: Very weak correlations were observed between economic indicators and total COVID-19 cases: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GDP per capita</w:t>
      </w:r>
      <w:r w:rsidDel="00000000" w:rsidR="00000000" w:rsidRPr="00000000">
        <w:rPr>
          <w:rtl w:val="0"/>
        </w:rPr>
        <w:t xml:space="preserve"> and total cases: 0.039</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Extreme poverty</w:t>
      </w:r>
      <w:r w:rsidDel="00000000" w:rsidR="00000000" w:rsidRPr="00000000">
        <w:rPr>
          <w:rtl w:val="0"/>
        </w:rPr>
        <w:t xml:space="preserve"> and total cases: -0.035</w:t>
      </w:r>
    </w:p>
    <w:p w:rsidR="00000000" w:rsidDel="00000000" w:rsidP="00000000" w:rsidRDefault="00000000" w:rsidRPr="00000000" w14:paraId="0000000B">
      <w:pPr>
        <w:spacing w:after="240" w:before="240" w:lineRule="auto"/>
        <w:rPr/>
      </w:pPr>
      <w:r w:rsidDel="00000000" w:rsidR="00000000" w:rsidRPr="00000000">
        <w:rPr>
          <w:rtl w:val="0"/>
        </w:rPr>
        <w:t xml:space="preserve">These weak correlations, supported by scatter plots, suggest that economic factors alone do not have a significant relationship with the number of COVID-19 cases. This may indicate that while wealthier countries have more resources to respond to COVID-19, the virus spread does not appear to be strictly tied to economic status at the national level.</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8462uflp17s" w:id="2"/>
      <w:bookmarkEnd w:id="2"/>
      <w:r w:rsidDel="00000000" w:rsidR="00000000" w:rsidRPr="00000000">
        <w:rPr>
          <w:b w:val="1"/>
          <w:color w:val="000000"/>
          <w:sz w:val="26"/>
          <w:szCs w:val="26"/>
          <w:rtl w:val="0"/>
        </w:rPr>
        <w:t xml:space="preserve">3. Age Demographics and COVID-19 Cases</w:t>
      </w:r>
    </w:p>
    <w:p w:rsidR="00000000" w:rsidDel="00000000" w:rsidP="00000000" w:rsidRDefault="00000000" w:rsidRPr="00000000" w14:paraId="0000000D">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if age demographics (median age, percentage of population aged 65+ and 70+) impact COVID-19 case numbers.</w:t>
      </w:r>
    </w:p>
    <w:p w:rsidR="00000000" w:rsidDel="00000000" w:rsidP="00000000" w:rsidRDefault="00000000" w:rsidRPr="00000000" w14:paraId="0000000E">
      <w:pPr>
        <w:spacing w:after="240" w:before="240" w:lineRule="auto"/>
        <w:rPr/>
      </w:pPr>
      <w:r w:rsidDel="00000000" w:rsidR="00000000" w:rsidRPr="00000000">
        <w:rPr>
          <w:b w:val="1"/>
          <w:rtl w:val="0"/>
        </w:rPr>
        <w:t xml:space="preserve">Findings</w:t>
      </w:r>
      <w:r w:rsidDel="00000000" w:rsidR="00000000" w:rsidRPr="00000000">
        <w:rPr>
          <w:rtl w:val="0"/>
        </w:rPr>
        <w:t xml:space="preserve">: Analysis showed minimal correlation between age demographics and case counts: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Median age</w:t>
      </w:r>
      <w:r w:rsidDel="00000000" w:rsidR="00000000" w:rsidRPr="00000000">
        <w:rPr>
          <w:rtl w:val="0"/>
        </w:rPr>
        <w:t xml:space="preserve">: 0.033</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Population aged 65+</w:t>
      </w:r>
      <w:r w:rsidDel="00000000" w:rsidR="00000000" w:rsidRPr="00000000">
        <w:rPr>
          <w:rtl w:val="0"/>
        </w:rPr>
        <w:t xml:space="preserve">: 0.029</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Population aged 70+</w:t>
      </w:r>
      <w:r w:rsidDel="00000000" w:rsidR="00000000" w:rsidRPr="00000000">
        <w:rPr>
          <w:rtl w:val="0"/>
        </w:rPr>
        <w:t xml:space="preserve">: 0.026</w:t>
      </w:r>
    </w:p>
    <w:p w:rsidR="00000000" w:rsidDel="00000000" w:rsidP="00000000" w:rsidRDefault="00000000" w:rsidRPr="00000000" w14:paraId="00000012">
      <w:pPr>
        <w:spacing w:after="240" w:before="240" w:lineRule="auto"/>
        <w:rPr/>
      </w:pPr>
      <w:r w:rsidDel="00000000" w:rsidR="00000000" w:rsidRPr="00000000">
        <w:rPr>
          <w:rtl w:val="0"/>
        </w:rPr>
        <w:t xml:space="preserve">These results indicate that age demographics alone do not strongly influence case counts. However, age may play a more substantial role in the severity of cases or mortality rates rather than the raw count of cases. Scatter plots similarly showed no notable trend, suggesting that while older populations may be at higher risk, the sheer number of cases does not appear to be affected significantly by age distribution.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7wou47ysrn8" w:id="3"/>
      <w:bookmarkEnd w:id="3"/>
      <w:r w:rsidDel="00000000" w:rsidR="00000000" w:rsidRPr="00000000">
        <w:rPr>
          <w:b w:val="1"/>
          <w:color w:val="000000"/>
          <w:sz w:val="26"/>
          <w:szCs w:val="26"/>
          <w:rtl w:val="0"/>
        </w:rPr>
        <w:t xml:space="preserve">4. Smoking Rates and COVID-19 Cases</w:t>
      </w:r>
    </w:p>
    <w:p w:rsidR="00000000" w:rsidDel="00000000" w:rsidP="00000000" w:rsidRDefault="00000000" w:rsidRPr="00000000" w14:paraId="00000014">
      <w:pPr>
        <w:spacing w:after="240" w:before="240" w:lineRule="auto"/>
        <w:rPr/>
      </w:pPr>
      <w:r w:rsidDel="00000000" w:rsidR="00000000" w:rsidRPr="00000000">
        <w:rPr>
          <w:b w:val="1"/>
          <w:rtl w:val="0"/>
        </w:rPr>
        <w:t xml:space="preserve">Objective</w:t>
      </w:r>
      <w:r w:rsidDel="00000000" w:rsidR="00000000" w:rsidRPr="00000000">
        <w:rPr>
          <w:rtl w:val="0"/>
        </w:rPr>
        <w:t xml:space="preserve">: Analyze whether smoking rates among males and females influence COVID-19 case counts.</w:t>
      </w:r>
    </w:p>
    <w:p w:rsidR="00000000" w:rsidDel="00000000" w:rsidP="00000000" w:rsidRDefault="00000000" w:rsidRPr="00000000" w14:paraId="00000015">
      <w:pPr>
        <w:spacing w:after="240" w:before="240" w:lineRule="auto"/>
        <w:rPr/>
      </w:pPr>
      <w:r w:rsidDel="00000000" w:rsidR="00000000" w:rsidRPr="00000000">
        <w:rPr>
          <w:b w:val="1"/>
          <w:rtl w:val="0"/>
        </w:rPr>
        <w:t xml:space="preserve">Findings</w:t>
      </w:r>
      <w:r w:rsidDel="00000000" w:rsidR="00000000" w:rsidRPr="00000000">
        <w:rPr>
          <w:rtl w:val="0"/>
        </w:rPr>
        <w:t xml:space="preserve">: The correlation between smoking rates and COVID-19 cases was negligible: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Female smokers</w:t>
      </w:r>
      <w:r w:rsidDel="00000000" w:rsidR="00000000" w:rsidRPr="00000000">
        <w:rPr>
          <w:rtl w:val="0"/>
        </w:rPr>
        <w:t xml:space="preserve">: -0.004</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Male smokers</w:t>
      </w:r>
      <w:r w:rsidDel="00000000" w:rsidR="00000000" w:rsidRPr="00000000">
        <w:rPr>
          <w:rtl w:val="0"/>
        </w:rPr>
        <w:t xml:space="preserve">: -0.009</w:t>
      </w:r>
    </w:p>
    <w:p w:rsidR="00000000" w:rsidDel="00000000" w:rsidP="00000000" w:rsidRDefault="00000000" w:rsidRPr="00000000" w14:paraId="00000018">
      <w:pPr>
        <w:spacing w:after="240" w:before="240" w:lineRule="auto"/>
        <w:rPr/>
      </w:pPr>
      <w:r w:rsidDel="00000000" w:rsidR="00000000" w:rsidRPr="00000000">
        <w:rPr>
          <w:rtl w:val="0"/>
        </w:rPr>
        <w:t xml:space="preserve">These weak, near-zero correlations indicate that smoking rates do not significantly correlate with the total COVID-19 case count. This does not necessarily mean that smoking has no impact on COVID-19 outcomes; rather, it suggests that smoking rates do not strongly influence the overall number of infections.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xn8m07wczqu" w:id="4"/>
      <w:bookmarkEnd w:id="4"/>
      <w:r w:rsidDel="00000000" w:rsidR="00000000" w:rsidRPr="00000000">
        <w:rPr>
          <w:b w:val="1"/>
          <w:color w:val="000000"/>
          <w:sz w:val="26"/>
          <w:szCs w:val="26"/>
          <w:rtl w:val="0"/>
        </w:rPr>
        <w:t xml:space="preserve">5. Other Potential Influencing Factors</w:t>
      </w:r>
    </w:p>
    <w:p w:rsidR="00000000" w:rsidDel="00000000" w:rsidP="00000000" w:rsidRDefault="00000000" w:rsidRPr="00000000" w14:paraId="0000001A">
      <w:pPr>
        <w:spacing w:after="240" w:before="240" w:lineRule="auto"/>
        <w:rPr/>
      </w:pPr>
      <w:r w:rsidDel="00000000" w:rsidR="00000000" w:rsidRPr="00000000">
        <w:rPr>
          <w:b w:val="1"/>
          <w:rtl w:val="0"/>
        </w:rPr>
        <w:t xml:space="preserve">Objective</w:t>
      </w:r>
      <w:r w:rsidDel="00000000" w:rsidR="00000000" w:rsidRPr="00000000">
        <w:rPr>
          <w:rtl w:val="0"/>
        </w:rPr>
        <w:t xml:space="preserve">: Examine if other factors, such as population density, hospital infrastructure, life expectancy, and human development, impact COVID-19 cases.</w:t>
      </w:r>
    </w:p>
    <w:p w:rsidR="00000000" w:rsidDel="00000000" w:rsidP="00000000" w:rsidRDefault="00000000" w:rsidRPr="00000000" w14:paraId="0000001B">
      <w:pPr>
        <w:spacing w:after="240" w:before="240" w:lineRule="auto"/>
        <w:rPr/>
      </w:pPr>
      <w:r w:rsidDel="00000000" w:rsidR="00000000" w:rsidRPr="00000000">
        <w:rPr>
          <w:b w:val="1"/>
          <w:rtl w:val="0"/>
        </w:rPr>
        <w:t xml:space="preserve">Findings</w:t>
      </w:r>
      <w:r w:rsidDel="00000000" w:rsidR="00000000" w:rsidRPr="00000000">
        <w:rPr>
          <w:rtl w:val="0"/>
        </w:rPr>
        <w:t xml:space="preserve">: The following correlations with total cases were observed:</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Population density</w:t>
      </w:r>
      <w:r w:rsidDel="00000000" w:rsidR="00000000" w:rsidRPr="00000000">
        <w:rPr>
          <w:rtl w:val="0"/>
        </w:rPr>
        <w:t xml:space="preserve">: -0.027</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Hospital beds per thousand</w:t>
      </w:r>
      <w:r w:rsidDel="00000000" w:rsidR="00000000" w:rsidRPr="00000000">
        <w:rPr>
          <w:rtl w:val="0"/>
        </w:rPr>
        <w:t xml:space="preserve">: -0.011</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Life expectancy</w:t>
      </w:r>
      <w:r w:rsidDel="00000000" w:rsidR="00000000" w:rsidRPr="00000000">
        <w:rPr>
          <w:rtl w:val="0"/>
        </w:rPr>
        <w:t xml:space="preserve">: 0.014</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Human Development Index (HDI)</w:t>
      </w:r>
      <w:r w:rsidDel="00000000" w:rsidR="00000000" w:rsidRPr="00000000">
        <w:rPr>
          <w:rtl w:val="0"/>
        </w:rPr>
        <w:t xml:space="preserve">: 0.034</w:t>
      </w:r>
    </w:p>
    <w:p w:rsidR="00000000" w:rsidDel="00000000" w:rsidP="00000000" w:rsidRDefault="00000000" w:rsidRPr="00000000" w14:paraId="00000020">
      <w:pPr>
        <w:spacing w:after="240" w:before="240" w:lineRule="auto"/>
        <w:rPr/>
      </w:pPr>
      <w:r w:rsidDel="00000000" w:rsidR="00000000" w:rsidRPr="00000000">
        <w:rPr>
          <w:rtl w:val="0"/>
        </w:rPr>
        <w:t xml:space="preserve">None of these factors showed a strong correlation with COVID-19 cases. Scatter plots of these relationships confirmed minimal trends, indicating that these variables alone do not predict COVID-19 case numbers effectively.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sks2xsaf3wr"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This analysis indicates that no single demographic, economic, or health factor analyzed here is strongly correlated with total COVID-19 case counts. Factors such as age demographics, economic status, and smoking rates show minimal to no relationship with the number of cases. However, the strong correlation observed between vaccination efforts and case numbers likely reflects a global response rather than causation.</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