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rPr>
          <w:b/>
          <w:bCs/>
          <w:sz w:val="28"/>
          <w:szCs w:val="28"/>
        </w:rPr>
        <w:t xml:space="preserve">Expert Transformation Digitale • Spécialiste Transition Middleware-vers-IA</w:t>
      </w:r>
    </w:p>
    <w:p>
      <w:pPr>
        <w:spacing w:after="240"/>
        <w:jc w:val="center"/>
      </w:pPr>
      <w:r>
        <w:rPr>
          <w:color w:val="444444"/>
          <w:sz w:val="24"/>
          <w:szCs w:val="24"/>
        </w:rPr>
        <w:t xml:space="preserve">30+ Ans Systèmes Legacy | 1 An IA/ML | Leader Transformation</w:t>
      </w:r>
    </w:p>
    <w:p>
      <w:pPr>
        <w:pStyle w:val="Heading1"/>
      </w:pPr>
      <w:r>
        <w:rPr>
          <w:b/>
          <w:bCs/>
        </w:rPr>
        <w:t xml:space="preserve">RÉSUMÉ EXÉCUTIF</w:t>
      </w:r>
    </w:p>
    <w:p>
      <w:pPr>
        <w:spacing w:after="200"/>
      </w:pPr>
      <w:r>
        <w:rPr>
          <w:sz w:val="24"/>
          <w:szCs w:val="24"/>
        </w:rPr>
        <w:t xml:space="preserve">Expert Transformation Digitale guidant entreprises depuis middleware traditionnel vers architectures IA-enhanced. Fondation 30+ ans middleware/intégration permet roadmaps transformation crédibles, conscientes risques. 1 an IA/ML intensif avec 11 déploiements production prouve capacité exécuter solutions modernes. Capacité unique parler à la fois "langage legacy" (COBOL, mainframe, ESB) et "langage IA" (LLMs, microservices, cloud-native).</w:t>
      </w:r>
    </w:p>
    <w:p>
      <w:pPr>
        <w:pStyle w:val="Heading1"/>
      </w:pPr>
      <w:r>
        <w:rPr>
          <w:b/>
          <w:bCs/>
        </w:rPr>
        <w:t xml:space="preserve">CAPACITÉS TRANSFORMATION</w:t>
      </w:r>
    </w:p>
    <w:p>
      <w:pPr>
        <w:pStyle w:val="ListParagraph"/>
        <w:numPr>
          <w:ilvl w:val="0"/>
          <w:numId w:val="2"/>
        </w:numPr>
      </w:pPr>
      <w:r>
        <w:t xml:space="preserve">Évaluation Legacy: Compréhension profonde AS400, mainframe, COBOL, SAP, Oracle - sait ce qui PEUT et NE PEUT PAS changer</w:t>
      </w:r>
    </w:p>
    <w:p>
      <w:pPr>
        <w:pStyle w:val="ListParagraph"/>
        <w:numPr>
          <w:ilvl w:val="0"/>
          <w:numId w:val="2"/>
        </w:numPr>
      </w:pPr>
      <w:r>
        <w:t xml:space="preserve">Intégration IA: Capacité prouvée ajouter capacités LLM systèmes existants sans "rip and replace"</w:t>
      </w:r>
    </w:p>
    <w:p>
      <w:pPr>
        <w:pStyle w:val="ListParagraph"/>
        <w:numPr>
          <w:ilvl w:val="0"/>
          <w:numId w:val="2"/>
        </w:numPr>
      </w:pPr>
      <w:r>
        <w:t xml:space="preserve">Gestion Risques: 30 ans expérience = timelines réalistes, estimations coûts précises, mitigation risques</w:t>
      </w:r>
    </w:p>
    <w:p>
      <w:pPr>
        <w:pStyle w:val="ListParagraph"/>
        <w:numPr>
          <w:ilvl w:val="0"/>
          <w:numId w:val="2"/>
        </w:numPr>
      </w:pPr>
      <w:r>
        <w:t xml:space="preserve">Leadership Changement: Formé 100+ professionnels, mentoré équipes, géré attentes stakeholders</w:t>
      </w:r>
    </w:p>
    <w:p>
      <w:pPr>
        <w:pStyle w:val="ListParagraph"/>
        <w:numPr>
          <w:ilvl w:val="0"/>
          <w:numId w:val="2"/>
        </w:numPr>
      </w:pPr>
      <w:r>
        <w:t xml:space="preserve">Architectures Hybrides: Conçoit stratégies coexistence (legacy + cloud + IA travaillant ensemble)</w:t>
      </w:r>
    </w:p>
    <w:p>
      <w:pPr>
        <w:pStyle w:val="Heading1"/>
      </w:pPr>
      <w:r>
        <w:rPr>
          <w:b/>
          <w:bCs/>
        </w:rPr>
        <w:t xml:space="preserve">TRANSFORMATIONS MAJEURES MENÉES</w:t>
      </w:r>
    </w:p>
    <w:p>
      <w:pPr>
        <w:pStyle w:val="Heading2"/>
      </w:pPr>
      <w:r>
        <w:rPr>
          <w:b/>
          <w:bCs/>
        </w:rPr>
        <w:t xml:space="preserve">ING Belgique - Migration Cloud Hybride (2019-2025)</w:t>
      </w:r>
    </w:p>
    <w:p>
      <w:pPr>
        <w:pStyle w:val="ListParagraph"/>
        <w:numPr>
          <w:ilvl w:val="0"/>
          <w:numId w:val="2"/>
        </w:numPr>
      </w:pPr>
      <w:r>
        <w:t xml:space="preserve">Scope: Écosystème Axway Gateway (on-prem → Azure hybride), 150+ intégrations partenaires</w:t>
      </w:r>
    </w:p>
    <w:p>
      <w:pPr>
        <w:pStyle w:val="ListParagraph"/>
        <w:numPr>
          <w:ilvl w:val="0"/>
          <w:numId w:val="2"/>
        </w:numPr>
      </w:pPr>
      <w:r>
        <w:t xml:space="preserve">Challenge: Zéro disruption business permise, opération 24/7, conformité réglementaire (PCI-DSS, RGPD)</w:t>
      </w:r>
    </w:p>
    <w:p>
      <w:pPr>
        <w:pStyle w:val="ListParagraph"/>
        <w:numPr>
          <w:ilvl w:val="0"/>
          <w:numId w:val="2"/>
        </w:numPr>
      </w:pPr>
      <w:r>
        <w:t xml:space="preserve">Solution: Migration phasée, période dual-run, cutover automatisé, rollback compréhensif</w:t>
      </w:r>
    </w:p>
    <w:p>
      <w:pPr>
        <w:pStyle w:val="ListParagraph"/>
        <w:numPr>
          <w:ilvl w:val="0"/>
          <w:numId w:val="2"/>
        </w:numPr>
      </w:pPr>
      <w:r>
        <w:t xml:space="preserve">Résultats: ZÉRO downtime non planifié sur 18 mois, rétention 100% partenaires, réduction 35% coûts</w:t>
      </w:r>
    </w:p>
    <w:p>
      <w:pPr>
        <w:pStyle w:val="Heading2"/>
      </w:pPr>
      <w:r>
        <w:rPr>
          <w:b/>
          <w:bCs/>
        </w:rPr>
        <w:t xml:space="preserve">BNP Paribas Fortis - Transformation Digitale PSD2 (2017-2018)</w:t>
      </w:r>
    </w:p>
    <w:p>
      <w:pPr>
        <w:pStyle w:val="ListParagraph"/>
        <w:numPr>
          <w:ilvl w:val="0"/>
          <w:numId w:val="2"/>
        </w:numPr>
      </w:pPr>
      <w:r>
        <w:t xml:space="preserve">Challenge: Transformer APIs bancaires fermées vers standard PSD2 ouvert</w:t>
      </w:r>
    </w:p>
    <w:p>
      <w:pPr>
        <w:pStyle w:val="ListParagraph"/>
        <w:numPr>
          <w:ilvl w:val="0"/>
          <w:numId w:val="2"/>
        </w:numPr>
      </w:pPr>
      <w:r>
        <w:t xml:space="preserve">Solution: Nouvelle couche API Gateway, sécurité OAuth 2.0, portail développeurs, onboarding 150+ devs</w:t>
      </w:r>
    </w:p>
    <w:p>
      <w:pPr>
        <w:pStyle w:val="ListParagraph"/>
        <w:numPr>
          <w:ilvl w:val="0"/>
          <w:numId w:val="2"/>
        </w:numPr>
      </w:pPr>
      <w:r>
        <w:t xml:space="preserve">Résultats: Audit réglementaire passé, zéro findings critiques, temps réponse 290ms</w:t>
      </w:r>
    </w:p>
    <w:p>
      <w:pPr>
        <w:pStyle w:val="Heading1"/>
      </w:pPr>
      <w:r>
        <w:rPr>
          <w:b/>
          <w:bCs/>
        </w:rPr>
        <w:t xml:space="preserve">EXPÉRIENCE PROFESSIONNELLE</w:t>
      </w:r>
    </w:p>
    <w:p>
      <w:pPr>
        <w:pStyle w:val="Heading2"/>
      </w:pPr>
      <w:r>
        <w:rPr>
          <w:b/>
          <w:bCs/>
        </w:rPr>
        <w:t xml:space="preserve">40+ Projets Transformation (2007-2025)</w:t>
      </w:r>
    </w:p>
    <w:p>
      <w:pPr>
        <w:pStyle w:val="ListParagraph"/>
        <w:numPr>
          <w:ilvl w:val="0"/>
          <w:numId w:val="2"/>
        </w:numPr>
      </w:pPr>
      <w:r>
        <w:t xml:space="preserve">Bancaire: ING (6 ans), BNP Paribas (2 ans), banques Luxembourg, paiements Worldline</w:t>
      </w:r>
    </w:p>
    <w:p>
      <w:pPr>
        <w:pStyle w:val="ListParagraph"/>
        <w:numPr>
          <w:ilvl w:val="0"/>
          <w:numId w:val="2"/>
        </w:numPr>
      </w:pPr>
      <w:r>
        <w:t xml:space="preserve">Gouvernement: Ministère Finances France (15K users), projets fédéraux Belgique</w:t>
      </w:r>
    </w:p>
    <w:p>
      <w:pPr>
        <w:pStyle w:val="ListParagraph"/>
        <w:numPr>
          <w:ilvl w:val="0"/>
          <w:numId w:val="2"/>
        </w:numPr>
      </w:pPr>
      <w:r>
        <w:t xml:space="preserve">Taux Succès: 98% (2 projets retards, aucun échec)</w:t>
      </w:r>
    </w:p>
    <w:p>
      <w:pPr>
        <w:pStyle w:val="ListParagraph"/>
        <w:numPr>
          <w:ilvl w:val="0"/>
          <w:numId w:val="2"/>
        </w:numPr>
      </w:pPr>
      <w:r>
        <w:t xml:space="preserve">Géographique: Belgique, Luxembourg, France, Maroc, Pays-Bas</w:t>
      </w:r>
    </w:p>
    <w:p>
      <w:pPr>
        <w:pStyle w:val="Heading1"/>
      </w:pPr>
      <w:r>
        <w:rPr>
          <w:b/>
          <w:bCs/>
        </w:rPr>
        <w:t xml:space="preserve">FONDATION TECHNIQUE</w:t>
      </w:r>
    </w:p>
    <w:p>
      <w:pPr>
        <w:pStyle w:val="ListParagraph"/>
        <w:numPr>
          <w:ilvl w:val="0"/>
          <w:numId w:val="2"/>
        </w:numPr>
      </w:pPr>
      <w:r>
        <w:t xml:space="preserve">Legacy: Mainframe, AS400, COBOL, SAP, Oracle, IBM MQ, CICS, JCL</w:t>
      </w:r>
    </w:p>
    <w:p>
      <w:pPr>
        <w:pStyle w:val="ListParagraph"/>
        <w:numPr>
          <w:ilvl w:val="0"/>
          <w:numId w:val="2"/>
        </w:numPr>
      </w:pPr>
      <w:r>
        <w:t xml:space="preserve">Middleware: Axway (suite complète), ESB, ETL, transfert fichiers, message queuing</w:t>
      </w:r>
    </w:p>
    <w:p>
      <w:pPr>
        <w:pStyle w:val="ListParagraph"/>
        <w:numPr>
          <w:ilvl w:val="0"/>
          <w:numId w:val="2"/>
        </w:numPr>
      </w:pPr>
      <w:r>
        <w:t xml:space="preserve">Moderne: Cloud Azure, microservices, Docker/K8s, APIs REST, OAuth 2.0</w:t>
      </w:r>
    </w:p>
    <w:p>
      <w:pPr>
        <w:pStyle w:val="ListParagraph"/>
        <w:numPr>
          <w:ilvl w:val="0"/>
          <w:numId w:val="2"/>
        </w:numPr>
      </w:pPr>
      <w:r>
        <w:t xml:space="preserve">IA/ML: Intégration OpenAI, Claude, Mistral, LangChain, bases vecteurs</w:t>
      </w:r>
    </w:p>
    <w:p>
      <w:pPr>
        <w:pStyle w:val="Heading1"/>
      </w:pPr>
      <w:r>
        <w:rPr>
          <w:b/>
          <w:bCs/>
        </w:rPr>
        <w:t xml:space="preserve">POURQUOI CHOISIR BRUNO POUR VOTRE TRANSFORMATION</w:t>
      </w:r>
    </w:p>
    <w:p>
      <w:pPr>
        <w:pStyle w:val="ListParagraph"/>
        <w:numPr>
          <w:ilvl w:val="0"/>
          <w:numId w:val="2"/>
        </w:numPr>
      </w:pPr>
      <w:r>
        <w:t xml:space="preserve">Crédibilité: 30 ans = entreprises font confiance jugement sur ce qui est réaliste</w:t>
      </w:r>
    </w:p>
    <w:p>
      <w:pPr>
        <w:pStyle w:val="ListParagraph"/>
        <w:numPr>
          <w:ilvl w:val="0"/>
          <w:numId w:val="2"/>
        </w:numPr>
      </w:pPr>
      <w:r>
        <w:t xml:space="preserve">Compétences Modernes: 1 an IA/ML = peut réellement implémenter, pas juste consulter</w:t>
      </w:r>
    </w:p>
    <w:p>
      <w:pPr>
        <w:pStyle w:val="ListParagraph"/>
        <w:numPr>
          <w:ilvl w:val="0"/>
          <w:numId w:val="2"/>
        </w:numPr>
      </w:pPr>
      <w:r>
        <w:t xml:space="preserve">Conscient Risques: Sait où transformations échouent, conçoit éviter pièges communs</w:t>
      </w:r>
    </w:p>
    <w:p>
      <w:pPr>
        <w:pStyle w:val="ListParagraph"/>
        <w:numPr>
          <w:ilvl w:val="0"/>
          <w:numId w:val="2"/>
        </w:numPr>
      </w:pPr>
      <w:r>
        <w:t xml:space="preserve">Pont Culturel: Traduit entre "vieille garde" et "nouveaux innovateurs"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🚀 TRANSFORMATION SANS DISRUPTION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2025-12-22T00:53:36.117Z</dcterms:created>
  <dcterms:modified xsi:type="dcterms:W3CDTF">2025-12-22T00:53:36.117Z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