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 xml:space="preserve">Currently serving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2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spacing w:after="140"/>
      </w:pPr>
      <w:r>
        <w:t xml:space="preserve">Axway Certified Trainer status (2008-2016) - one of approximately 50 worldwide - with proven ability to design, implement, and optimize complex integration architectures while mentoring and training technical teams. Unique expertise combining legacy enterprise systems with modern cloud technologies and AI/ML capabilities.</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 / OpenID Connect / 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Secure Transport 5.x:</w:t>
      </w:r>
      <w:r>
        <w:t xml:space="preserve"> Enterprise MFT solution deployment, advanced routing configurations, community management (1000+ trading partners), compliance reporting (SOX, HIPAA, PCI-DSS), DMZ configurations for secure communications.</w:t>
      </w:r>
    </w:p>
    <w:p>
      <w:pPr>
        <w:pStyle w:val="ListParagraph"/>
        <w:numPr>
          <w:ilvl w:val="0"/>
          <w:numId w:val="2"/>
        </w:numPr>
      </w:pPr>
      <w:r>
        <w:rPr>
          <w:b/>
          <w:bCs/>
        </w:rPr>
        <w:t xml:space="preserve">Gateway XFB / Interpel:</w:t>
      </w:r>
      <w:r>
        <w:t xml:space="preserve"> Banking-specific protocols expert: EBICS (Electronic Banking Internet Communication Standard),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Message-Oriented Middleware:</w:t>
      </w:r>
      <w:r>
        <w:t xml:space="preserve"> IBM MQ (WebSphere MQ) integration and queue management, RabbitMQ for asynchronous messaging, message queuing patterns (point-to-point, publish-subscribe), message transformation and routing.</w:t>
      </w:r>
    </w:p>
    <w:p>
      <w:pPr>
        <w:pStyle w:val="ListParagraph"/>
        <w:numPr>
          <w:ilvl w:val="0"/>
          <w:numId w:val="2"/>
        </w:numPr>
      </w:pPr>
      <w:r>
        <w:rPr>
          <w:b/>
          <w:bCs/>
        </w:rPr>
        <w:t xml:space="preserve">Enterprise Integration Patterns:</w:t>
      </w:r>
      <w:r>
        <w:t xml:space="preserve"> Message routing (content-based router, message filter, dynamic router), message transformation (message translator, envelope wrapper, content enricher), messaging channels (point-to-point, publish-subscribe, datatype channel), message construction (command message, document message, event message).</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(transactions per second) on API Gateway implementations, optimized Transfer CFT for 1M+ daily file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OpenID Connect:</w:t>
      </w:r>
      <w:r>
        <w:t xml:space="preserve"> ID token validation, UserInfo endpoint implementation, session management, front-channel and back-channel logout, hybrid flow implementations, dynamic client registration.</w:t>
      </w:r>
    </w:p>
    <w:p>
      <w:pPr>
        <w:pStyle w:val="ListParagraph"/>
        <w:numPr>
          <w:ilvl w:val="0"/>
          <w:numId w:val="2"/>
        </w:numPr>
      </w:pPr>
      <w:r>
        <w:rPr>
          <w:b/>
          <w:bCs/>
        </w:rPr>
        <w:t xml:space="preserve">SAML 2.0:</w:t>
      </w:r>
      <w:r>
        <w:t xml:space="preserve"> Identity Provider (IdP) and Service Provider (SP) configurations, SSO (Single Sign-On) implementations, SLO (Single Logout), attribute mapping and transformation, federation metadata management, SAML assertion encryption and signing.</w:t>
      </w:r>
    </w:p>
    <w:p>
      <w:pPr>
        <w:pStyle w:val="ListParagraph"/>
        <w:numPr>
          <w:ilvl w:val="0"/>
          <w:numId w:val="2"/>
        </w:numPr>
      </w:pPr>
      <w:r>
        <w:rPr>
          <w:b/>
          <w:bCs/>
        </w:rPr>
        <w:t xml:space="preserve">WS-Security:</w:t>
      </w:r>
      <w:r>
        <w:t xml:space="preserve"> WS-Federation, WS-Trust STS (Security Token Service) implementations, message-level security, username token authentication, SAML token handling in SOAP web services.</w:t>
      </w:r>
    </w:p>
    <w:p>
      <w:pPr>
        <w:pStyle w:val="ListParagraph"/>
        <w:numPr>
          <w:ilvl w:val="0"/>
          <w:numId w:val="2"/>
        </w:numPr>
        <w:spacing w:after="120"/>
      </w:pPr>
      <w:r>
        <w:rPr>
          <w:b/>
          <w:bCs/>
        </w:rPr>
        <w:t xml:space="preserve">JSON Web Tokens (JWT):</w:t>
      </w:r>
      <w:r>
        <w:t xml:space="preserve"> JWT creation and validation, JWS (JSON Web Signature) and JWE (JSON Web Encryption), custom claims implementation, token expiration and renewal strategies, integration with API Gateway for stateless authentication.</w:t>
      </w:r>
    </w:p>
    <w:p>
      <w:pPr>
        <w:pStyle w:val="Heading3"/>
        <w:spacing w:before="120"/>
      </w:pPr>
      <w:r>
        <w:t xml:space="preserve">Cryptography &amp; PKI</w:t>
      </w:r>
    </w:p>
    <w:p>
      <w:pPr>
        <w:pStyle w:val="ListParagraph"/>
        <w:numPr>
          <w:ilvl w:val="0"/>
          <w:numId w:val="2"/>
        </w:numPr>
      </w:pPr>
      <w:r>
        <w:rPr>
          <w:b/>
          <w:bCs/>
        </w:rPr>
        <w:t xml:space="preserve">SSL/TLS Expertise:</w:t>
      </w:r>
      <w:r>
        <w:t xml:space="preserve"> TLS 1.2 and TLS 1.3 configuration and optimization, mutual TLS (mTLS) authentication for API security, cipher suite selection and hardening, certificate pinning, OCSP (Online Certificate Status Protocol) and CRL (Certificate Revocation List) implementation, perfect forward secrecy (PFS) configuration.</w:t>
      </w:r>
    </w:p>
    <w:p>
      <w:pPr>
        <w:pStyle w:val="ListParagraph"/>
        <w:numPr>
          <w:ilvl w:val="0"/>
          <w:numId w:val="2"/>
        </w:numPr>
      </w:pPr>
      <w:r>
        <w:rPr>
          <w:b/>
          <w:bCs/>
        </w:rPr>
        <w:t xml:space="preserve">Public Key Infrastructure (PKI):</w:t>
      </w:r>
      <w:r>
        <w:t xml:space="preserve"> Certificate Authority (CA) setup and management, intermediate CA creation, certificate lifecycle management (generation, renewal, revocation), certificate chain validation, cross-certification scenarios, key escrow and recovery procedures.</w:t>
      </w:r>
    </w:p>
    <w:p>
      <w:pPr>
        <w:pStyle w:val="ListParagraph"/>
        <w:numPr>
          <w:ilvl w:val="0"/>
          <w:numId w:val="2"/>
        </w:numPr>
      </w:pPr>
      <w:r>
        <w:rPr>
          <w:b/>
          <w:bCs/>
        </w:rPr>
        <w:t xml:space="preserve">Encryption Technologies:</w:t>
      </w:r>
      <w:r>
        <w:t xml:space="preserve"> XML Encryption and XML Signature (W3C standards), PGP/GPG for file encryption (symmetric and asymmetric), AES-256 implementation, RSA key management, Elliptic Curve Cryptography (ECC) for modern applications.</w:t>
      </w:r>
    </w:p>
    <w:p>
      <w:pPr>
        <w:pStyle w:val="ListParagraph"/>
        <w:numPr>
          <w:ilvl w:val="0"/>
          <w:numId w:val="2"/>
        </w:numPr>
        <w:spacing w:after="120"/>
      </w:pPr>
      <w:r>
        <w:rPr>
          <w:b/>
          <w:bCs/>
        </w:rPr>
        <w:t xml:space="preserve">Hardware Security Modules (HSM):</w:t>
      </w:r>
      <w:r>
        <w:t xml:space="preserve"> Integration with HSM devices for secure key storage, PKCS#11 interface usage, key generation and storage in HSM, cryptographic operations offloading for performance and security.</w:t>
      </w:r>
    </w:p>
    <w:p>
      <w:pPr>
        <w:pStyle w:val="Heading3"/>
        <w:spacing w:before="120"/>
      </w:pPr>
      <w:r>
        <w:t xml:space="preserve">Regulatory Compliance &amp; Security Standards</w:t>
      </w:r>
    </w:p>
    <w:p>
      <w:pPr>
        <w:pStyle w:val="ListParagraph"/>
        <w:numPr>
          <w:ilvl w:val="0"/>
          <w:numId w:val="2"/>
        </w:numPr>
      </w:pPr>
      <w:r>
        <w:rPr>
          <w:b/>
          <w:bCs/>
        </w:rPr>
        <w:t xml:space="preserve">PCI-DSS (Payment Card Industry):</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GDPR (General Data Protection Regulation):</w:t>
      </w:r>
      <w:r>
        <w:t xml:space="preserve"> Data protection by design and by default, consent management, data minimization principles, right to erasure implementation, data portability, privacy impact assessments (DPIA), data breach notification procedures.</w:t>
      </w:r>
    </w:p>
    <w:p>
      <w:pPr>
        <w:pStyle w:val="ListParagraph"/>
        <w:numPr>
          <w:ilvl w:val="0"/>
          <w:numId w:val="2"/>
        </w:numPr>
      </w:pPr>
      <w:r>
        <w:rPr>
          <w:b/>
          <w:bCs/>
        </w:rPr>
        <w:t xml:space="preserve">DORA (Digital Operational Resilience Act):</w:t>
      </w:r>
      <w:r>
        <w:t xml:space="preserve"> ICT risk management framework implementation, incident management and reporting, digital operational resilience testing, third-party risk management, information and intelligence sharing.</w:t>
      </w:r>
    </w:p>
    <w:p>
      <w:pPr>
        <w:pStyle w:val="ListParagraph"/>
        <w:numPr>
          <w:ilvl w:val="0"/>
          <w:numId w:val="2"/>
        </w:numPr>
      </w:pPr>
      <w:r>
        <w:rPr>
          <w:b/>
          <w:bCs/>
        </w:rPr>
        <w:t xml:space="preserve">PSD2 (Payment Services Directive 2):</w:t>
      </w:r>
      <w:r>
        <w:t xml:space="preserve"> Complete implementation at BNP Paribas Fortis: dedicated PSD2 gateway for Third Party Provider (TPP) access, Strong Customer Authentication (SCA), eIDAS (electronic IDentification, Authentication and trust Services) certificate validation, API security for AIS (Account Information Services) and PIS (Payment Initiation Services), regulatory compliance audit passed with zero critical findings.</w:t>
      </w:r>
    </w:p>
    <w:p>
      <w:pPr>
        <w:pStyle w:val="ListParagraph"/>
        <w:numPr>
          <w:ilvl w:val="0"/>
          <w:numId w:val="2"/>
        </w:numPr>
      </w:pPr>
      <w:r>
        <w:rPr>
          <w:b/>
          <w:bCs/>
        </w:rPr>
        <w:t xml:space="preserve">SOC 2 (System and Organization Controls):</w:t>
      </w:r>
      <w:r>
        <w:t xml:space="preserve"> Trust service criteria implementation (Security, Availability, Processing Integrity, Confidentiality, Privacy), control design and operational effectiveness, audit preparation and evidence collection.</w:t>
      </w:r>
    </w:p>
    <w:p>
      <w:pPr>
        <w:pStyle w:val="ListParagraph"/>
        <w:numPr>
          <w:ilvl w:val="0"/>
          <w:numId w:val="2"/>
        </w:numPr>
        <w:spacing w:after="120"/>
      </w:pPr>
      <w:r>
        <w:rPr>
          <w:b/>
          <w:bCs/>
        </w:rPr>
        <w:t xml:space="preserve">ISO 27001:</w:t>
      </w:r>
      <w:r>
        <w:t xml:space="preserve"> Information security management system (ISMS) principles, risk assessment methodologies, security controls implementation (Annex A), internal audit preparation, continuous improvement processes.</w:t>
      </w:r>
    </w:p>
    <w:p>
      <w:pPr>
        <w:pStyle w:val="Heading3"/>
        <w:spacing w:before="120"/>
      </w:pPr>
      <w:r>
        <w:t xml:space="preserve">Security Architecture &amp; Penetration Testing</w:t>
      </w:r>
    </w:p>
    <w:p>
      <w:pPr>
        <w:pStyle w:val="ListParagraph"/>
        <w:numPr>
          <w:ilvl w:val="0"/>
          <w:numId w:val="2"/>
        </w:numPr>
      </w:pPr>
      <w:r>
        <w:rPr>
          <w:b/>
          <w:bCs/>
        </w:rPr>
        <w:t xml:space="preserve">Penetration Testing:</w:t>
      </w:r>
      <w:r>
        <w:t xml:space="preserve"> 226+ penetration testing projects completed across career. Methodologies: OWASP Testing Guide, PTES (Penetration Testing Execution Standard), network scanning and enumeration, vulnerability assessment, exploitation techniques, privilege escalation, lateral movement, reporting and remediation guidance.</w:t>
      </w:r>
    </w:p>
    <w:p>
      <w:pPr>
        <w:pStyle w:val="ListParagraph"/>
        <w:numPr>
          <w:ilvl w:val="0"/>
          <w:numId w:val="2"/>
        </w:numPr>
      </w:pPr>
      <w:r>
        <w:rPr>
          <w:b/>
          <w:bCs/>
        </w:rPr>
        <w:t xml:space="preserve">OWASP Top 10:</w:t>
      </w:r>
      <w:r>
        <w:t xml:space="preserve"> Deep understanding and remediation experience: Injection attacks (SQL, LDAP, OS command), Broken Authentication, Sensitive Data Exposure, XML External Entities (XXE), Broken Access Control, Security Misconfiguration, Cross-Site Scripting (XSS), Insecure Deserialization, Using Components with Known Vulnerabilities, Insufficient Logging &amp; Monitoring.</w:t>
      </w:r>
    </w:p>
    <w:p>
      <w:pPr>
        <w:pStyle w:val="ListParagraph"/>
        <w:numPr>
          <w:ilvl w:val="0"/>
          <w:numId w:val="2"/>
        </w:numPr>
      </w:pPr>
      <w:r>
        <w:rPr>
          <w:b/>
          <w:bCs/>
        </w:rPr>
        <w:t xml:space="preserve">DMZ Architecture:</w:t>
      </w:r>
      <w:r>
        <w:t xml:space="preserve"> Multi-tier DMZ design for enterprise environments, network segmentation strategies, firewall rule design and optimization, intrusion detection/prevention system (IDS/IPS) configuration, reverse proxy deployment, load balancer security configuration.</w:t>
      </w:r>
    </w:p>
    <w:p>
      <w:pPr>
        <w:pStyle w:val="ListParagraph"/>
        <w:numPr>
          <w:ilvl w:val="0"/>
          <w:numId w:val="2"/>
        </w:numPr>
        <w:spacing w:after="140"/>
      </w:pPr>
      <w:r>
        <w:rPr>
          <w:b/>
          <w:bCs/>
        </w:rPr>
        <w:t xml:space="preserve">Security Hardening:</w:t>
      </w:r>
      <w:r>
        <w:t xml:space="preserve"> CIS (Center for Internet Security) benchmarks implementation, operating system hardening (Linux and Windows), application server security configuration, database security hardening, security baseline creation and enforcement, vulnerability scanning and patch management.</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pPr>
      <w:r>
        <w:rPr>
          <w:b/>
          <w:bCs/>
        </w:rPr>
        <w:t xml:space="preserve">Storage:</w:t>
      </w:r>
      <w:r>
        <w:t xml:space="preserve"> Azure Blob Storage for object storage, Azure Files for file shares, Azure Queue Storage for messaging, storage account security (SAS tokens, access policies), geo-redundant storage (GRS) and zone-redundant storage (ZRS) configurations.</w:t>
      </w:r>
    </w:p>
    <w:p>
      <w:pPr>
        <w:pStyle w:val="ListParagraph"/>
        <w:numPr>
          <w:ilvl w:val="0"/>
          <w:numId w:val="2"/>
        </w:numPr>
      </w:pPr>
      <w:r>
        <w:rPr>
          <w:b/>
          <w:bCs/>
        </w:rPr>
        <w:t xml:space="preserve">Security &amp; Identity:</w:t>
      </w:r>
      <w:r>
        <w:t xml:space="preserve"> Azure Key Vault for secrets management (certificates, keys, passwords), Managed Identities for secure service-to-service authentication, Azure Active Directory integration, RBAC (Role-Based Access Control) implementation, Conditional Access policies.</w:t>
      </w:r>
    </w:p>
    <w:p>
      <w:pPr>
        <w:pStyle w:val="ListParagraph"/>
        <w:numPr>
          <w:ilvl w:val="0"/>
          <w:numId w:val="2"/>
        </w:numPr>
      </w:pPr>
      <w:r>
        <w:rPr>
          <w:b/>
          <w:bCs/>
        </w:rPr>
        <w:t xml:space="preserve">Monitoring:</w:t>
      </w:r>
      <w:r>
        <w:t xml:space="preserve"> Azure Monitor for metrics and logs collection, Log Analytics workspace configuration, Application Insights for application performance monitoring, Azure Alerts and Action Groups, custom dashboards and workbooks.</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 Site-to-site VPN as backup connectivity.</w:t>
      </w:r>
    </w:p>
    <w:p>
      <w:pPr>
        <w:pStyle w:val="Heading3"/>
        <w:spacing w:before="120"/>
      </w:pPr>
      <w:r>
        <w:t xml:space="preserve">CI/CD &amp; DevOps Practices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Developed revolutionary CI/CD pipeline reducing deployment time from 4 hours to 20 minutes (92% time reduction). Solution included: automated testing, parallel execution, intelligent caching, conditional deployments, automated rollback on failure. Solution adopted by 3 other ING teams saving 1000+ annual hours across organization.</w:t>
      </w:r>
    </w:p>
    <w:p>
      <w:pPr>
        <w:pStyle w:val="ListParagraph"/>
        <w:numPr>
          <w:ilvl w:val="0"/>
          <w:numId w:val="2"/>
        </w:numPr>
        <w:spacing w:after="160"/>
      </w:pPr>
      <w:r>
        <w:rPr>
          <w:b/>
          <w:bCs/>
        </w:rPr>
        <w:t xml:space="preserve">Infrastructure as Code:</w:t>
      </w:r>
      <w:r>
        <w:t xml:space="preserve"> ARM (Azure Resource Manager) templates for infrastructure deployment, Terraform fundamentals for multi-cloud scenarios, configuration management, version control for infrastructure, blue-green deployment strategies, canary releases.</w:t>
      </w:r>
    </w:p>
    <w:p>
      <w:pPr>
        <w:spacing w:before="400"/>
        <w:jc w:val="center"/>
      </w:pPr>
      <w:r>
        <w:rPr>
          <w:i/>
          <w:iCs/>
          <w:color w:val="666666"/>
          <w:sz w:val="20"/>
          <w:szCs w:val="20"/>
        </w:rPr>
        <w:t xml:space="preserve">🚀 Available Immediately • Remote/Hybrid/On-site • International Mobility
Page 3 of 10 - Continued on next 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2025-12-20T22:21:10.447Z</dcterms:created>
  <dcterms:modified xsi:type="dcterms:W3CDTF">2025-12-20T22:21:10.448Z</dcterms:modified>
</cp:coreProperties>
</file>

<file path=docProps/custom.xml><?xml version="1.0" encoding="utf-8"?>
<Properties xmlns="http://schemas.openxmlformats.org/officeDocument/2006/custom-properties" xmlns:vt="http://schemas.openxmlformats.org/officeDocument/2006/docPropsVTypes"/>
</file>