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Rule="auto"/>
        <w:contextualSpacing w:val="0"/>
        <w:jc w:val="center"/>
        <w:rPr>
          <w:b w:val="1"/>
          <w:color w:val="1f497d"/>
          <w:sz w:val="20"/>
          <w:szCs w:val="20"/>
        </w:rPr>
      </w:pPr>
      <w:r w:rsidDel="00000000" w:rsidR="00000000" w:rsidRPr="00000000">
        <w:rPr>
          <w:rtl w:val="0"/>
        </w:rPr>
      </w:r>
    </w:p>
    <w:tbl>
      <w:tblPr>
        <w:tblStyle w:val="Table1"/>
        <w:tblW w:w="9340.0" w:type="dxa"/>
        <w:jc w:val="left"/>
        <w:tblInd w:w="0.0" w:type="dxa"/>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Layout w:type="fixed"/>
        <w:tblLook w:val="0400"/>
      </w:tblPr>
      <w:tblGrid>
        <w:gridCol w:w="1883"/>
        <w:gridCol w:w="7457"/>
        <w:tblGridChange w:id="0">
          <w:tblGrid>
            <w:gridCol w:w="1883"/>
            <w:gridCol w:w="7457"/>
          </w:tblGrid>
        </w:tblGridChange>
      </w:tblGrid>
      <w:tr>
        <w:tc>
          <w:tcPr>
            <w:tcBorders>
              <w:top w:color="4f81bd" w:space="0" w:sz="8" w:val="single"/>
              <w:left w:color="4f81bd" w:space="0" w:sz="8" w:val="single"/>
              <w:bottom w:color="4f81bd" w:space="0" w:sz="8" w:val="single"/>
              <w:right w:color="4f81bd" w:space="0" w:sz="8" w:val="single"/>
            </w:tcBorders>
            <w:shd w:fill="4f81bd" w:val="clear"/>
          </w:tcPr>
          <w:p w:rsidR="00000000" w:rsidDel="00000000" w:rsidP="00000000" w:rsidRDefault="00000000" w:rsidRPr="00000000">
            <w:pPr>
              <w:contextualSpacing w:val="0"/>
              <w:rPr>
                <w:color w:val="ffffff"/>
                <w:sz w:val="24"/>
                <w:szCs w:val="24"/>
              </w:rPr>
            </w:pPr>
            <w:r w:rsidDel="00000000" w:rsidR="00000000" w:rsidRPr="00000000">
              <w:rPr>
                <w:color w:val="ffffff"/>
                <w:sz w:val="24"/>
                <w:szCs w:val="24"/>
                <w:rtl w:val="0"/>
              </w:rPr>
              <w:t xml:space="preserve">Course:</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ISQA 4730/8736 – Decision Support Systems</w:t>
            </w:r>
          </w:p>
        </w:tc>
      </w:tr>
      <w:tr>
        <w:tc>
          <w:tcPr>
            <w:tcBorders>
              <w:top w:color="4f81bd" w:space="0" w:sz="8" w:val="single"/>
              <w:left w:color="4f81bd" w:space="0" w:sz="8" w:val="single"/>
              <w:bottom w:color="4f81bd" w:space="0" w:sz="8" w:val="single"/>
              <w:right w:color="4f81bd" w:space="0" w:sz="8" w:val="single"/>
            </w:tcBorders>
            <w:shd w:fill="4f81bd" w:val="clear"/>
          </w:tcPr>
          <w:p w:rsidR="00000000" w:rsidDel="00000000" w:rsidP="00000000" w:rsidRDefault="00000000" w:rsidRPr="00000000">
            <w:pPr>
              <w:contextualSpacing w:val="0"/>
              <w:rPr>
                <w:color w:val="ffffff"/>
                <w:sz w:val="24"/>
                <w:szCs w:val="24"/>
              </w:rPr>
            </w:pPr>
            <w:r w:rsidDel="00000000" w:rsidR="00000000" w:rsidRPr="00000000">
              <w:rPr>
                <w:color w:val="ffffff"/>
                <w:sz w:val="24"/>
                <w:szCs w:val="24"/>
                <w:rtl w:val="0"/>
              </w:rPr>
              <w:t xml:space="preserve">Document:</w:t>
            </w:r>
          </w:p>
        </w:tc>
        <w:tc>
          <w:tcPr>
            <w:tcBorders>
              <w:top w:color="4f81bd" w:space="0" w:sz="8" w:val="single"/>
              <w:left w:color="4f81bd" w:space="0" w:sz="8" w:val="single"/>
              <w:bottom w:color="4f81bd" w:space="0" w:sz="8" w:val="single"/>
              <w:right w:color="4f81bd" w:space="0" w:sz="8" w:val="single"/>
            </w:tcBorders>
            <w:shd w:fill="auto" w:val="cle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Video Review Form</w:t>
            </w:r>
          </w:p>
        </w:tc>
      </w:tr>
    </w:tbl>
    <w:p w:rsidR="00000000" w:rsidDel="00000000" w:rsidP="00000000" w:rsidRDefault="00000000" w:rsidRPr="00000000">
      <w:pPr>
        <w:spacing w:after="0" w:lineRule="auto"/>
        <w:contextualSpacing w:val="0"/>
        <w:rPr>
          <w:b w:val="1"/>
          <w:color w:val="1f497d"/>
          <w:sz w:val="20"/>
          <w:szCs w:val="20"/>
        </w:rPr>
      </w:pPr>
      <w:r w:rsidDel="00000000" w:rsidR="00000000" w:rsidRPr="00000000">
        <w:rPr>
          <w:rtl w:val="0"/>
        </w:rPr>
      </w:r>
    </w:p>
    <w:tbl>
      <w:tblPr>
        <w:tblStyle w:val="Table2"/>
        <w:tblW w:w="9340.0" w:type="dxa"/>
        <w:jc w:val="left"/>
        <w:tblInd w:w="0.0" w:type="dxa"/>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Layout w:type="fixed"/>
        <w:tblLook w:val="0400"/>
      </w:tblPr>
      <w:tblGrid>
        <w:gridCol w:w="1883"/>
        <w:gridCol w:w="7457"/>
        <w:tblGridChange w:id="0">
          <w:tblGrid>
            <w:gridCol w:w="1883"/>
            <w:gridCol w:w="7457"/>
          </w:tblGrid>
        </w:tblGridChange>
      </w:tblGrid>
      <w:tr>
        <w:tc>
          <w:tcPr>
            <w:tcBorders>
              <w:top w:color="4f81bd" w:space="0" w:sz="8" w:val="single"/>
              <w:left w:color="4f81bd" w:space="0" w:sz="8" w:val="single"/>
              <w:bottom w:color="4f81bd" w:space="0" w:sz="8" w:val="single"/>
              <w:right w:color="4f81bd" w:space="0" w:sz="8" w:val="single"/>
            </w:tcBorders>
            <w:shd w:fill="4f81bd" w:val="clear"/>
          </w:tcPr>
          <w:p w:rsidR="00000000" w:rsidDel="00000000" w:rsidP="00000000" w:rsidRDefault="00000000" w:rsidRPr="00000000">
            <w:pPr>
              <w:contextualSpacing w:val="0"/>
              <w:rPr>
                <w:color w:val="ffffff"/>
                <w:sz w:val="24"/>
                <w:szCs w:val="24"/>
              </w:rPr>
            </w:pPr>
            <w:r w:rsidDel="00000000" w:rsidR="00000000" w:rsidRPr="00000000">
              <w:rPr>
                <w:color w:val="ffffff"/>
                <w:sz w:val="24"/>
                <w:szCs w:val="24"/>
                <w:rtl w:val="0"/>
              </w:rPr>
              <w:t xml:space="preserve">Name:</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Brian Detweiler</w:t>
            </w:r>
          </w:p>
        </w:tc>
      </w:tr>
      <w:tr>
        <w:tc>
          <w:tcPr>
            <w:tcBorders>
              <w:top w:color="4f81bd" w:space="0" w:sz="8" w:val="single"/>
              <w:left w:color="4f81bd" w:space="0" w:sz="8" w:val="single"/>
              <w:bottom w:color="4f81bd" w:space="0" w:sz="8" w:val="single"/>
              <w:right w:color="4f81bd" w:space="0" w:sz="8" w:val="single"/>
            </w:tcBorders>
            <w:shd w:fill="4f81bd" w:val="clear"/>
          </w:tcPr>
          <w:p w:rsidR="00000000" w:rsidDel="00000000" w:rsidP="00000000" w:rsidRDefault="00000000" w:rsidRPr="00000000">
            <w:pPr>
              <w:contextualSpacing w:val="0"/>
              <w:rPr>
                <w:color w:val="ffffff"/>
                <w:sz w:val="24"/>
                <w:szCs w:val="24"/>
              </w:rPr>
            </w:pPr>
            <w:r w:rsidDel="00000000" w:rsidR="00000000" w:rsidRPr="00000000">
              <w:rPr>
                <w:color w:val="ffffff"/>
                <w:sz w:val="24"/>
                <w:szCs w:val="24"/>
                <w:rtl w:val="0"/>
              </w:rPr>
              <w:t xml:space="preserve">Lectures:</w:t>
            </w:r>
          </w:p>
        </w:tc>
        <w:tc>
          <w:tcPr>
            <w:tcBorders>
              <w:top w:color="4f81bd" w:space="0" w:sz="8" w:val="single"/>
              <w:left w:color="4f81bd" w:space="0" w:sz="8" w:val="single"/>
              <w:bottom w:color="4f81bd" w:space="0" w:sz="8" w:val="single"/>
              <w:right w:color="4f81bd" w:space="0" w:sz="8" w:val="single"/>
            </w:tcBorders>
            <w:shd w:fill="auto" w:val="cle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Week 4 - Data Warehouse</w:t>
            </w:r>
          </w:p>
        </w:tc>
      </w:tr>
      <w:tr>
        <w:tc>
          <w:tcPr>
            <w:tcBorders>
              <w:top w:color="4f81bd" w:space="0" w:sz="8" w:val="single"/>
              <w:left w:color="4f81bd" w:space="0" w:sz="8" w:val="single"/>
              <w:bottom w:color="4f81bd" w:space="0" w:sz="8" w:val="single"/>
              <w:right w:color="4f81bd" w:space="0" w:sz="8" w:val="single"/>
            </w:tcBorders>
            <w:shd w:fill="4f81bd" w:val="clear"/>
          </w:tcPr>
          <w:p w:rsidR="00000000" w:rsidDel="00000000" w:rsidP="00000000" w:rsidRDefault="00000000" w:rsidRPr="00000000">
            <w:pPr>
              <w:contextualSpacing w:val="0"/>
              <w:rPr>
                <w:color w:val="ffffff"/>
                <w:sz w:val="24"/>
                <w:szCs w:val="24"/>
              </w:rPr>
            </w:pPr>
            <w:r w:rsidDel="00000000" w:rsidR="00000000" w:rsidRPr="00000000">
              <w:rPr>
                <w:color w:val="ffffff"/>
                <w:sz w:val="24"/>
                <w:szCs w:val="24"/>
                <w:rtl w:val="0"/>
              </w:rPr>
              <w:t xml:space="preserve">Date:</w:t>
            </w:r>
          </w:p>
        </w:tc>
        <w:tc>
          <w:tcPr>
            <w:tcBorders>
              <w:top w:color="4f81bd" w:space="0" w:sz="8" w:val="single"/>
              <w:left w:color="4f81bd" w:space="0" w:sz="8" w:val="single"/>
              <w:bottom w:color="4f81bd" w:space="0" w:sz="8" w:val="single"/>
              <w:right w:color="4f81bd" w:space="0" w:sz="8" w:val="single"/>
            </w:tcBorders>
            <w:shd w:fill="auto" w:val="cle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September 13th, 2017</w:t>
            </w:r>
          </w:p>
        </w:tc>
      </w:tr>
    </w:tbl>
    <w:p w:rsidR="00000000" w:rsidDel="00000000" w:rsidP="00000000" w:rsidRDefault="00000000" w:rsidRPr="00000000">
      <w:pPr>
        <w:spacing w:after="0" w:lineRule="auto"/>
        <w:contextualSpacing w:val="0"/>
        <w:rPr/>
      </w:pPr>
      <w:r w:rsidDel="00000000" w:rsidR="00000000" w:rsidRPr="00000000">
        <w:rPr>
          <w:rtl w:val="0"/>
        </w:rPr>
      </w:r>
    </w:p>
    <w:tbl>
      <w:tblPr>
        <w:tblStyle w:val="Table3"/>
        <w:tblW w:w="9576.0" w:type="dxa"/>
        <w:jc w:val="left"/>
        <w:tblInd w:w="0.0" w:type="dxa"/>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Layout w:type="fixed"/>
        <w:tblLook w:val="0400"/>
      </w:tblPr>
      <w:tblGrid>
        <w:gridCol w:w="9576"/>
        <w:tblGridChange w:id="0">
          <w:tblGrid>
            <w:gridCol w:w="9576"/>
          </w:tblGrid>
        </w:tblGridChange>
      </w:tblGrid>
      <w:tr>
        <w:tc>
          <w:tcPr>
            <w:tcBorders>
              <w:top w:color="4f81bd" w:space="0" w:sz="8" w:val="single"/>
              <w:left w:color="4f81bd" w:space="0" w:sz="8" w:val="single"/>
              <w:bottom w:color="4f81bd" w:space="0" w:sz="8" w:val="single"/>
              <w:right w:color="4f81bd" w:space="0" w:sz="8" w:val="single"/>
            </w:tcBorders>
            <w:shd w:fill="4f81bd" w:val="clear"/>
          </w:tcPr>
          <w:p w:rsidR="00000000" w:rsidDel="00000000" w:rsidP="00000000" w:rsidRDefault="00000000" w:rsidRPr="00000000">
            <w:pPr>
              <w:contextualSpacing w:val="0"/>
              <w:rPr>
                <w:color w:val="ffffff"/>
                <w:sz w:val="24"/>
                <w:szCs w:val="24"/>
              </w:rPr>
            </w:pPr>
            <w:r w:rsidDel="00000000" w:rsidR="00000000" w:rsidRPr="00000000">
              <w:rPr>
                <w:color w:val="ffffff"/>
                <w:sz w:val="24"/>
                <w:szCs w:val="24"/>
                <w:rtl w:val="0"/>
              </w:rPr>
              <w:t xml:space="preserve">Describe the key things  you learned from this week’s lectures:</w:t>
            </w:r>
          </w:p>
        </w:tc>
      </w:tr>
      <w:tr>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1. Organizations have been collecting data for years, but traditionally, the data collection has been only for transaction processing (OLTP). These systems are optimized for storing individual pieces of facts, not large-scale data analysis. Online Analytical Processing (OLAP), or Data Warehouses, were designed to support large quantities of analysis.</w:t>
            </w:r>
          </w:p>
          <w:p w:rsidR="00000000" w:rsidDel="00000000" w:rsidP="00000000" w:rsidRDefault="00000000" w:rsidRPr="00000000">
            <w:pPr>
              <w:contextualSpacing w:val="0"/>
              <w:rPr>
                <w:sz w:val="24"/>
                <w:szCs w:val="24"/>
              </w:rPr>
            </w:pPr>
            <w:r w:rsidDel="00000000" w:rsidR="00000000" w:rsidRPr="00000000">
              <w:rPr>
                <w:rtl w:val="0"/>
              </w:rPr>
            </w:r>
          </w:p>
        </w:tc>
      </w:tr>
      <w:tr>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2. Data Warehouses are: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Subject-oriented – contains all data about a single subject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Integrated – Contains data from many disparate sources including legacy and DB-systems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 Nonvolatile – New data does not overwrite existing data. No updates are done, only reads and writes. Data points are snapshots at that point in time.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4.) Time-variant – Date and time stamps are required.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5.) Aggregated – Data needs to be stored at different levels of granularity. Can pre-store summarized data to make reads more efficient.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They can also be web-based, relational/multidimensional,  client-server, real-time, and includes meta-data.</w:t>
            </w:r>
          </w:p>
          <w:p w:rsidR="00000000" w:rsidDel="00000000" w:rsidP="00000000" w:rsidRDefault="00000000" w:rsidRPr="00000000">
            <w:pPr>
              <w:contextualSpacing w:val="0"/>
              <w:rPr>
                <w:sz w:val="24"/>
                <w:szCs w:val="24"/>
              </w:rPr>
            </w:pPr>
            <w:r w:rsidDel="00000000" w:rsidR="00000000" w:rsidRPr="00000000">
              <w:rPr>
                <w:rtl w:val="0"/>
              </w:rPr>
            </w:r>
          </w:p>
        </w:tc>
      </w:tr>
      <w:tr>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3. There are subcomponents of a Data Warehouse. Data Marts contain a subset of the Data Warehouse and makes it easier for managers to get the information they need. Operational data stores (ODS) is more of a short-term data mart for short-term decision making. Oper marts allow for multidimensional analysis of ODS data.</w:t>
            </w:r>
          </w:p>
          <w:p w:rsidR="00000000" w:rsidDel="00000000" w:rsidP="00000000" w:rsidRDefault="00000000" w:rsidRPr="00000000">
            <w:pPr>
              <w:contextualSpacing w:val="0"/>
              <w:rPr>
                <w:sz w:val="24"/>
                <w:szCs w:val="24"/>
              </w:rPr>
            </w:pPr>
            <w:r w:rsidDel="00000000" w:rsidR="00000000" w:rsidRPr="00000000">
              <w:rPr>
                <w:rtl w:val="0"/>
              </w:rPr>
            </w:r>
          </w:p>
        </w:tc>
      </w:tr>
      <w:tr>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4. Data Warehouse process flow:</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Inflow – Gathering data from various systems is known as ETL (Extract, Transform, Load). This part is usually non-trivial as data can be ugly and transforming it into a uniform format is often difficult.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Upflow – Aggregation or summarization. Various levels of summarization.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Outflow - Most queries will go against highly summarized data.</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Downflow – Archiving of older data. Data loses business value over time.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Metaflow – Full path that the metadata takes through the data warehouse.</w:t>
            </w:r>
          </w:p>
          <w:p w:rsidR="00000000" w:rsidDel="00000000" w:rsidP="00000000" w:rsidRDefault="00000000" w:rsidRPr="00000000">
            <w:pPr>
              <w:contextualSpacing w:val="0"/>
              <w:rPr>
                <w:sz w:val="24"/>
                <w:szCs w:val="24"/>
              </w:rPr>
            </w:pPr>
            <w:r w:rsidDel="00000000" w:rsidR="00000000" w:rsidRPr="00000000">
              <w:rPr>
                <w:rtl w:val="0"/>
              </w:rPr>
            </w:r>
          </w:p>
        </w:tc>
      </w:tr>
      <w:tr>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5. There are various data warehouse architectures. The most typical is the Enterprise Data Warehouse (EDW), which consolidates all of the data sources into a single Data Warehouse and the users connect directly to it. Then there is the Hub-and-Spoke Data Warehouse, which creates data marts as an abstraction layer to the users. This allows for easier customization of UIs and reports. There is added overhead in redundant storage and additional DBAs and operational costs. There is also some data latency, due to the added layer.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Two alternatives to the data warehouse are the Data Mart Centric, and the Virtual, Distributed, Federated architectures. The Data Mart Centric is easy to build since it doesn’t require a monolithic warehouse, but as with the Hub-and-Spoke, there are additional overhead costs. Lastly, the Virtual, Distributed, Federated architecture lets the data live where it was originally created and provides access via middleware. This reduces the overhead of Data Marts, but is really only viable for low volume data.</w:t>
            </w:r>
          </w:p>
          <w:p w:rsidR="00000000" w:rsidDel="00000000" w:rsidP="00000000" w:rsidRDefault="00000000" w:rsidRPr="00000000">
            <w:pPr>
              <w:contextualSpacing w:val="0"/>
              <w:rPr>
                <w:sz w:val="24"/>
                <w:szCs w:val="24"/>
              </w:rPr>
            </w:pPr>
            <w:r w:rsidDel="00000000" w:rsidR="00000000" w:rsidRPr="00000000">
              <w:rPr>
                <w:rtl w:val="0"/>
              </w:rPr>
            </w:r>
          </w:p>
        </w:tc>
      </w:tr>
    </w:tbl>
    <w:p w:rsidR="00000000" w:rsidDel="00000000" w:rsidP="00000000" w:rsidRDefault="00000000" w:rsidRPr="00000000">
      <w:pPr>
        <w:spacing w:after="0" w:lineRule="auto"/>
        <w:contextualSpacing w:val="0"/>
        <w:rPr>
          <w:sz w:val="24"/>
          <w:szCs w:val="24"/>
        </w:rPr>
      </w:pPr>
      <w:r w:rsidDel="00000000" w:rsidR="00000000" w:rsidRPr="00000000">
        <w:rPr>
          <w:rtl w:val="0"/>
        </w:rPr>
      </w:r>
    </w:p>
    <w:tbl>
      <w:tblPr>
        <w:tblStyle w:val="Table4"/>
        <w:tblW w:w="9340.0" w:type="dxa"/>
        <w:jc w:val="left"/>
        <w:tblInd w:w="0.0" w:type="dxa"/>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Layout w:type="fixed"/>
        <w:tblLook w:val="0400"/>
      </w:tblPr>
      <w:tblGrid>
        <w:gridCol w:w="2780"/>
        <w:gridCol w:w="6560"/>
        <w:tblGridChange w:id="0">
          <w:tblGrid>
            <w:gridCol w:w="2780"/>
            <w:gridCol w:w="6560"/>
          </w:tblGrid>
        </w:tblGridChange>
      </w:tblGrid>
      <w:tr>
        <w:tc>
          <w:tcPr>
            <w:gridSpan w:val="2"/>
            <w:tcBorders>
              <w:top w:color="4f81bd" w:space="0" w:sz="8" w:val="single"/>
              <w:left w:color="4f81bd" w:space="0" w:sz="8" w:val="single"/>
              <w:bottom w:color="4f81bd" w:space="0" w:sz="8" w:val="single"/>
              <w:right w:color="4f81bd" w:space="0" w:sz="8" w:val="single"/>
            </w:tcBorders>
            <w:shd w:fill="4f81bd" w:val="clear"/>
          </w:tcPr>
          <w:p w:rsidR="00000000" w:rsidDel="00000000" w:rsidP="00000000" w:rsidRDefault="00000000" w:rsidRPr="00000000">
            <w:pPr>
              <w:contextualSpacing w:val="0"/>
              <w:rPr>
                <w:color w:val="ffffff"/>
                <w:sz w:val="24"/>
                <w:szCs w:val="24"/>
              </w:rPr>
            </w:pPr>
            <w:bookmarkStart w:colFirst="0" w:colLast="0" w:name="_gjdgxs" w:id="0"/>
            <w:bookmarkEnd w:id="0"/>
            <w:r w:rsidDel="00000000" w:rsidR="00000000" w:rsidRPr="00000000">
              <w:rPr>
                <w:color w:val="ffffff"/>
                <w:sz w:val="24"/>
                <w:szCs w:val="24"/>
                <w:rtl w:val="0"/>
              </w:rPr>
              <w:t xml:space="preserve">Below, provide one substantial online resource related to this week’s lectures. This resource should complement the lectures, aid in our understanding of the lectures’ topics, or illustrate lecture concepts through practical applications in business and industry. </w:t>
            </w:r>
          </w:p>
        </w:tc>
      </w:tr>
      <w:tr>
        <w:tc>
          <w:tcPr>
            <w:tcBorders>
              <w:top w:color="4f81bd" w:space="0" w:sz="8" w:val="single"/>
              <w:left w:color="4f81bd" w:space="0" w:sz="8" w:val="single"/>
              <w:bottom w:color="4f81bd" w:space="0" w:sz="8" w:val="single"/>
              <w:right w:color="4f81bd" w:space="0" w:sz="8" w:val="single"/>
            </w:tcBorders>
            <w:shd w:fill="4f81bd" w:val="clear"/>
          </w:tcPr>
          <w:p w:rsidR="00000000" w:rsidDel="00000000" w:rsidP="00000000" w:rsidRDefault="00000000" w:rsidRPr="00000000">
            <w:pPr>
              <w:contextualSpacing w:val="0"/>
              <w:rPr>
                <w:color w:val="ffffff"/>
                <w:sz w:val="24"/>
                <w:szCs w:val="24"/>
              </w:rPr>
            </w:pPr>
            <w:r w:rsidDel="00000000" w:rsidR="00000000" w:rsidRPr="00000000">
              <w:rPr>
                <w:color w:val="ffffff"/>
                <w:sz w:val="24"/>
                <w:szCs w:val="24"/>
                <w:rtl w:val="0"/>
              </w:rPr>
              <w:t xml:space="preserve">URL:</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https://tdwi.org/articles/2015/01/27/hadoop-replace-data-warehouse.aspx</w:t>
            </w:r>
          </w:p>
        </w:tc>
      </w:tr>
      <w:tr>
        <w:tc>
          <w:tcPr>
            <w:tcBorders>
              <w:top w:color="4f81bd" w:space="0" w:sz="8" w:val="single"/>
              <w:left w:color="4f81bd" w:space="0" w:sz="8" w:val="single"/>
              <w:bottom w:color="4f81bd" w:space="0" w:sz="8" w:val="single"/>
              <w:right w:color="4f81bd" w:space="0" w:sz="8" w:val="single"/>
            </w:tcBorders>
            <w:shd w:fill="4f81bd" w:val="clear"/>
          </w:tcPr>
          <w:p w:rsidR="00000000" w:rsidDel="00000000" w:rsidP="00000000" w:rsidRDefault="00000000" w:rsidRPr="00000000">
            <w:pPr>
              <w:contextualSpacing w:val="0"/>
              <w:rPr>
                <w:color w:val="ffffff"/>
                <w:sz w:val="24"/>
                <w:szCs w:val="24"/>
              </w:rPr>
            </w:pPr>
            <w:r w:rsidDel="00000000" w:rsidR="00000000" w:rsidRPr="00000000">
              <w:rPr>
                <w:color w:val="ffffff"/>
                <w:sz w:val="24"/>
                <w:szCs w:val="24"/>
                <w:rtl w:val="0"/>
              </w:rPr>
              <w:t xml:space="preserve">Full Citation:</w:t>
            </w:r>
          </w:p>
        </w:tc>
        <w:tc>
          <w:tcPr>
            <w:tcBorders>
              <w:top w:color="4f81bd" w:space="0" w:sz="8" w:val="single"/>
              <w:left w:color="4f81bd" w:space="0" w:sz="8" w:val="single"/>
              <w:bottom w:color="4f81bd" w:space="0" w:sz="8" w:val="single"/>
              <w:right w:color="4f81bd" w:space="0" w:sz="8" w:val="single"/>
            </w:tcBorders>
            <w:shd w:fill="auto" w:val="cle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 Russom, Philip Ph.D. TDWI. </w:t>
            </w:r>
            <w:r w:rsidDel="00000000" w:rsidR="00000000" w:rsidRPr="00000000">
              <w:rPr>
                <w:i w:val="1"/>
                <w:sz w:val="26"/>
                <w:szCs w:val="26"/>
                <w:rtl w:val="0"/>
              </w:rPr>
              <w:t xml:space="preserve">Can Hadoop Replace a Data Warehouse?</w:t>
            </w:r>
            <w:r w:rsidDel="00000000" w:rsidR="00000000" w:rsidRPr="00000000">
              <w:rPr>
                <w:sz w:val="26"/>
                <w:szCs w:val="26"/>
                <w:rtl w:val="0"/>
              </w:rPr>
              <w:t xml:space="preserve"> January 27, 2015.</w:t>
            </w:r>
            <w:r w:rsidDel="00000000" w:rsidR="00000000" w:rsidRPr="00000000">
              <w:rPr>
                <w:rtl w:val="0"/>
              </w:rPr>
            </w:r>
          </w:p>
        </w:tc>
      </w:tr>
      <w:tr>
        <w:tc>
          <w:tcPr>
            <w:tcBorders>
              <w:top w:color="4f81bd" w:space="0" w:sz="8" w:val="single"/>
              <w:left w:color="4f81bd" w:space="0" w:sz="8" w:val="single"/>
              <w:bottom w:color="4f81bd" w:space="0" w:sz="8" w:val="single"/>
              <w:right w:color="4f81bd" w:space="0" w:sz="8" w:val="single"/>
            </w:tcBorders>
            <w:shd w:fill="4f81bd" w:val="clear"/>
          </w:tcPr>
          <w:p w:rsidR="00000000" w:rsidDel="00000000" w:rsidP="00000000" w:rsidRDefault="00000000" w:rsidRPr="00000000">
            <w:pPr>
              <w:contextualSpacing w:val="0"/>
              <w:rPr>
                <w:color w:val="ffffff"/>
                <w:sz w:val="24"/>
                <w:szCs w:val="24"/>
              </w:rPr>
            </w:pPr>
            <w:r w:rsidDel="00000000" w:rsidR="00000000" w:rsidRPr="00000000">
              <w:rPr>
                <w:color w:val="ffffff"/>
                <w:sz w:val="24"/>
                <w:szCs w:val="24"/>
                <w:rtl w:val="0"/>
              </w:rPr>
              <w:t xml:space="preserve">Resource Summary:</w:t>
            </w:r>
          </w:p>
        </w:tc>
        <w:tc>
          <w:tcPr>
            <w:tcBorders>
              <w:top w:color="4f81bd" w:space="0" w:sz="8" w:val="single"/>
              <w:left w:color="4f81bd" w:space="0" w:sz="8" w:val="single"/>
              <w:bottom w:color="4f81bd" w:space="0" w:sz="8" w:val="single"/>
              <w:right w:color="4f81bd" w:space="0" w:sz="8" w:val="single"/>
            </w:tcBorders>
            <w:shd w:fill="auto" w:val="cle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The answer was nicely summarized by the quote, "Our view is that the data is the warehouse, and our data just happens to be managed with a relational database today. Our data could be managed on a non-relational platform, and it would still be a warehouse." </w:t>
            </w:r>
          </w:p>
        </w:tc>
      </w:tr>
      <w:tr>
        <w:tc>
          <w:tcPr>
            <w:tcBorders>
              <w:top w:color="4f81bd" w:space="0" w:sz="8" w:val="single"/>
              <w:left w:color="4f81bd" w:space="0" w:sz="8" w:val="single"/>
              <w:bottom w:color="000000" w:space="0" w:sz="4" w:val="single"/>
              <w:right w:color="4f81bd" w:space="0" w:sz="8" w:val="single"/>
            </w:tcBorders>
            <w:shd w:fill="4f81bd" w:val="clear"/>
          </w:tcPr>
          <w:p w:rsidR="00000000" w:rsidDel="00000000" w:rsidP="00000000" w:rsidRDefault="00000000" w:rsidRPr="00000000">
            <w:pPr>
              <w:contextualSpacing w:val="0"/>
              <w:rPr>
                <w:color w:val="ffffff"/>
                <w:sz w:val="24"/>
                <w:szCs w:val="24"/>
              </w:rPr>
            </w:pPr>
            <w:r w:rsidDel="00000000" w:rsidR="00000000" w:rsidRPr="00000000">
              <w:rPr>
                <w:color w:val="ffffff"/>
                <w:sz w:val="24"/>
                <w:szCs w:val="24"/>
                <w:rtl w:val="0"/>
              </w:rPr>
              <w:t xml:space="preserve">Relevance to the lectures:</w:t>
            </w:r>
          </w:p>
        </w:tc>
        <w:tc>
          <w:tcPr>
            <w:tcBorders>
              <w:top w:color="4f81bd" w:space="0" w:sz="8" w:val="single"/>
              <w:left w:color="4f81bd" w:space="0" w:sz="8" w:val="single"/>
              <w:bottom w:color="000000" w:space="0" w:sz="4" w:val="single"/>
              <w:right w:color="4f81bd" w:space="0" w:sz="8" w:val="single"/>
            </w:tcBorders>
            <w:shd w:fill="auto" w:val="cle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follows up on the slide about Big Data Implementation vs. Data Warehousing. </w:t>
            </w:r>
          </w:p>
        </w:tc>
      </w:tr>
    </w:tbl>
    <w:p w:rsidR="00000000" w:rsidDel="00000000" w:rsidP="00000000" w:rsidRDefault="00000000" w:rsidRPr="00000000">
      <w:pPr>
        <w:spacing w:after="0" w:lineRule="auto"/>
        <w:contextualSpacing w:val="0"/>
        <w:rPr/>
      </w:pPr>
      <w:r w:rsidDel="00000000" w:rsidR="00000000" w:rsidRPr="00000000">
        <w:rPr>
          <w:rtl w:val="0"/>
        </w:rPr>
      </w:r>
    </w:p>
    <w:tbl>
      <w:tblPr>
        <w:tblStyle w:val="Table5"/>
        <w:tblW w:w="9340.0" w:type="dxa"/>
        <w:jc w:val="left"/>
        <w:tblInd w:w="0.0" w:type="dxa"/>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Layout w:type="fixed"/>
        <w:tblLook w:val="0400"/>
      </w:tblPr>
      <w:tblGrid>
        <w:gridCol w:w="1887"/>
        <w:gridCol w:w="7453"/>
        <w:tblGridChange w:id="0">
          <w:tblGrid>
            <w:gridCol w:w="1887"/>
            <w:gridCol w:w="7453"/>
          </w:tblGrid>
        </w:tblGridChange>
      </w:tblGrid>
      <w:tr>
        <w:tc>
          <w:tcPr>
            <w:tcBorders>
              <w:top w:color="4f81bd" w:space="0" w:sz="8" w:val="single"/>
              <w:left w:color="4f81bd" w:space="0" w:sz="8" w:val="single"/>
              <w:bottom w:color="4f81bd" w:space="0" w:sz="8" w:val="single"/>
              <w:right w:color="4f81bd" w:space="0" w:sz="8" w:val="single"/>
            </w:tcBorders>
            <w:shd w:fill="4f81bd" w:val="clear"/>
          </w:tcPr>
          <w:p w:rsidR="00000000" w:rsidDel="00000000" w:rsidP="00000000" w:rsidRDefault="00000000" w:rsidRPr="00000000">
            <w:pPr>
              <w:contextualSpacing w:val="0"/>
              <w:rPr>
                <w:color w:val="ffffff"/>
                <w:sz w:val="24"/>
                <w:szCs w:val="24"/>
              </w:rPr>
            </w:pPr>
            <w:r w:rsidDel="00000000" w:rsidR="00000000" w:rsidRPr="00000000">
              <w:rPr>
                <w:color w:val="ffffff"/>
                <w:sz w:val="24"/>
                <w:szCs w:val="24"/>
                <w:shd w:fill="4f81bd" w:val="clear"/>
                <w:rtl w:val="0"/>
              </w:rPr>
              <w:t xml:space="preserve">Due date</w:t>
            </w:r>
            <w:r w:rsidDel="00000000" w:rsidR="00000000" w:rsidRPr="00000000">
              <w:rPr>
                <w:color w:val="ffffff"/>
                <w:sz w:val="24"/>
                <w:szCs w:val="24"/>
                <w:rtl w:val="0"/>
              </w:rPr>
              <w:t xml:space="preserve">:</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Fridays at 8:00 a.m. during the week in which lectures were posted.</w:t>
            </w:r>
          </w:p>
        </w:tc>
      </w:tr>
      <w:tr>
        <w:tc>
          <w:tcPr>
            <w:tcBorders>
              <w:top w:color="4f81bd" w:space="0" w:sz="8" w:val="single"/>
              <w:left w:color="4f81bd" w:space="0" w:sz="8" w:val="single"/>
              <w:bottom w:color="4f81bd" w:space="0" w:sz="8" w:val="single"/>
              <w:right w:color="4f81bd" w:space="0" w:sz="8" w:val="single"/>
            </w:tcBorders>
            <w:shd w:fill="4f81bd" w:val="clear"/>
          </w:tcPr>
          <w:p w:rsidR="00000000" w:rsidDel="00000000" w:rsidP="00000000" w:rsidRDefault="00000000" w:rsidRPr="00000000">
            <w:pPr>
              <w:contextualSpacing w:val="0"/>
              <w:rPr>
                <w:color w:val="ffffff"/>
                <w:sz w:val="24"/>
                <w:szCs w:val="24"/>
              </w:rPr>
            </w:pPr>
            <w:r w:rsidDel="00000000" w:rsidR="00000000" w:rsidRPr="00000000">
              <w:rPr>
                <w:color w:val="ffffff"/>
                <w:sz w:val="24"/>
                <w:szCs w:val="24"/>
                <w:rtl w:val="0"/>
              </w:rPr>
              <w:t xml:space="preserve">File name:</w:t>
            </w:r>
          </w:p>
        </w:tc>
        <w:tc>
          <w:tcPr>
            <w:tcBorders>
              <w:top w:color="4f81bd" w:space="0" w:sz="8" w:val="single"/>
              <w:left w:color="4f81bd" w:space="0" w:sz="8" w:val="single"/>
              <w:bottom w:color="4f81bd" w:space="0" w:sz="8" w:val="single"/>
              <w:right w:color="4f81bd" w:space="0" w:sz="8" w:val="single"/>
            </w:tcBorders>
            <w:shd w:fill="auto" w:val="cle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Format your file name: lastname.doc or lastname.docx</w:t>
            </w:r>
          </w:p>
        </w:tc>
      </w:tr>
      <w:tr>
        <w:tc>
          <w:tcPr>
            <w:tcBorders>
              <w:top w:color="4f81bd" w:space="0" w:sz="8" w:val="single"/>
              <w:left w:color="4f81bd" w:space="0" w:sz="8" w:val="single"/>
              <w:bottom w:color="4f81bd" w:space="0" w:sz="8" w:val="single"/>
              <w:right w:color="4f81bd" w:space="0" w:sz="8" w:val="single"/>
            </w:tcBorders>
            <w:shd w:fill="4f81bd" w:val="clear"/>
          </w:tcPr>
          <w:p w:rsidR="00000000" w:rsidDel="00000000" w:rsidP="00000000" w:rsidRDefault="00000000" w:rsidRPr="00000000">
            <w:pPr>
              <w:contextualSpacing w:val="0"/>
              <w:rPr>
                <w:color w:val="ffffff"/>
                <w:sz w:val="24"/>
                <w:szCs w:val="24"/>
              </w:rPr>
            </w:pPr>
            <w:r w:rsidDel="00000000" w:rsidR="00000000" w:rsidRPr="00000000">
              <w:rPr>
                <w:color w:val="ffffff"/>
                <w:sz w:val="24"/>
                <w:szCs w:val="24"/>
                <w:rtl w:val="0"/>
              </w:rPr>
              <w:t xml:space="preserve">Submission:</w:t>
            </w:r>
          </w:p>
        </w:tc>
        <w:tc>
          <w:tcPr>
            <w:tcBorders>
              <w:top w:color="4f81bd" w:space="0" w:sz="8" w:val="single"/>
              <w:left w:color="4f81bd" w:space="0" w:sz="8" w:val="single"/>
              <w:bottom w:color="4f81bd" w:space="0" w:sz="8" w:val="single"/>
              <w:right w:color="4f81bd" w:space="0" w:sz="8" w:val="single"/>
            </w:tcBorders>
            <w:shd w:fill="auto" w:val="cle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Submit in Canvas</w:t>
            </w:r>
          </w:p>
        </w:tc>
      </w:tr>
    </w:tbl>
    <w:p w:rsidR="00000000" w:rsidDel="00000000" w:rsidP="00000000" w:rsidRDefault="00000000" w:rsidRPr="00000000">
      <w:pPr>
        <w:spacing w:after="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