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color w:val="888888"/>
          <w:sz w:val="20"/>
          <w:szCs w:val="20"/>
        </w:rPr>
        <w:t xml:space="preserve">RC-BL-02</w:t>
      </w:r>
    </w:p>
    <w:p>
      <w:pPr>
        <w:spacing w:before="0" w:after="40"/>
      </w:pPr>
      <w:r>
        <w:rPr>
          <w:rFonts w:ascii="Arial" w:cs="Arial" w:eastAsia="Arial" w:hAnsi="Arial"/>
          <w:b/>
          <w:bCs/>
          <w:color w:val="2C5F8A"/>
          <w:sz w:val="40"/>
          <w:szCs w:val="40"/>
        </w:rPr>
        <w:t xml:space="preserve">Branching Logic – Syntax &amp; Atomic Statements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Article ID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RC-BL-02</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Domain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Branching Logic</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Applies To</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All REDCap project types; requires Project Design and Setup rights</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Prerequisite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RC-BL-01 — Branching Logic Overview &amp; Scope</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Last Updated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2025</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REDCap Support</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Related Topics</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RC-BL-01 — Overview; RC-BL-03 — Combining Statements; RC-BL-04 — Structured Fields; RC-FD-03 — Data Dictionary</w:t>
            </w:r>
          </w:p>
        </w:tc>
      </w:tr>
    </w:tbl>
    <w:p>
      <w:pPr>
        <w:spacing w:before="200" w:after="0"/>
      </w:pPr>
    </w:p>
    <w:p>
      <w:pPr>
        <w:pStyle w:val="Heading1"/>
        <w:pBdr>
          <w:bottom w:val="single" w:color="2C5F8A" w:sz="6" w:space="4"/>
        </w:pBdr>
        <w:spacing w:before="300" w:after="120"/>
      </w:pPr>
      <w:r>
        <w:rPr>
          <w:rFonts w:ascii="Arial" w:cs="Arial" w:eastAsia="Arial" w:hAnsi="Arial"/>
          <w:b/>
          <w:bCs/>
          <w:color w:val="2C5F8A"/>
          <w:sz w:val="32"/>
          <w:szCs w:val="32"/>
        </w:rPr>
        <w:t xml:space="preserve">1. Overview</w:t>
      </w:r>
    </w:p>
    <w:p>
      <w:pPr>
        <w:spacing w:before="60" w:after="60"/>
      </w:pPr>
      <w:r>
        <w:rPr>
          <w:rFonts w:ascii="Arial" w:cs="Arial" w:eastAsia="Arial" w:hAnsi="Arial"/>
          <w:color w:val="111111"/>
          <w:sz w:val="22"/>
          <w:szCs w:val="22"/>
        </w:rPr>
        <w:t xml:space="preserve">This article covers the REDCap logic syntax in detail — the operators, brackets, quotes, and boolean keywords that make up valid logic expressions — and explains how to construct an atomic logic statement: the simplest, single-condition statement that forms the building block of all branching logic.</w:t>
      </w:r>
    </w:p>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2. Key Concepts &amp; Definitions</w:t>
      </w:r>
    </w:p>
    <w:p>
      <w:pPr>
        <w:pStyle w:val="Heading2"/>
        <w:spacing w:before="220" w:after="80"/>
      </w:pPr>
      <w:r>
        <w:rPr>
          <w:rFonts w:ascii="Arial" w:cs="Arial" w:eastAsia="Arial" w:hAnsi="Arial"/>
          <w:b/>
          <w:bCs/>
          <w:color w:val="333333"/>
          <w:sz w:val="26"/>
          <w:szCs w:val="26"/>
        </w:rPr>
        <w:t xml:space="preserve">Atomic Logic Statement</w:t>
      </w:r>
    </w:p>
    <w:p>
      <w:pPr>
        <w:spacing w:before="60" w:after="60"/>
      </w:pPr>
      <w:r>
        <w:rPr>
          <w:rFonts w:ascii="Arial" w:cs="Arial" w:eastAsia="Arial" w:hAnsi="Arial"/>
          <w:color w:val="111111"/>
          <w:sz w:val="22"/>
          <w:szCs w:val="22"/>
        </w:rPr>
        <w:t xml:space="preserve">The simplest possible logic expression in REDCap. It always has exactly three parts: a variable, an operator, and a comparison value. Example: </w:t>
      </w:r>
      <w:r>
        <w:rPr>
          <w:rFonts w:ascii="Courier New" w:cs="Courier New" w:eastAsia="Courier New" w:hAnsi="Courier New"/>
          <w:color w:val="1A3A5C"/>
          <w:sz w:val="20"/>
          <w:szCs w:val="20"/>
        </w:rPr>
        <w:t xml:space="preserve">[age]&gt;=18</w:t>
      </w:r>
      <w:r>
        <w:rPr>
          <w:rFonts w:ascii="Arial" w:cs="Arial" w:eastAsia="Arial" w:hAnsi="Arial"/>
          <w:color w:val="111111"/>
          <w:sz w:val="22"/>
          <w:szCs w:val="22"/>
        </w:rPr>
        <w:t xml:space="preserve">.</w:t>
      </w:r>
    </w:p>
    <w:p>
      <w:pPr>
        <w:pStyle w:val="Heading2"/>
        <w:spacing w:before="220" w:after="80"/>
      </w:pPr>
      <w:r>
        <w:rPr>
          <w:rFonts w:ascii="Arial" w:cs="Arial" w:eastAsia="Arial" w:hAnsi="Arial"/>
          <w:b/>
          <w:bCs/>
          <w:color w:val="333333"/>
          <w:sz w:val="26"/>
          <w:szCs w:val="26"/>
        </w:rPr>
        <w:t xml:space="preserve">Variable Reference</w:t>
      </w:r>
    </w:p>
    <w:p>
      <w:pPr>
        <w:spacing w:before="60" w:after="60"/>
      </w:pPr>
      <w:r>
        <w:rPr>
          <w:rFonts w:ascii="Arial" w:cs="Arial" w:eastAsia="Arial" w:hAnsi="Arial"/>
          <w:color w:val="111111"/>
          <w:sz w:val="22"/>
          <w:szCs w:val="22"/>
        </w:rPr>
        <w:t xml:space="preserve">A reference to a REDCap field, written as the field's variable name enclosed in square brackets. Example: </w:t>
      </w:r>
      <w:r>
        <w:rPr>
          <w:rFonts w:ascii="Courier New" w:cs="Courier New" w:eastAsia="Courier New" w:hAnsi="Courier New"/>
          <w:color w:val="1A3A5C"/>
          <w:sz w:val="20"/>
          <w:szCs w:val="20"/>
        </w:rPr>
        <w:t xml:space="preserve">[dob]</w:t>
      </w:r>
      <w:r>
        <w:rPr>
          <w:rFonts w:ascii="Arial" w:cs="Arial" w:eastAsia="Arial" w:hAnsi="Arial"/>
          <w:color w:val="111111"/>
          <w:sz w:val="22"/>
          <w:szCs w:val="22"/>
        </w:rPr>
        <w:t xml:space="preserve">, </w:t>
      </w:r>
      <w:r>
        <w:rPr>
          <w:rFonts w:ascii="Courier New" w:cs="Courier New" w:eastAsia="Courier New" w:hAnsi="Courier New"/>
          <w:color w:val="1A3A5C"/>
          <w:sz w:val="20"/>
          <w:szCs w:val="20"/>
        </w:rPr>
        <w:t xml:space="preserve">[consent_status]</w:t>
      </w:r>
      <w:r>
        <w:rPr>
          <w:rFonts w:ascii="Arial" w:cs="Arial" w:eastAsia="Arial" w:hAnsi="Arial"/>
          <w:color w:val="111111"/>
          <w:sz w:val="22"/>
          <w:szCs w:val="22"/>
        </w:rPr>
        <w:t xml:space="preserve">. Variables can only reference values within the same record.</w:t>
      </w:r>
    </w:p>
    <w:p>
      <w:pPr>
        <w:pStyle w:val="Heading2"/>
        <w:spacing w:before="220" w:after="80"/>
      </w:pPr>
      <w:r>
        <w:rPr>
          <w:rFonts w:ascii="Arial" w:cs="Arial" w:eastAsia="Arial" w:hAnsi="Arial"/>
          <w:b/>
          <w:bCs/>
          <w:color w:val="333333"/>
          <w:sz w:val="26"/>
          <w:szCs w:val="26"/>
        </w:rPr>
        <w:t xml:space="preserve">Operator</w:t>
      </w:r>
    </w:p>
    <w:p>
      <w:pPr>
        <w:spacing w:before="60" w:after="60"/>
      </w:pPr>
      <w:r>
        <w:rPr>
          <w:rFonts w:ascii="Arial" w:cs="Arial" w:eastAsia="Arial" w:hAnsi="Arial"/>
          <w:color w:val="111111"/>
          <w:sz w:val="22"/>
          <w:szCs w:val="22"/>
        </w:rPr>
        <w:t xml:space="preserve">A symbol that defines the comparison relationship between a variable and a value. REDCap supports equality, inequality, and numeric comparison operators.</w:t>
      </w:r>
    </w:p>
    <w:p>
      <w:pPr>
        <w:pStyle w:val="Heading2"/>
        <w:spacing w:before="220" w:after="80"/>
      </w:pPr>
      <w:r>
        <w:rPr>
          <w:rFonts w:ascii="Arial" w:cs="Arial" w:eastAsia="Arial" w:hAnsi="Arial"/>
          <w:b/>
          <w:bCs/>
          <w:color w:val="333333"/>
          <w:sz w:val="26"/>
          <w:szCs w:val="26"/>
        </w:rPr>
        <w:t xml:space="preserve">Comparison Value</w:t>
      </w:r>
    </w:p>
    <w:p>
      <w:pPr>
        <w:spacing w:before="60" w:after="60"/>
      </w:pPr>
      <w:r>
        <w:rPr>
          <w:rFonts w:ascii="Arial" w:cs="Arial" w:eastAsia="Arial" w:hAnsi="Arial"/>
          <w:color w:val="111111"/>
          <w:sz w:val="22"/>
          <w:szCs w:val="22"/>
        </w:rPr>
        <w:t xml:space="preserve">The value on the right-hand side of an operator. Can be a number, a quoted text string, an empty string (to test for blank), or another variable reference.</w:t>
      </w:r>
    </w:p>
    <w:p>
      <w:pPr>
        <w:pStyle w:val="Heading2"/>
        <w:spacing w:before="220" w:after="80"/>
      </w:pPr>
      <w:r>
        <w:rPr>
          <w:rFonts w:ascii="Arial" w:cs="Arial" w:eastAsia="Arial" w:hAnsi="Arial"/>
          <w:b/>
          <w:bCs/>
          <w:color w:val="333333"/>
          <w:sz w:val="26"/>
          <w:szCs w:val="26"/>
        </w:rPr>
        <w:t xml:space="preserve">Raw Value</w:t>
      </w:r>
    </w:p>
    <w:p>
      <w:pPr>
        <w:spacing w:before="60" w:after="60"/>
      </w:pPr>
      <w:r>
        <w:rPr>
          <w:rFonts w:ascii="Arial" w:cs="Arial" w:eastAsia="Arial" w:hAnsi="Arial"/>
          <w:color w:val="111111"/>
          <w:sz w:val="22"/>
          <w:szCs w:val="22"/>
        </w:rPr>
        <w:t xml:space="preserve">For structured field types (radio buttons, dropdowns, checkboxes), REDCap stores the coded option value — not the display label — in the dataset. Logic statements must reference raw values, not labels.</w:t>
      </w:r>
    </w:p>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3. Syntax Language Reference</w:t>
      </w:r>
    </w:p>
    <w:p>
      <w:pPr>
        <w:pStyle w:val="Heading2"/>
        <w:spacing w:before="220" w:after="80"/>
      </w:pPr>
      <w:r>
        <w:rPr>
          <w:rFonts w:ascii="Arial" w:cs="Arial" w:eastAsia="Arial" w:hAnsi="Arial"/>
          <w:b/>
          <w:bCs/>
          <w:color w:val="333333"/>
          <w:sz w:val="26"/>
          <w:szCs w:val="26"/>
        </w:rPr>
        <w:t xml:space="preserve">3.1 Math Operators</w:t>
      </w:r>
    </w:p>
    <w:p>
      <w:pPr>
        <w:spacing w:before="60" w:after="60"/>
      </w:pPr>
      <w:r>
        <w:rPr>
          <w:rFonts w:ascii="Arial" w:cs="Arial" w:eastAsia="Arial" w:hAnsi="Arial"/>
          <w:color w:val="111111"/>
          <w:sz w:val="22"/>
          <w:szCs w:val="22"/>
        </w:rPr>
        <w:t xml:space="preserve">REDCap supports standard arithmetic operators for use in calculated fields and numeric comparisons. These operate on numbers only.</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Operator</w:t>
            </w:r>
          </w:p>
        </w:tc>
        <w:tc>
          <w:tcPr>
            <w:tcW w:type="dxa" w:w="240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576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Addition</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3A5C"/>
                <w:sz w:val="19"/>
                <w:szCs w:val="19"/>
              </w:rPr>
              <w:t xml:space="preserve">[score_a]+[score_b]</w:t>
            </w:r>
          </w:p>
        </w:tc>
      </w:tr>
      <w:tr>
        <w:tc>
          <w:tcPr>
            <w:tcW w:type="dxa" w:w="12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24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color w:val="111111"/>
                <w:sz w:val="20"/>
                <w:szCs w:val="20"/>
              </w:rPr>
              <w:t xml:space="preserve">Subtraction</w:t>
            </w:r>
          </w:p>
        </w:tc>
        <w:tc>
          <w:tcPr>
            <w:tcW w:type="dxa" w:w="57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Courier New" w:cs="Courier New" w:eastAsia="Courier New" w:hAnsi="Courier New"/>
                <w:color w:val="1A3A5C"/>
                <w:sz w:val="19"/>
                <w:szCs w:val="19"/>
              </w:rPr>
              <w:t xml:space="preserve">[total]-[deductions]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Multiplication</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3A5C"/>
                <w:sz w:val="19"/>
                <w:szCs w:val="19"/>
              </w:rPr>
              <w:t xml:space="preserve">[dose]*[weight]</w:t>
            </w:r>
          </w:p>
        </w:tc>
      </w:tr>
      <w:tr>
        <w:tc>
          <w:tcPr>
            <w:tcW w:type="dxa" w:w="12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24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color w:val="111111"/>
                <w:sz w:val="20"/>
                <w:szCs w:val="20"/>
              </w:rPr>
              <w:t xml:space="preserve">Division</w:t>
            </w:r>
          </w:p>
        </w:tc>
        <w:tc>
          <w:tcPr>
            <w:tcW w:type="dxa" w:w="57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Courier New" w:cs="Courier New" w:eastAsia="Courier New" w:hAnsi="Courier New"/>
                <w:color w:val="1A3A5C"/>
                <w:sz w:val="19"/>
                <w:szCs w:val="19"/>
              </w:rPr>
              <w:t xml:space="preserve">[total]/[count]</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Exponent</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3A5C"/>
                <w:sz w:val="19"/>
                <w:szCs w:val="19"/>
              </w:rPr>
              <w:t xml:space="preserve">[base]^2</w:t>
            </w:r>
          </w:p>
        </w:tc>
      </w:tr>
      <w:tr>
        <w:tc>
          <w:tcPr>
            <w:tcW w:type="dxa" w:w="12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24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color w:val="111111"/>
                <w:sz w:val="20"/>
                <w:szCs w:val="20"/>
              </w:rPr>
              <w:t xml:space="preserve">Equals</w:t>
            </w:r>
          </w:p>
        </w:tc>
        <w:tc>
          <w:tcPr>
            <w:tcW w:type="dxa" w:w="57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Courier New" w:cs="Courier New" w:eastAsia="Courier New" w:hAnsi="Courier New"/>
                <w:color w:val="1A3A5C"/>
                <w:sz w:val="19"/>
                <w:szCs w:val="19"/>
              </w:rPr>
              <w:t xml:space="preserve">[status]=1</w:t>
            </w:r>
          </w:p>
        </w:tc>
      </w:tr>
    </w:tbl>
    <w:p>
      <w:pPr>
        <w:spacing w:before="80" w:after="0"/>
      </w:pPr>
    </w:p>
    <w:p>
      <w:pPr>
        <w:pStyle w:val="Heading2"/>
        <w:spacing w:before="220" w:after="80"/>
      </w:pPr>
      <w:r>
        <w:rPr>
          <w:rFonts w:ascii="Arial" w:cs="Arial" w:eastAsia="Arial" w:hAnsi="Arial"/>
          <w:b/>
          <w:bCs/>
          <w:color w:val="333333"/>
          <w:sz w:val="26"/>
          <w:szCs w:val="26"/>
        </w:rPr>
        <w:t xml:space="preserve">3.2 Comparison Operators</w:t>
      </w:r>
    </w:p>
    <w:p>
      <w:pPr>
        <w:spacing w:before="60" w:after="60"/>
      </w:pPr>
      <w:r>
        <w:rPr>
          <w:rFonts w:ascii="Arial" w:cs="Arial" w:eastAsia="Arial" w:hAnsi="Arial"/>
          <w:color w:val="111111"/>
          <w:sz w:val="22"/>
          <w:szCs w:val="22"/>
        </w:rPr>
        <w:t xml:space="preserve">Comparison operators are the most common operators in branching logic. They compare a variable to a value and return true or false.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Operator</w:t>
            </w:r>
          </w:p>
        </w:tc>
        <w:tc>
          <w:tcPr>
            <w:tcW w:type="dxa" w:w="280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536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Equal to</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3A5C"/>
                <w:sz w:val="19"/>
                <w:szCs w:val="19"/>
              </w:rPr>
              <w:t xml:space="preserve">[gender]='1'</w:t>
            </w:r>
          </w:p>
        </w:tc>
      </w:tr>
      <w:tr>
        <w:tc>
          <w:tcPr>
            <w:tcW w:type="dxa" w:w="12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color w:val="111111"/>
                <w:sz w:val="20"/>
                <w:szCs w:val="20"/>
              </w:rPr>
              <w:t xml:space="preserve">&lt;&gt;</w:t>
            </w:r>
          </w:p>
        </w:tc>
        <w:tc>
          <w:tcPr>
            <w:tcW w:type="dxa" w:w="28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color w:val="111111"/>
                <w:sz w:val="20"/>
                <w:szCs w:val="20"/>
              </w:rPr>
              <w:t xml:space="preserve">Not equal to</w:t>
            </w:r>
          </w:p>
        </w:tc>
        <w:tc>
          <w:tcPr>
            <w:tcW w:type="dxa" w:w="53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Courier New" w:cs="Courier New" w:eastAsia="Courier New" w:hAnsi="Courier New"/>
                <w:color w:val="1A3A5C"/>
                <w:sz w:val="19"/>
                <w:szCs w:val="19"/>
              </w:rPr>
              <w:t xml:space="preserve">[status]&lt;&gt;0</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&gt;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Greater than</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3A5C"/>
                <w:sz w:val="19"/>
                <w:szCs w:val="19"/>
              </w:rPr>
              <w:t xml:space="preserve">[age]&gt;18</w:t>
            </w:r>
          </w:p>
        </w:tc>
      </w:tr>
      <w:tr>
        <w:tc>
          <w:tcPr>
            <w:tcW w:type="dxa" w:w="12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color w:val="111111"/>
                <w:sz w:val="20"/>
                <w:szCs w:val="20"/>
              </w:rPr>
              <w:t xml:space="preserve">&gt;=</w:t>
            </w:r>
          </w:p>
        </w:tc>
        <w:tc>
          <w:tcPr>
            <w:tcW w:type="dxa" w:w="28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color w:val="111111"/>
                <w:sz w:val="20"/>
                <w:szCs w:val="20"/>
              </w:rPr>
              <w:t xml:space="preserve">Greater than or equal to</w:t>
            </w:r>
          </w:p>
        </w:tc>
        <w:tc>
          <w:tcPr>
            <w:tcW w:type="dxa" w:w="53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Courier New" w:cs="Courier New" w:eastAsia="Courier New" w:hAnsi="Courier New"/>
                <w:color w:val="1A3A5C"/>
                <w:sz w:val="19"/>
                <w:szCs w:val="19"/>
              </w:rPr>
              <w:t xml:space="preserve">[age]&gt;=18</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&lt;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Less than</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3A5C"/>
                <w:sz w:val="19"/>
                <w:szCs w:val="19"/>
              </w:rPr>
              <w:t xml:space="preserve">[bmi]&lt;25</w:t>
            </w:r>
          </w:p>
        </w:tc>
      </w:tr>
      <w:tr>
        <w:tc>
          <w:tcPr>
            <w:tcW w:type="dxa" w:w="12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color w:val="111111"/>
                <w:sz w:val="20"/>
                <w:szCs w:val="20"/>
              </w:rPr>
              <w:t xml:space="preserve">&lt;=</w:t>
            </w:r>
          </w:p>
        </w:tc>
        <w:tc>
          <w:tcPr>
            <w:tcW w:type="dxa" w:w="28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color w:val="111111"/>
                <w:sz w:val="20"/>
                <w:szCs w:val="20"/>
              </w:rPr>
              <w:t xml:space="preserve">Less than or equal to</w:t>
            </w:r>
          </w:p>
        </w:tc>
        <w:tc>
          <w:tcPr>
            <w:tcW w:type="dxa" w:w="53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Courier New" w:cs="Courier New" w:eastAsia="Courier New" w:hAnsi="Courier New"/>
                <w:color w:val="1A3A5C"/>
                <w:sz w:val="19"/>
                <w:szCs w:val="19"/>
              </w:rPr>
              <w:t xml:space="preserve">[bmi]&lt;=25</w:t>
            </w:r>
          </w:p>
        </w:tc>
      </w:tr>
    </w:tbl>
    <w:p>
      <w:pPr>
        <w:spacing w:before="80" w:after="0"/>
      </w:pPr>
    </w:p>
    <w:p>
      <w:pPr>
        <w:pStyle w:val="Heading2"/>
        <w:spacing w:before="220" w:after="80"/>
      </w:pPr>
      <w:r>
        <w:rPr>
          <w:rFonts w:ascii="Arial" w:cs="Arial" w:eastAsia="Arial" w:hAnsi="Arial"/>
          <w:b/>
          <w:bCs/>
          <w:color w:val="333333"/>
          <w:sz w:val="26"/>
          <w:szCs w:val="26"/>
        </w:rPr>
        <w:t xml:space="preserve">3.3 Quotation Marks</w:t>
      </w:r>
    </w:p>
    <w:p>
      <w:pPr>
        <w:spacing w:before="60" w:after="60"/>
      </w:pPr>
      <w:r>
        <w:rPr>
          <w:rFonts w:ascii="Arial" w:cs="Arial" w:eastAsia="Arial" w:hAnsi="Arial"/>
          <w:color w:val="111111"/>
          <w:sz w:val="22"/>
          <w:szCs w:val="22"/>
        </w:rPr>
        <w:t xml:space="preserve">Any comparison value that is not a number must be enclosed in quotation marks. Both single and double quotes are accepted.</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before="20" w:after="20"/>
            </w:pPr>
            <w:r>
              <w:rPr>
                <w:rFonts w:ascii="Courier New" w:cs="Courier New" w:eastAsia="Courier New" w:hAnsi="Courier New"/>
                <w:color w:val="1A3A5C"/>
                <w:sz w:val="20"/>
                <w:szCs w:val="20"/>
              </w:rPr>
              <w:t xml:space="preserve">[fav_color]="green"    // double quotes</w:t>
            </w:r>
          </w:p>
          <w:p>
            <w:pPr>
              <w:spacing w:before="20" w:after="20"/>
            </w:pPr>
            <w:r>
              <w:rPr>
                <w:rFonts w:ascii="Courier New" w:cs="Courier New" w:eastAsia="Courier New" w:hAnsi="Courier New"/>
                <w:color w:val="1A3A5C"/>
                <w:sz w:val="20"/>
                <w:szCs w:val="20"/>
              </w:rPr>
              <w:t xml:space="preserve">[fav_color]='green'    // single quotes — equivalent</w:t>
            </w:r>
          </w:p>
          <w:p>
            <w:pPr>
              <w:spacing w:before="20" w:after="20"/>
            </w:pPr>
            <w:r>
              <w:rPr>
                <w:rFonts w:ascii="Courier New" w:cs="Courier New" w:eastAsia="Courier New" w:hAnsi="Courier New"/>
                <w:color w:val="1A3A5C"/>
                <w:sz w:val="20"/>
                <w:szCs w:val="20"/>
              </w:rPr>
              <w:t xml:space="preserve">[email]&lt;&gt;""           // empty string check (double quotes)</w:t>
            </w:r>
          </w:p>
          <w:p>
            <w:pPr>
              <w:spacing w:before="20" w:after="20"/>
            </w:pPr>
            <w:r>
              <w:rPr>
                <w:rFonts w:ascii="Courier New" w:cs="Courier New" w:eastAsia="Courier New" w:hAnsi="Courier New"/>
                <w:color w:val="1A3A5C"/>
                <w:sz w:val="20"/>
                <w:szCs w:val="20"/>
              </w:rPr>
              <w:t xml:space="preserve">[email]&lt;&gt;''            // empty string check (single quotes)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8E7" w:val="clear"/>
            <w:tcMar>
              <w:top w:type="dxa" w:w="100"/>
              <w:left w:type="dxa" w:w="160"/>
              <w:bottom w:type="dxa" w:w="100"/>
              <w:right w:type="dxa" w:w="160"/>
            </w:tcMar>
          </w:tcPr>
          <w:p>
            <w:r>
              <w:rPr>
                <w:rFonts w:ascii="Arial" w:cs="Arial" w:eastAsia="Arial" w:hAnsi="Arial"/>
                <w:b/>
                <w:bCs/>
                <w:sz w:val="20"/>
                <w:szCs w:val="20"/>
              </w:rPr>
              <w:t xml:space="preserve">Best Practice: </w:t>
            </w:r>
            <w:r>
              <w:rPr>
                <w:rFonts w:ascii="Arial" w:cs="Arial" w:eastAsia="Arial" w:hAnsi="Arial"/>
                <w:color w:val="111111"/>
                <w:sz w:val="20"/>
                <w:szCs w:val="20"/>
              </w:rPr>
              <w:t xml:space="preserve">If you plan to edit your logic via the Data Dictionary in Excel or another spreadsheet program, use single quotes throughout. Excel interprets double quotes as part of its own formula syntax, which can corrupt logic statements during CSV import/export.</w:t>
            </w:r>
          </w:p>
        </w:tc>
      </w:tr>
    </w:tbl>
    <w:p>
      <w:pPr>
        <w:spacing w:before="80" w:after="0"/>
      </w:pPr>
    </w:p>
    <w:p>
      <w:pPr>
        <w:pStyle w:val="Heading2"/>
        <w:spacing w:before="220" w:after="80"/>
      </w:pPr>
      <w:r>
        <w:rPr>
          <w:rFonts w:ascii="Arial" w:cs="Arial" w:eastAsia="Arial" w:hAnsi="Arial"/>
          <w:b/>
          <w:bCs/>
          <w:color w:val="333333"/>
          <w:sz w:val="26"/>
          <w:szCs w:val="26"/>
        </w:rPr>
        <w:t xml:space="preserve">3.4 Square Brackets [ ] and Their Uses</w:t>
      </w:r>
    </w:p>
    <w:p>
      <w:pPr>
        <w:spacing w:before="60" w:after="60"/>
      </w:pPr>
      <w:r>
        <w:rPr>
          <w:rFonts w:ascii="Arial" w:cs="Arial" w:eastAsia="Arial" w:hAnsi="Arial"/>
          <w:color w:val="111111"/>
          <w:sz w:val="22"/>
          <w:szCs w:val="22"/>
        </w:rPr>
        <w:t xml:space="preserve">Square brackets are used to reference three types of identifiers in REDCap logic:</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rPr>
          <w:tblHeader/>
        </w:trPr>
        <w:tc>
          <w:tcPr>
            <w:tcW w:type="dxa" w:w="240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What Is Referenced</w:t>
            </w:r>
          </w:p>
        </w:tc>
        <w:tc>
          <w:tcPr>
            <w:tcW w:type="dxa" w:w="276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Syntax</w:t>
            </w:r>
          </w:p>
        </w:tc>
        <w:tc>
          <w:tcPr>
            <w:tcW w:type="dxa" w:w="420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Regular field variable</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3A5C"/>
                <w:sz w:val="19"/>
                <w:szCs w:val="19"/>
              </w:rPr>
              <w:t xml:space="preserve">[variable_name]</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3A5C"/>
                <w:sz w:val="19"/>
                <w:szCs w:val="19"/>
              </w:rPr>
              <w:t xml:space="preserve">[first_name]</w:t>
            </w:r>
            <w:r>
              <w:rPr>
                <w:rFonts w:ascii="Arial" w:cs="Arial" w:eastAsia="Arial" w:hAnsi="Arial"/>
                <w:color w:val="111111"/>
                <w:sz w:val="20"/>
                <w:szCs w:val="20"/>
              </w:rPr>
              <w:t xml:space="preserve">, </w:t>
            </w:r>
            <w:r>
              <w:rPr>
                <w:rFonts w:ascii="Courier New" w:cs="Courier New" w:eastAsia="Courier New" w:hAnsi="Courier New"/>
                <w:color w:val="1A3A5C"/>
                <w:sz w:val="19"/>
                <w:szCs w:val="19"/>
              </w:rPr>
              <w:t xml:space="preserve">[dob]</w:t>
            </w:r>
          </w:p>
        </w:tc>
      </w:tr>
      <w:tr>
        <w:tc>
          <w:tcPr>
            <w:tcW w:type="dxa" w:w="24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color w:val="111111"/>
                <w:sz w:val="20"/>
                <w:szCs w:val="20"/>
              </w:rPr>
              <w:t xml:space="preserve">Checkbox sub-variable</w:t>
            </w:r>
          </w:p>
        </w:tc>
        <w:tc>
          <w:tcPr>
            <w:tcW w:type="dxa" w:w="27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Courier New" w:cs="Courier New" w:eastAsia="Courier New" w:hAnsi="Courier New"/>
                <w:color w:val="1A3A5C"/>
                <w:sz w:val="19"/>
                <w:szCs w:val="19"/>
              </w:rPr>
              <w:t xml:space="preserve">[variable_name(raw_value)]</w:t>
            </w:r>
          </w:p>
        </w:tc>
        <w:tc>
          <w:tcPr>
            <w:tcW w:type="dxa" w:w="42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Courier New" w:cs="Courier New" w:eastAsia="Courier New" w:hAnsi="Courier New"/>
                <w:color w:val="1A3A5C"/>
                <w:sz w:val="19"/>
                <w:szCs w:val="19"/>
              </w:rPr>
              <w:t xml:space="preserve">[conditions(3)]</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Longitudinal event (advanced)</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3A5C"/>
                <w:sz w:val="19"/>
                <w:szCs w:val="19"/>
              </w:rPr>
              <w:t xml:space="preserve">[event_name]</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3A5C"/>
                <w:sz w:val="19"/>
                <w:szCs w:val="19"/>
              </w:rPr>
              <w:t xml:space="preserve">[baseline_arm_1]</w:t>
            </w:r>
            <w:r>
              <w:rPr>
                <w:rFonts w:ascii="Arial" w:cs="Arial" w:eastAsia="Arial" w:hAnsi="Arial"/>
                <w:color w:val="111111"/>
                <w:sz w:val="20"/>
                <w:szCs w:val="20"/>
              </w:rPr>
              <w:t xml:space="preserve"> — covered in advanced series</w:t>
            </w:r>
          </w:p>
        </w:tc>
      </w:tr>
      <w:tr>
        <w:tc>
          <w:tcPr>
            <w:tcW w:type="dxa" w:w="24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color w:val="111111"/>
                <w:sz w:val="20"/>
                <w:szCs w:val="20"/>
              </w:rPr>
              <w:t xml:space="preserve">Smart variable (advanced)</w:t>
            </w:r>
          </w:p>
        </w:tc>
        <w:tc>
          <w:tcPr>
            <w:tcW w:type="dxa" w:w="27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Courier New" w:cs="Courier New" w:eastAsia="Courier New" w:hAnsi="Courier New"/>
                <w:color w:val="1A3A5C"/>
                <w:sz w:val="19"/>
                <w:szCs w:val="19"/>
              </w:rPr>
              <w:t xml:space="preserve">[smart_variable_name]</w:t>
            </w:r>
          </w:p>
        </w:tc>
        <w:tc>
          <w:tcPr>
            <w:tcW w:type="dxa" w:w="42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color w:val="111111"/>
                <w:sz w:val="20"/>
                <w:szCs w:val="20"/>
              </w:rPr>
              <w:t xml:space="preserve">Covered in separate training</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8E7" w:val="clear"/>
            <w:tcMar>
              <w:top w:type="dxa" w:w="100"/>
              <w:left w:type="dxa" w:w="160"/>
              <w:bottom w:type="dxa" w:w="100"/>
              <w:right w:type="dxa" w:w="160"/>
            </w:tcMar>
          </w:tcPr>
          <w:p>
            <w:r>
              <w:rPr>
                <w:rFonts w:ascii="Arial" w:cs="Arial" w:eastAsia="Arial" w:hAnsi="Arial"/>
                <w:b/>
                <w:bCs/>
                <w:sz w:val="20"/>
                <w:szCs w:val="20"/>
              </w:rPr>
              <w:t xml:space="preserve">Note: </w:t>
            </w:r>
            <w:r>
              <w:rPr>
                <w:rFonts w:ascii="Arial" w:cs="Arial" w:eastAsia="Arial" w:hAnsi="Arial"/>
                <w:color w:val="111111"/>
                <w:sz w:val="20"/>
                <w:szCs w:val="20"/>
              </w:rPr>
              <w:t xml:space="preserve">Curly brackets { } are used exclusively by the Field Embedding feature and have no role in branching logic syntax. If you see curly brackets in a logic field, something has gone wrong.</w:t>
            </w:r>
          </w:p>
        </w:tc>
      </w:tr>
    </w:tbl>
    <w:p>
      <w:pPr>
        <w:spacing w:before="80" w:after="0"/>
      </w:pPr>
    </w:p>
    <w:p>
      <w:pPr>
        <w:pStyle w:val="Heading2"/>
        <w:spacing w:before="220" w:after="80"/>
      </w:pPr>
      <w:r>
        <w:rPr>
          <w:rFonts w:ascii="Arial" w:cs="Arial" w:eastAsia="Arial" w:hAnsi="Arial"/>
          <w:b/>
          <w:bCs/>
          <w:color w:val="333333"/>
          <w:sz w:val="26"/>
          <w:szCs w:val="26"/>
        </w:rPr>
        <w:t xml:space="preserve">3.5 Boolean Operators</w:t>
      </w:r>
    </w:p>
    <w:p>
      <w:pPr>
        <w:spacing w:before="60" w:after="60"/>
      </w:pPr>
      <w:r>
        <w:rPr>
          <w:rFonts w:ascii="Arial" w:cs="Arial" w:eastAsia="Arial" w:hAnsi="Arial"/>
          <w:color w:val="111111"/>
          <w:sz w:val="22"/>
          <w:szCs w:val="22"/>
        </w:rPr>
        <w:t xml:space="preserve">Boolean operators join two or more logic statements together. REDCap supports AND, OR, and NOT (expressed as &lt;&gt;). Both uppercase and lowercase are accepted.</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60"/>
        <w:gridCol w:w="4400"/>
      </w:tblGrid>
      <w:tr>
        <w:trPr>
          <w:tblHeader/>
        </w:trPr>
        <w:tc>
          <w:tcPr>
            <w:tcW w:type="dxa" w:w="140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Operator</w:t>
            </w:r>
          </w:p>
        </w:tc>
        <w:tc>
          <w:tcPr>
            <w:tcW w:type="dxa" w:w="356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Behavior</w:t>
            </w:r>
          </w:p>
        </w:tc>
        <w:tc>
          <w:tcPr>
            <w:tcW w:type="dxa" w:w="440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AND / and</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Both statements must be true for the combined statement to be true</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3A5C"/>
                <w:sz w:val="19"/>
                <w:szCs w:val="19"/>
              </w:rPr>
              <w:t xml:space="preserve">[age]&gt;=18 and [consent]='1'</w:t>
            </w:r>
          </w:p>
        </w:tc>
      </w:tr>
      <w:tr>
        <w:tc>
          <w:tcPr>
            <w:tcW w:type="dxa" w:w="14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color w:val="111111"/>
                <w:sz w:val="20"/>
                <w:szCs w:val="20"/>
              </w:rPr>
              <w:t xml:space="preserve">OR / or</w:t>
            </w:r>
          </w:p>
        </w:tc>
        <w:tc>
          <w:tcPr>
            <w:tcW w:type="dxa" w:w="35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color w:val="111111"/>
                <w:sz w:val="20"/>
                <w:szCs w:val="20"/>
              </w:rPr>
              <w:t xml:space="preserve">At least one statement must be true for the combined statement to be true</w:t>
            </w:r>
          </w:p>
        </w:tc>
        <w:tc>
          <w:tcPr>
            <w:tcW w:type="dxa" w:w="44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Courier New" w:cs="Courier New" w:eastAsia="Courier New" w:hAnsi="Courier New"/>
                <w:color w:val="1A3A5C"/>
                <w:sz w:val="19"/>
                <w:szCs w:val="19"/>
              </w:rPr>
              <w:t xml:space="preserve">[country]='US' or [country]='CA'</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&lt;&gt; (not equal)</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True when the variable does NOT equal the comparison value</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3A5C"/>
                <w:sz w:val="19"/>
                <w:szCs w:val="19"/>
              </w:rPr>
              <w:t xml:space="preserve">[email]&lt;&gt;''</w:t>
            </w:r>
          </w:p>
        </w:tc>
      </w:tr>
    </w:tbl>
    <w:p>
      <w:pPr>
        <w:spacing w:before="40" w:after="0"/>
      </w:pPr>
    </w:p>
    <w:p>
      <w:pPr>
        <w:spacing w:before="60" w:after="60"/>
      </w:pPr>
      <w:r>
        <w:rPr>
          <w:rFonts w:ascii="Arial" w:cs="Arial" w:eastAsia="Arial" w:hAnsi="Arial"/>
          <w:color w:val="111111"/>
          <w:sz w:val="22"/>
          <w:szCs w:val="22"/>
        </w:rPr>
        <w:t xml:space="preserve">Combining AND and OR in the same statement requires parentheses to control evaluation order. See RC-BL-03 for full details.</w:t>
      </w:r>
    </w:p>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4. The Atomic Logic Statement</w:t>
      </w:r>
    </w:p>
    <w:p>
      <w:pPr>
        <w:spacing w:before="60" w:after="60"/>
      </w:pPr>
      <w:r>
        <w:rPr>
          <w:rFonts w:ascii="Arial" w:cs="Arial" w:eastAsia="Arial" w:hAnsi="Arial"/>
          <w:color w:val="111111"/>
          <w:sz w:val="22"/>
          <w:szCs w:val="22"/>
        </w:rPr>
        <w:t xml:space="preserve">Every logic statement — no matter how complex — is built from atomic statements. An atomic statement always has exactly three parts: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Part</w:t>
            </w:r>
          </w:p>
        </w:tc>
        <w:tc>
          <w:tcPr>
            <w:tcW w:type="dxa" w:w="340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416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 Variable</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 reference to a field in the current record, written in square brackets</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3A5C"/>
                <w:sz w:val="19"/>
                <w:szCs w:val="19"/>
              </w:rPr>
              <w:t xml:space="preserve">[age]</w:t>
            </w:r>
            <w:r>
              <w:rPr>
                <w:rFonts w:ascii="Arial" w:cs="Arial" w:eastAsia="Arial" w:hAnsi="Arial"/>
                <w:color w:val="111111"/>
                <w:sz w:val="20"/>
                <w:szCs w:val="20"/>
              </w:rPr>
              <w:t xml:space="preserve">  </w:t>
            </w:r>
            <w:r>
              <w:rPr>
                <w:rFonts w:ascii="Courier New" w:cs="Courier New" w:eastAsia="Courier New" w:hAnsi="Courier New"/>
                <w:color w:val="1A3A5C"/>
                <w:sz w:val="19"/>
                <w:szCs w:val="19"/>
              </w:rPr>
              <w:t xml:space="preserve">[consent_date]</w:t>
            </w:r>
            <w:r>
              <w:rPr>
                <w:rFonts w:ascii="Arial" w:cs="Arial" w:eastAsia="Arial" w:hAnsi="Arial"/>
                <w:color w:val="111111"/>
                <w:sz w:val="20"/>
                <w:szCs w:val="20"/>
              </w:rPr>
              <w:t xml:space="preserve">  </w:t>
            </w:r>
            <w:r>
              <w:rPr>
                <w:rFonts w:ascii="Courier New" w:cs="Courier New" w:eastAsia="Courier New" w:hAnsi="Courier New"/>
                <w:color w:val="1A3A5C"/>
                <w:sz w:val="19"/>
                <w:szCs w:val="19"/>
              </w:rPr>
              <w:t xml:space="preserve">[exclusion_q3]</w:t>
            </w:r>
          </w:p>
        </w:tc>
      </w:tr>
      <w:tr>
        <w:tc>
          <w:tcPr>
            <w:tcW w:type="dxa" w:w="18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color w:val="111111"/>
                <w:sz w:val="20"/>
                <w:szCs w:val="20"/>
              </w:rPr>
              <w:t xml:space="preserve">2. Operator</w:t>
            </w:r>
          </w:p>
        </w:tc>
        <w:tc>
          <w:tcPr>
            <w:tcW w:type="dxa" w:w="34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color w:val="111111"/>
                <w:sz w:val="20"/>
                <w:szCs w:val="20"/>
              </w:rPr>
              <w:t xml:space="preserve">Defines the comparison relationship</w:t>
            </w:r>
          </w:p>
        </w:tc>
        <w:tc>
          <w:tcPr>
            <w:tcW w:type="dxa" w:w="41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Courier New" w:cs="Courier New" w:eastAsia="Courier New" w:hAnsi="Courier New"/>
                <w:color w:val="1A3A5C"/>
                <w:sz w:val="19"/>
                <w:szCs w:val="19"/>
              </w:rPr>
              <w:t xml:space="preserve">=  &lt;&gt;  &gt;  &gt;=  &lt;  &lt;=</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3. Comparison value</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What the variable is being compared to</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3A5C"/>
                <w:sz w:val="19"/>
                <w:szCs w:val="19"/>
              </w:rPr>
              <w:t xml:space="preserve">18</w:t>
            </w:r>
            <w:r>
              <w:rPr>
                <w:rFonts w:ascii="Arial" w:cs="Arial" w:eastAsia="Arial" w:hAnsi="Arial"/>
                <w:color w:val="111111"/>
                <w:sz w:val="20"/>
                <w:szCs w:val="20"/>
              </w:rPr>
              <w:t xml:space="preserve">   </w:t>
            </w:r>
            <w:r>
              <w:rPr>
                <w:rFonts w:ascii="Courier New" w:cs="Courier New" w:eastAsia="Courier New" w:hAnsi="Courier New"/>
                <w:color w:val="1A3A5C"/>
                <w:sz w:val="19"/>
                <w:szCs w:val="19"/>
              </w:rPr>
              <w:t xml:space="preserve">'yes'</w:t>
            </w:r>
            <w:r>
              <w:rPr>
                <w:rFonts w:ascii="Arial" w:cs="Arial" w:eastAsia="Arial" w:hAnsi="Arial"/>
                <w:color w:val="111111"/>
                <w:sz w:val="20"/>
                <w:szCs w:val="20"/>
              </w:rPr>
              <w:t xml:space="preserve">   </w:t>
            </w:r>
            <w:r>
              <w:rPr>
                <w:rFonts w:ascii="Courier New" w:cs="Courier New" w:eastAsia="Courier New" w:hAnsi="Courier New"/>
                <w:color w:val="1A3A5C"/>
                <w:sz w:val="19"/>
                <w:szCs w:val="19"/>
              </w:rPr>
              <w:t xml:space="preserve">[other_var]</w:t>
            </w:r>
            <w:r>
              <w:rPr>
                <w:rFonts w:ascii="Arial" w:cs="Arial" w:eastAsia="Arial" w:hAnsi="Arial"/>
                <w:color w:val="111111"/>
                <w:sz w:val="20"/>
                <w:szCs w:val="20"/>
              </w:rPr>
              <w:t xml:space="preserve">   </w:t>
            </w:r>
            <w:r>
              <w:rPr>
                <w:rFonts w:ascii="Courier New" w:cs="Courier New" w:eastAsia="Courier New" w:hAnsi="Courier New"/>
                <w:color w:val="1A3A5C"/>
                <w:sz w:val="19"/>
                <w:szCs w:val="19"/>
              </w:rPr>
              <w:t xml:space="preserve">''</w:t>
            </w:r>
          </w:p>
        </w:tc>
      </w:tr>
    </w:tbl>
    <w:p>
      <w:pPr>
        <w:spacing w:before="60" w:after="0"/>
      </w:pPr>
    </w:p>
    <w:p>
      <w:pPr>
        <w:spacing w:before="60" w:after="60"/>
      </w:pPr>
      <w:r>
        <w:rPr>
          <w:rFonts w:ascii="Arial" w:cs="Arial" w:eastAsia="Arial" w:hAnsi="Arial"/>
          <w:color w:val="111111"/>
          <w:sz w:val="22"/>
          <w:szCs w:val="22"/>
        </w:rPr>
        <w:t xml:space="preserve">The comparison value can be one of the following types: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Comparison Value Type</w:t>
            </w:r>
          </w:p>
        </w:tc>
        <w:tc>
          <w:tcPr>
            <w:tcW w:type="dxa" w:w="340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56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Number</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No quotes needed (quotes also accepted)</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3A5C"/>
                <w:sz w:val="19"/>
                <w:szCs w:val="19"/>
              </w:rPr>
              <w:t xml:space="preserve">[age]&gt;=18</w:t>
            </w:r>
          </w:p>
        </w:tc>
      </w:tr>
      <w:tr>
        <w:tc>
          <w:tcPr>
            <w:tcW w:type="dxa" w:w="24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color w:val="111111"/>
                <w:sz w:val="20"/>
                <w:szCs w:val="20"/>
              </w:rPr>
              <w:t xml:space="preserve">Text string</w:t>
            </w:r>
          </w:p>
        </w:tc>
        <w:tc>
          <w:tcPr>
            <w:tcW w:type="dxa" w:w="34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color w:val="111111"/>
                <w:sz w:val="20"/>
                <w:szCs w:val="20"/>
              </w:rPr>
              <w:t xml:space="preserve">Must be enclosed in single or double quotes</w:t>
            </w:r>
          </w:p>
        </w:tc>
        <w:tc>
          <w:tcPr>
            <w:tcW w:type="dxa" w:w="35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Courier New" w:cs="Courier New" w:eastAsia="Courier New" w:hAnsi="Courier New"/>
                <w:color w:val="1A3A5C"/>
                <w:sz w:val="19"/>
                <w:szCs w:val="19"/>
              </w:rPr>
              <w:t xml:space="preserve">[status]='enrolled'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Empty / blank</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Two quotes with nothing between them</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3A5C"/>
                <w:sz w:val="19"/>
                <w:szCs w:val="19"/>
              </w:rPr>
              <w:t xml:space="preserve">[email]&lt;&gt;''</w:t>
            </w:r>
          </w:p>
        </w:tc>
      </w:tr>
      <w:tr>
        <w:tc>
          <w:tcPr>
            <w:tcW w:type="dxa" w:w="24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color w:val="111111"/>
                <w:sz w:val="20"/>
                <w:szCs w:val="20"/>
              </w:rPr>
              <w:t xml:space="preserve">Another variable</w:t>
            </w:r>
          </w:p>
        </w:tc>
        <w:tc>
          <w:tcPr>
            <w:tcW w:type="dxa" w:w="34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color w:val="111111"/>
                <w:sz w:val="20"/>
                <w:szCs w:val="20"/>
              </w:rPr>
              <w:t xml:space="preserve">Variable name in square brackets</w:t>
            </w:r>
          </w:p>
        </w:tc>
        <w:tc>
          <w:tcPr>
            <w:tcW w:type="dxa" w:w="35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Courier New" w:cs="Courier New" w:eastAsia="Courier New" w:hAnsi="Courier New"/>
                <w:color w:val="1A3A5C"/>
                <w:sz w:val="19"/>
                <w:szCs w:val="19"/>
              </w:rPr>
              <w:t xml:space="preserve">[email1]=[email2]</w:t>
            </w:r>
          </w:p>
        </w:tc>
      </w:tr>
    </w:tbl>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5. Worked Examples</w:t>
      </w:r>
    </w:p>
    <w:p>
      <w:pPr>
        <w:pStyle w:val="Heading2"/>
        <w:spacing w:before="220" w:after="80"/>
      </w:pPr>
      <w:r>
        <w:rPr>
          <w:rFonts w:ascii="Arial" w:cs="Arial" w:eastAsia="Arial" w:hAnsi="Arial"/>
          <w:b/>
          <w:bCs/>
          <w:color w:val="333333"/>
          <w:sz w:val="26"/>
          <w:szCs w:val="26"/>
        </w:rPr>
        <w:t xml:space="preserve">Example 1 — Equality: Show field only if age is exactly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before="20" w:after="20"/>
            </w:pPr>
            <w:r>
              <w:rPr>
                <w:rFonts w:ascii="Courier New" w:cs="Courier New" w:eastAsia="Courier New" w:hAnsi="Courier New"/>
                <w:color w:val="1A3A5C"/>
                <w:sz w:val="20"/>
                <w:szCs w:val="20"/>
              </w:rPr>
              <w:t xml:space="preserve">[age]=18</w:t>
            </w:r>
          </w:p>
        </w:tc>
      </w:tr>
    </w:tbl>
    <w:p>
      <w:pPr>
        <w:spacing w:before="60" w:after="60"/>
      </w:pPr>
      <w:r>
        <w:rPr>
          <w:rFonts w:ascii="Arial" w:cs="Arial" w:eastAsia="Arial" w:hAnsi="Arial"/>
          <w:color w:val="111111"/>
          <w:sz w:val="22"/>
          <w:szCs w:val="22"/>
        </w:rPr>
        <w:t xml:space="preserve">The field is shown only when the value of [age] equals exactly 18. Any other value hides the field.</w:t>
      </w:r>
    </w:p>
    <w:p>
      <w:pPr>
        <w:spacing w:before="60" w:after="0"/>
      </w:pPr>
    </w:p>
    <w:p>
      <w:pPr>
        <w:pStyle w:val="Heading2"/>
        <w:spacing w:before="220" w:after="80"/>
      </w:pPr>
      <w:r>
        <w:rPr>
          <w:rFonts w:ascii="Arial" w:cs="Arial" w:eastAsia="Arial" w:hAnsi="Arial"/>
          <w:b/>
          <w:bCs/>
          <w:color w:val="333333"/>
          <w:sz w:val="26"/>
          <w:szCs w:val="26"/>
        </w:rPr>
        <w:t xml:space="preserve">Example 2 — Greater Than or Equal: Show field for adults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before="20" w:after="20"/>
            </w:pPr>
            <w:r>
              <w:rPr>
                <w:rFonts w:ascii="Courier New" w:cs="Courier New" w:eastAsia="Courier New" w:hAnsi="Courier New"/>
                <w:color w:val="1A3A5C"/>
                <w:sz w:val="20"/>
                <w:szCs w:val="20"/>
              </w:rPr>
              <w:t xml:space="preserve">[age]&gt;=18</w:t>
            </w:r>
          </w:p>
        </w:tc>
      </w:tr>
    </w:tbl>
    <w:p>
      <w:pPr>
        <w:spacing w:before="60" w:after="60"/>
      </w:pPr>
      <w:r>
        <w:rPr>
          <w:rFonts w:ascii="Arial" w:cs="Arial" w:eastAsia="Arial" w:hAnsi="Arial"/>
          <w:color w:val="111111"/>
          <w:sz w:val="22"/>
          <w:szCs w:val="22"/>
        </w:rPr>
        <w:t xml:space="preserve">The field is shown when [age] is 18 or any higher number. The field is hidden for values below 18.</w:t>
      </w:r>
    </w:p>
    <w:p>
      <w:pPr>
        <w:spacing w:before="60" w:after="0"/>
      </w:pPr>
    </w:p>
    <w:p>
      <w:pPr>
        <w:pStyle w:val="Heading2"/>
        <w:spacing w:before="220" w:after="80"/>
      </w:pPr>
      <w:r>
        <w:rPr>
          <w:rFonts w:ascii="Arial" w:cs="Arial" w:eastAsia="Arial" w:hAnsi="Arial"/>
          <w:b/>
          <w:bCs/>
          <w:color w:val="333333"/>
          <w:sz w:val="26"/>
          <w:szCs w:val="26"/>
        </w:rPr>
        <w:t xml:space="preserve">Example 3 — Not Equal: Show field for any non-zero number of pregnancies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before="20" w:after="20"/>
            </w:pPr>
            <w:r>
              <w:rPr>
                <w:rFonts w:ascii="Courier New" w:cs="Courier New" w:eastAsia="Courier New" w:hAnsi="Courier New"/>
                <w:color w:val="1A3A5C"/>
                <w:sz w:val="20"/>
                <w:szCs w:val="20"/>
              </w:rPr>
              <w:t xml:space="preserve">[nr_pregnancies]&lt;&gt;0</w:t>
            </w:r>
          </w:p>
        </w:tc>
      </w:tr>
    </w:tbl>
    <w:p>
      <w:pPr>
        <w:spacing w:before="60" w:after="60"/>
      </w:pPr>
      <w:r>
        <w:rPr>
          <w:rFonts w:ascii="Arial" w:cs="Arial" w:eastAsia="Arial" w:hAnsi="Arial"/>
          <w:color w:val="111111"/>
          <w:sz w:val="22"/>
          <w:szCs w:val="22"/>
        </w:rPr>
        <w:t xml:space="preserve">The field is shown when [nr_pregnancies] is any value other than 0 (e.g., 1, 2, 3). Important: </w:t>
      </w:r>
      <w:r>
        <w:rPr>
          <w:rFonts w:ascii="Courier New" w:cs="Courier New" w:eastAsia="Courier New" w:hAnsi="Courier New"/>
          <w:color w:val="1A3A5C"/>
          <w:sz w:val="20"/>
          <w:szCs w:val="20"/>
        </w:rPr>
        <w:t xml:space="preserve">0</w:t>
      </w:r>
      <w:r>
        <w:rPr>
          <w:rFonts w:ascii="Arial" w:cs="Arial" w:eastAsia="Arial" w:hAnsi="Arial"/>
          <w:color w:val="111111"/>
          <w:sz w:val="22"/>
          <w:szCs w:val="22"/>
        </w:rPr>
        <w:t xml:space="preserve"> (numeric zero) and </w:t>
      </w:r>
      <w:r>
        <w:rPr>
          <w:rFonts w:ascii="Courier New" w:cs="Courier New" w:eastAsia="Courier New" w:hAnsi="Courier New"/>
          <w:color w:val="1A3A5C"/>
          <w:sz w:val="20"/>
          <w:szCs w:val="20"/>
        </w:rPr>
        <w:t xml:space="preserve">''</w:t>
      </w:r>
      <w:r>
        <w:rPr>
          <w:rFonts w:ascii="Arial" w:cs="Arial" w:eastAsia="Arial" w:hAnsi="Arial"/>
          <w:color w:val="111111"/>
          <w:sz w:val="22"/>
          <w:szCs w:val="22"/>
        </w:rPr>
        <w:t xml:space="preserve"> (empty/blank) are not the same thing. Zero is a data value; empty means no data has been entered at all.</w:t>
      </w:r>
    </w:p>
    <w:p>
      <w:pPr>
        <w:spacing w:before="60" w:after="0"/>
      </w:pPr>
    </w:p>
    <w:p>
      <w:pPr>
        <w:pStyle w:val="Heading2"/>
        <w:spacing w:before="220" w:after="80"/>
      </w:pPr>
      <w:r>
        <w:rPr>
          <w:rFonts w:ascii="Arial" w:cs="Arial" w:eastAsia="Arial" w:hAnsi="Arial"/>
          <w:b/>
          <w:bCs/>
          <w:color w:val="333333"/>
          <w:sz w:val="26"/>
          <w:szCs w:val="26"/>
        </w:rPr>
        <w:t xml:space="preserve">Example 4 — Empty Check: Show warning when email field is blank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before="20" w:after="20"/>
            </w:pPr>
            <w:r>
              <w:rPr>
                <w:rFonts w:ascii="Courier New" w:cs="Courier New" w:eastAsia="Courier New" w:hAnsi="Courier New"/>
                <w:color w:val="1A3A5C"/>
                <w:sz w:val="20"/>
                <w:szCs w:val="20"/>
              </w:rPr>
              <w:t xml:space="preserve">[email]&lt;&gt;''</w:t>
            </w:r>
          </w:p>
        </w:tc>
      </w:tr>
    </w:tbl>
    <w:p>
      <w:pPr>
        <w:spacing w:before="60" w:after="60"/>
      </w:pPr>
      <w:r>
        <w:rPr>
          <w:rFonts w:ascii="Arial" w:cs="Arial" w:eastAsia="Arial" w:hAnsi="Arial"/>
          <w:color w:val="111111"/>
          <w:sz w:val="22"/>
          <w:szCs w:val="22"/>
        </w:rPr>
        <w:t xml:space="preserve">The field is shown when [email] contains any value at all. It disappears the moment the user types anything into [email]. This pattern is commonly used to display warnings or reminders for fields that have not yet been filled in.</w:t>
      </w:r>
    </w:p>
    <w:p>
      <w:pPr>
        <w:spacing w:before="60" w:after="0"/>
      </w:pPr>
    </w:p>
    <w:p>
      <w:pPr>
        <w:pStyle w:val="Heading2"/>
        <w:spacing w:before="220" w:after="80"/>
      </w:pPr>
      <w:r>
        <w:rPr>
          <w:rFonts w:ascii="Arial" w:cs="Arial" w:eastAsia="Arial" w:hAnsi="Arial"/>
          <w:b/>
          <w:bCs/>
          <w:color w:val="333333"/>
          <w:sz w:val="26"/>
          <w:szCs w:val="26"/>
        </w:rPr>
        <w:t xml:space="preserve">Example 5 — Comparing Two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before="20" w:after="20"/>
            </w:pPr>
            <w:r>
              <w:rPr>
                <w:rFonts w:ascii="Courier New" w:cs="Courier New" w:eastAsia="Courier New" w:hAnsi="Courier New"/>
                <w:color w:val="1A3A5C"/>
                <w:sz w:val="20"/>
                <w:szCs w:val="20"/>
              </w:rPr>
              <w:t xml:space="preserve">[email_primary]=[email_secondary]</w:t>
            </w:r>
          </w:p>
        </w:tc>
      </w:tr>
    </w:tbl>
    <w:p>
      <w:pPr>
        <w:spacing w:before="60" w:after="60"/>
      </w:pPr>
      <w:r>
        <w:rPr>
          <w:rFonts w:ascii="Arial" w:cs="Arial" w:eastAsia="Arial" w:hAnsi="Arial"/>
          <w:color w:val="111111"/>
          <w:sz w:val="22"/>
          <w:szCs w:val="22"/>
        </w:rPr>
        <w:t xml:space="preserve">The field is shown when the value of [email_primary] exactly matches the value of [email_secondary]. Useful for validating that two fields have the same entry (e.g., email confirmation).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8E7" w:val="clear"/>
            <w:tcMar>
              <w:top w:type="dxa" w:w="100"/>
              <w:left w:type="dxa" w:w="160"/>
              <w:bottom w:type="dxa" w:w="100"/>
              <w:right w:type="dxa" w:w="160"/>
            </w:tcMar>
          </w:tcPr>
          <w:p>
            <w:r>
              <w:rPr>
                <w:rFonts w:ascii="Arial" w:cs="Arial" w:eastAsia="Arial" w:hAnsi="Arial"/>
                <w:b/>
                <w:bCs/>
                <w:sz w:val="20"/>
                <w:szCs w:val="20"/>
              </w:rPr>
              <w:t xml:space="preserve">Important: </w:t>
            </w:r>
            <w:r>
              <w:rPr>
                <w:rFonts w:ascii="Arial" w:cs="Arial" w:eastAsia="Arial" w:hAnsi="Arial"/>
                <w:color w:val="111111"/>
                <w:sz w:val="20"/>
                <w:szCs w:val="20"/>
              </w:rPr>
              <w:t xml:space="preserve">REDCap validates that your logic syntax is correct (valid operators, properly closed brackets, known variable names), but it does not validate whether the logic makes sense for your study. A statement like [age]=999 is syntactically valid but will never match any realistic data. Always test your logic against real or realistic test data.</w:t>
            </w:r>
          </w:p>
        </w:tc>
      </w:tr>
    </w:tbl>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6. Empty vs. Zero — A Critical Distinction</w:t>
      </w:r>
    </w:p>
    <w:p>
      <w:pPr>
        <w:spacing w:before="60" w:after="60"/>
      </w:pPr>
      <w:r>
        <w:rPr>
          <w:rFonts w:ascii="Arial" w:cs="Arial" w:eastAsia="Arial" w:hAnsi="Arial"/>
          <w:color w:val="111111"/>
          <w:sz w:val="22"/>
          <w:szCs w:val="22"/>
        </w:rPr>
        <w:t xml:space="preserve">One of the most common logic errors in REDCap is treating an empty field as equivalent to a field containing zero. They are not the same.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rPr>
          <w:tblHeader/>
        </w:trPr>
        <w:tc>
          <w:tcPr>
            <w:tcW w:type="dxa" w:w="160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400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376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How to Test For It</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Empty / blank</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No data has been entered into this field at all. The field has never been saved with a value.</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3A5C"/>
                <w:sz w:val="19"/>
                <w:szCs w:val="19"/>
              </w:rPr>
              <w:t xml:space="preserve">[field]=''</w:t>
            </w:r>
            <w:r>
              <w:rPr>
                <w:rFonts w:ascii="Arial" w:cs="Arial" w:eastAsia="Arial" w:hAnsi="Arial"/>
                <w:color w:val="111111"/>
                <w:sz w:val="20"/>
                <w:szCs w:val="20"/>
              </w:rPr>
              <w:t xml:space="preserve"> (equals empty string)</w:t>
            </w:r>
          </w:p>
        </w:tc>
      </w:tr>
      <w:tr>
        <w:tc>
          <w:tcPr>
            <w:tcW w:type="dxa" w:w="16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color w:val="111111"/>
                <w:sz w:val="20"/>
                <w:szCs w:val="20"/>
              </w:rPr>
              <w:t xml:space="preserve">Zero (numeric)</w:t>
            </w:r>
          </w:p>
        </w:tc>
        <w:tc>
          <w:tcPr>
            <w:tcW w:type="dxa" w:w="4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color w:val="111111"/>
                <w:sz w:val="20"/>
                <w:szCs w:val="20"/>
              </w:rPr>
              <w:t xml:space="preserve">The user actively entered the value 0 into a number field. Zero is a data value.</w:t>
            </w:r>
          </w:p>
        </w:tc>
        <w:tc>
          <w:tcPr>
            <w:tcW w:type="dxa" w:w="37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Courier New" w:cs="Courier New" w:eastAsia="Courier New" w:hAnsi="Courier New"/>
                <w:color w:val="1A3A5C"/>
                <w:sz w:val="19"/>
                <w:szCs w:val="19"/>
              </w:rPr>
              <w:t xml:space="preserve">[field]=0</w:t>
            </w:r>
            <w:r>
              <w:rPr>
                <w:rFonts w:ascii="Arial" w:cs="Arial" w:eastAsia="Arial" w:hAnsi="Arial"/>
                <w:color w:val="111111"/>
                <w:sz w:val="20"/>
                <w:szCs w:val="20"/>
              </w:rPr>
              <w:t xml:space="preserve"> or </w:t>
            </w:r>
            <w:r>
              <w:rPr>
                <w:rFonts w:ascii="Courier New" w:cs="Courier New" w:eastAsia="Courier New" w:hAnsi="Courier New"/>
                <w:color w:val="1A3A5C"/>
                <w:sz w:val="19"/>
                <w:szCs w:val="19"/>
              </w:rPr>
              <w:t xml:space="preserve">[field]='0'</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8E7" w:val="clear"/>
            <w:tcMar>
              <w:top w:type="dxa" w:w="100"/>
              <w:left w:type="dxa" w:w="160"/>
              <w:bottom w:type="dxa" w:w="100"/>
              <w:right w:type="dxa" w:w="160"/>
            </w:tcMar>
          </w:tcPr>
          <w:p>
            <w:r>
              <w:rPr>
                <w:rFonts w:ascii="Arial" w:cs="Arial" w:eastAsia="Arial" w:hAnsi="Arial"/>
                <w:b/>
                <w:bCs/>
                <w:sz w:val="20"/>
                <w:szCs w:val="20"/>
              </w:rPr>
              <w:t xml:space="preserve">Note: </w:t>
            </w:r>
            <w:r>
              <w:rPr>
                <w:rFonts w:ascii="Arial" w:cs="Arial" w:eastAsia="Arial" w:hAnsi="Arial"/>
                <w:color w:val="111111"/>
                <w:sz w:val="20"/>
                <w:szCs w:val="20"/>
              </w:rPr>
              <w:t xml:space="preserve">Using </w:t>
            </w:r>
            <w:r>
              <w:rPr>
                <w:rFonts w:ascii="Courier New" w:cs="Courier New" w:eastAsia="Courier New" w:hAnsi="Courier New"/>
                <w:color w:val="1A3A5C"/>
                <w:sz w:val="19"/>
                <w:szCs w:val="19"/>
              </w:rPr>
              <w:t xml:space="preserve">[nr_pregnancies]&lt;&gt;0</w:t>
            </w:r>
            <w:r>
              <w:rPr>
                <w:rFonts w:ascii="Arial" w:cs="Arial" w:eastAsia="Arial" w:hAnsi="Arial"/>
                <w:color w:val="111111"/>
                <w:sz w:val="20"/>
                <w:szCs w:val="20"/>
              </w:rPr>
              <w:t xml:space="preserve"> will evaluate to true for both an empty field AND for values like 1, 2, 3. If you specifically want to test for a field that has been actively filled in with a non-zero number, combine conditions: </w:t>
            </w:r>
            <w:r>
              <w:rPr>
                <w:rFonts w:ascii="Courier New" w:cs="Courier New" w:eastAsia="Courier New" w:hAnsi="Courier New"/>
                <w:color w:val="1A3A5C"/>
                <w:sz w:val="19"/>
                <w:szCs w:val="19"/>
              </w:rPr>
              <w:t xml:space="preserve">[nr_pregnancies]&lt;&gt;'' and [nr_pregnancies]&lt;&gt;0</w:t>
            </w:r>
            <w:r>
              <w:rPr>
                <w:rFonts w:ascii="Arial" w:cs="Arial" w:eastAsia="Arial" w:hAnsi="Arial"/>
                <w:color w:val="111111"/>
                <w:sz w:val="20"/>
                <w:szCs w:val="20"/>
              </w:rPr>
              <w:t xml:space="preserve">.</w:t>
            </w:r>
          </w:p>
        </w:tc>
      </w:tr>
    </w:tbl>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7. Common Questions</w:t>
      </w:r>
    </w:p>
    <w:p>
      <w:pPr>
        <w:spacing w:before="120" w:after="40"/>
      </w:pPr>
      <w:r>
        <w:rPr>
          <w:rFonts w:ascii="Arial" w:cs="Arial" w:eastAsia="Arial" w:hAnsi="Arial"/>
          <w:b/>
          <w:bCs/>
          <w:color w:val="111111"/>
          <w:sz w:val="22"/>
          <w:szCs w:val="22"/>
        </w:rPr>
        <w:t xml:space="preserve">Q: Do I need to use quotes around numbers in logic statements?</w:t>
      </w:r>
    </w:p>
    <w:p>
      <w:pPr>
        <w:spacing w:before="0" w:after="100"/>
      </w:pPr>
      <w:r>
        <w:rPr>
          <w:rFonts w:ascii="Arial" w:cs="Arial" w:eastAsia="Arial" w:hAnsi="Arial"/>
          <w:b/>
          <w:bCs/>
          <w:color w:val="111111"/>
          <w:sz w:val="22"/>
          <w:szCs w:val="22"/>
        </w:rPr>
        <w:t xml:space="preserve">A: </w:t>
      </w:r>
      <w:r>
        <w:rPr>
          <w:rFonts w:ascii="Arial" w:cs="Arial" w:eastAsia="Arial" w:hAnsi="Arial"/>
          <w:color w:val="111111"/>
          <w:sz w:val="22"/>
          <w:szCs w:val="22"/>
        </w:rPr>
        <w:t xml:space="preserve">Not strictly. REDCap accepts numbers with or without quotes (e.g., </w:t>
      </w:r>
      <w:r>
        <w:rPr>
          <w:rFonts w:ascii="Courier New" w:cs="Courier New" w:eastAsia="Courier New" w:hAnsi="Courier New"/>
          <w:color w:val="1A3A5C"/>
          <w:sz w:val="20"/>
          <w:szCs w:val="20"/>
        </w:rPr>
        <w:t xml:space="preserve">[age]=18</w:t>
      </w:r>
      <w:r>
        <w:rPr>
          <w:rFonts w:ascii="Arial" w:cs="Arial" w:eastAsia="Arial" w:hAnsi="Arial"/>
          <w:color w:val="111111"/>
          <w:sz w:val="22"/>
          <w:szCs w:val="22"/>
        </w:rPr>
        <w:t xml:space="preserve"> and </w:t>
      </w:r>
      <w:r>
        <w:rPr>
          <w:rFonts w:ascii="Courier New" w:cs="Courier New" w:eastAsia="Courier New" w:hAnsi="Courier New"/>
          <w:color w:val="1A3A5C"/>
          <w:sz w:val="20"/>
          <w:szCs w:val="20"/>
        </w:rPr>
        <w:t xml:space="preserve">[age]='18'</w:t>
      </w:r>
      <w:r>
        <w:rPr>
          <w:rFonts w:ascii="Arial" w:cs="Arial" w:eastAsia="Arial" w:hAnsi="Arial"/>
          <w:color w:val="111111"/>
          <w:sz w:val="22"/>
          <w:szCs w:val="22"/>
        </w:rPr>
        <w:t xml:space="preserve"> both work). However, wrapping numbers in single quotes is considered best practice because it is consistent and avoids ambiguity.</w:t>
      </w:r>
    </w:p>
    <w:p>
      <w:pPr>
        <w:spacing w:before="120" w:after="40"/>
      </w:pPr>
      <w:r>
        <w:rPr>
          <w:rFonts w:ascii="Arial" w:cs="Arial" w:eastAsia="Arial" w:hAnsi="Arial"/>
          <w:b/>
          <w:bCs/>
          <w:color w:val="111111"/>
          <w:sz w:val="22"/>
          <w:szCs w:val="22"/>
        </w:rPr>
        <w:t xml:space="preserve">Q: Are variable names in logic case-sensitive?</w:t>
      </w:r>
    </w:p>
    <w:p>
      <w:pPr>
        <w:spacing w:before="0" w:after="100"/>
      </w:pPr>
      <w:r>
        <w:rPr>
          <w:rFonts w:ascii="Arial" w:cs="Arial" w:eastAsia="Arial" w:hAnsi="Arial"/>
          <w:b/>
          <w:bCs/>
          <w:color w:val="111111"/>
          <w:sz w:val="22"/>
          <w:szCs w:val="22"/>
        </w:rPr>
        <w:t xml:space="preserve">A: </w:t>
      </w:r>
      <w:r>
        <w:rPr>
          <w:rFonts w:ascii="Arial" w:cs="Arial" w:eastAsia="Arial" w:hAnsi="Arial"/>
          <w:color w:val="111111"/>
          <w:sz w:val="22"/>
          <w:szCs w:val="22"/>
        </w:rPr>
        <w:t xml:space="preserve">No. Variable names in REDCap are always lowercase (REDCap enforces this), and logic syntax treats them case-insensitively. However, text string comparison values are case-sensitive. </w:t>
      </w:r>
      <w:r>
        <w:rPr>
          <w:rFonts w:ascii="Courier New" w:cs="Courier New" w:eastAsia="Courier New" w:hAnsi="Courier New"/>
          <w:color w:val="1A3A5C"/>
          <w:sz w:val="20"/>
          <w:szCs w:val="20"/>
        </w:rPr>
        <w:t xml:space="preserve">[status]='Enrolled'</w:t>
      </w:r>
      <w:r>
        <w:rPr>
          <w:rFonts w:ascii="Arial" w:cs="Arial" w:eastAsia="Arial" w:hAnsi="Arial"/>
          <w:color w:val="111111"/>
          <w:sz w:val="22"/>
          <w:szCs w:val="22"/>
        </w:rPr>
        <w:t xml:space="preserve"> will not match a stored value of </w:t>
      </w:r>
      <w:r>
        <w:rPr>
          <w:rFonts w:ascii="Courier New" w:cs="Courier New" w:eastAsia="Courier New" w:hAnsi="Courier New"/>
          <w:color w:val="1A3A5C"/>
          <w:sz w:val="20"/>
          <w:szCs w:val="20"/>
        </w:rPr>
        <w:t xml:space="preserve">'enrolled'</w:t>
      </w:r>
      <w:r>
        <w:rPr>
          <w:rFonts w:ascii="Arial" w:cs="Arial" w:eastAsia="Arial" w:hAnsi="Arial"/>
          <w:color w:val="111111"/>
          <w:sz w:val="22"/>
          <w:szCs w:val="22"/>
        </w:rPr>
        <w:t xml:space="preserve"> (lowercase e).</w:t>
      </w:r>
    </w:p>
    <w:p>
      <w:pPr>
        <w:spacing w:before="120" w:after="40"/>
      </w:pPr>
      <w:r>
        <w:rPr>
          <w:rFonts w:ascii="Arial" w:cs="Arial" w:eastAsia="Arial" w:hAnsi="Arial"/>
          <w:b/>
          <w:bCs/>
          <w:color w:val="111111"/>
          <w:sz w:val="22"/>
          <w:szCs w:val="22"/>
        </w:rPr>
        <w:t xml:space="preserve">Q: Can I reference a field from a different record in my logic?</w:t>
      </w:r>
    </w:p>
    <w:p>
      <w:pPr>
        <w:spacing w:before="0" w:after="100"/>
      </w:pPr>
      <w:r>
        <w:rPr>
          <w:rFonts w:ascii="Arial" w:cs="Arial" w:eastAsia="Arial" w:hAnsi="Arial"/>
          <w:b/>
          <w:bCs/>
          <w:color w:val="111111"/>
          <w:sz w:val="22"/>
          <w:szCs w:val="22"/>
        </w:rPr>
        <w:t xml:space="preserve">A: </w:t>
      </w:r>
      <w:r>
        <w:rPr>
          <w:rFonts w:ascii="Arial" w:cs="Arial" w:eastAsia="Arial" w:hAnsi="Arial"/>
          <w:color w:val="111111"/>
          <w:sz w:val="22"/>
          <w:szCs w:val="22"/>
        </w:rPr>
        <w:t xml:space="preserve">No. Logic statements can only reference fields within the same record. You cannot write logic that says 'show this field if the value in record 2 is X'. All variable references are scoped to the current record.</w:t>
      </w:r>
    </w:p>
    <w:p>
      <w:pPr>
        <w:spacing w:before="120" w:after="40"/>
      </w:pPr>
      <w:r>
        <w:rPr>
          <w:rFonts w:ascii="Arial" w:cs="Arial" w:eastAsia="Arial" w:hAnsi="Arial"/>
          <w:b/>
          <w:bCs/>
          <w:color w:val="111111"/>
          <w:sz w:val="22"/>
          <w:szCs w:val="22"/>
        </w:rPr>
        <w:t xml:space="preserve">Q: Can I use a function like datediff() as the comparison value?</w:t>
      </w:r>
    </w:p>
    <w:p>
      <w:pPr>
        <w:spacing w:before="0" w:after="100"/>
      </w:pPr>
      <w:r>
        <w:rPr>
          <w:rFonts w:ascii="Arial" w:cs="Arial" w:eastAsia="Arial" w:hAnsi="Arial"/>
          <w:b/>
          <w:bCs/>
          <w:color w:val="111111"/>
          <w:sz w:val="22"/>
          <w:szCs w:val="22"/>
        </w:rPr>
        <w:t xml:space="preserve">A: </w:t>
      </w:r>
      <w:r>
        <w:rPr>
          <w:rFonts w:ascii="Arial" w:cs="Arial" w:eastAsia="Arial" w:hAnsi="Arial"/>
          <w:color w:val="111111"/>
          <w:sz w:val="22"/>
          <w:szCs w:val="22"/>
        </w:rPr>
        <w:t xml:space="preserve">Yes — REDCap functions can be used in logic statements. However, functions are an advanced topic outside the scope of this basic series. See the dedicated functions training for details.</w:t>
      </w:r>
    </w:p>
    <w:p>
      <w:pPr>
        <w:spacing w:before="120" w:after="40"/>
      </w:pPr>
      <w:r>
        <w:rPr>
          <w:rFonts w:ascii="Arial" w:cs="Arial" w:eastAsia="Arial" w:hAnsi="Arial"/>
          <w:b/>
          <w:bCs/>
          <w:color w:val="111111"/>
          <w:sz w:val="22"/>
          <w:szCs w:val="22"/>
        </w:rPr>
        <w:t xml:space="preserve">Q: What happens if I reference a variable name that doesn't exist?</w:t>
      </w:r>
    </w:p>
    <w:p>
      <w:pPr>
        <w:spacing w:before="0" w:after="100"/>
      </w:pPr>
      <w:r>
        <w:rPr>
          <w:rFonts w:ascii="Arial" w:cs="Arial" w:eastAsia="Arial" w:hAnsi="Arial"/>
          <w:b/>
          <w:bCs/>
          <w:color w:val="111111"/>
          <w:sz w:val="22"/>
          <w:szCs w:val="22"/>
        </w:rPr>
        <w:t xml:space="preserve">A: </w:t>
      </w:r>
      <w:r>
        <w:rPr>
          <w:rFonts w:ascii="Arial" w:cs="Arial" w:eastAsia="Arial" w:hAnsi="Arial"/>
          <w:color w:val="111111"/>
          <w:sz w:val="22"/>
          <w:szCs w:val="22"/>
        </w:rPr>
        <w:t xml:space="preserve">The Online Designer's logic validator will flag the statement as invalid and will not save it. In the Data Dictionary, an invalid variable reference will cause an upload error. Always verify variable names against the Codebook (RC-FD-05) before writing logic.</w:t>
      </w:r>
    </w:p>
    <w:p>
      <w:pPr>
        <w:spacing w:before="160" w:after="0"/>
      </w:pPr>
    </w:p>
    <w:p>
      <w:pPr>
        <w:pStyle w:val="Heading1"/>
        <w:pBdr>
          <w:bottom w:val="single" w:color="2C5F8A" w:sz="6" w:space="4"/>
        </w:pBdr>
        <w:spacing w:before="300" w:after="120"/>
      </w:pPr>
      <w:r>
        <w:rPr>
          <w:rFonts w:ascii="Arial" w:cs="Arial" w:eastAsia="Arial" w:hAnsi="Arial"/>
          <w:b/>
          <w:bCs/>
          <w:color w:val="2C5F8A"/>
          <w:sz w:val="32"/>
          <w:szCs w:val="32"/>
        </w:rPr>
        <w:t xml:space="preserve">8. Common Mistakes &amp; Gotchas</w:t>
      </w:r>
    </w:p>
    <w:p>
      <w:pPr>
        <w:pStyle w:val="ListParagraph"/>
        <w:numPr>
          <w:ilvl w:val="0"/>
          <w:numId w:val="2"/>
        </w:numPr>
        <w:spacing w:before="40" w:after="40"/>
      </w:pPr>
      <w:r>
        <w:rPr>
          <w:rFonts w:ascii="Arial" w:cs="Arial" w:eastAsia="Arial" w:hAnsi="Arial"/>
          <w:color w:val="111111"/>
          <w:sz w:val="22"/>
          <w:szCs w:val="22"/>
        </w:rPr>
        <w:t xml:space="preserve">Comparing text without quotes: </w:t>
      </w:r>
      <w:r>
        <w:rPr>
          <w:rFonts w:ascii="Courier New" w:cs="Courier New" w:eastAsia="Courier New" w:hAnsi="Courier New"/>
          <w:color w:val="1A3A5C"/>
          <w:sz w:val="20"/>
          <w:szCs w:val="20"/>
        </w:rPr>
        <w:t xml:space="preserve">[status]=enrolled</w:t>
      </w:r>
      <w:r>
        <w:rPr>
          <w:rFonts w:ascii="Arial" w:cs="Arial" w:eastAsia="Arial" w:hAnsi="Arial"/>
          <w:color w:val="111111"/>
          <w:sz w:val="22"/>
          <w:szCs w:val="22"/>
        </w:rPr>
        <w:t xml:space="preserve"> is invalid — </w:t>
      </w:r>
      <w:r>
        <w:rPr>
          <w:rFonts w:ascii="Courier New" w:cs="Courier New" w:eastAsia="Courier New" w:hAnsi="Courier New"/>
          <w:color w:val="1A3A5C"/>
          <w:sz w:val="20"/>
          <w:szCs w:val="20"/>
        </w:rPr>
        <w:t xml:space="preserve">enrolled</w:t>
      </w:r>
      <w:r>
        <w:rPr>
          <w:rFonts w:ascii="Arial" w:cs="Arial" w:eastAsia="Arial" w:hAnsi="Arial"/>
          <w:color w:val="111111"/>
          <w:sz w:val="22"/>
          <w:szCs w:val="22"/>
        </w:rPr>
        <w:t xml:space="preserve"> must be quoted as </w:t>
      </w:r>
      <w:r>
        <w:rPr>
          <w:rFonts w:ascii="Courier New" w:cs="Courier New" w:eastAsia="Courier New" w:hAnsi="Courier New"/>
          <w:color w:val="1A3A5C"/>
          <w:sz w:val="20"/>
          <w:szCs w:val="20"/>
        </w:rPr>
        <w:t xml:space="preserve">'enrolled'</w:t>
      </w:r>
      <w:r>
        <w:rPr>
          <w:rFonts w:ascii="Arial" w:cs="Arial" w:eastAsia="Arial" w:hAnsi="Arial"/>
          <w:color w:val="111111"/>
          <w:sz w:val="22"/>
          <w:szCs w:val="22"/>
        </w:rPr>
        <w:t xml:space="preserve">. Unquoted non-numeric values cause syntax errors.</w:t>
      </w:r>
    </w:p>
    <w:p>
      <w:pPr>
        <w:pStyle w:val="ListParagraph"/>
        <w:numPr>
          <w:ilvl w:val="0"/>
          <w:numId w:val="2"/>
        </w:numPr>
        <w:spacing w:before="40" w:after="40"/>
      </w:pPr>
      <w:r>
        <w:rPr>
          <w:rFonts w:ascii="Arial" w:cs="Arial" w:eastAsia="Arial" w:hAnsi="Arial"/>
          <w:color w:val="111111"/>
          <w:sz w:val="22"/>
          <w:szCs w:val="22"/>
        </w:rPr>
        <w:t xml:space="preserve">Using double quotes in Excel-edited Data Dictionary files: Excel corrupts double-quoted strings in CSV files. Use single quotes (</w:t>
      </w:r>
      <w:r>
        <w:rPr>
          <w:rFonts w:ascii="Courier New" w:cs="Courier New" w:eastAsia="Courier New" w:hAnsi="Courier New"/>
          <w:color w:val="1A3A5C"/>
          <w:sz w:val="20"/>
          <w:szCs w:val="20"/>
        </w:rPr>
        <w:t xml:space="preserve">'value'</w:t>
      </w:r>
      <w:r>
        <w:rPr>
          <w:rFonts w:ascii="Arial" w:cs="Arial" w:eastAsia="Arial" w:hAnsi="Arial"/>
          <w:color w:val="111111"/>
          <w:sz w:val="22"/>
          <w:szCs w:val="22"/>
        </w:rPr>
        <w:t xml:space="preserve">) instead of double quotes (</w:t>
      </w:r>
      <w:r>
        <w:rPr>
          <w:rFonts w:ascii="Courier New" w:cs="Courier New" w:eastAsia="Courier New" w:hAnsi="Courier New"/>
          <w:color w:val="1A3A5C"/>
          <w:sz w:val="20"/>
          <w:szCs w:val="20"/>
        </w:rPr>
        <w:t xml:space="preserve">"value"</w:t>
      </w:r>
      <w:r>
        <w:rPr>
          <w:rFonts w:ascii="Arial" w:cs="Arial" w:eastAsia="Arial" w:hAnsi="Arial"/>
          <w:color w:val="111111"/>
          <w:sz w:val="22"/>
          <w:szCs w:val="22"/>
        </w:rPr>
        <w:t xml:space="preserve">) whenever the Data Dictionary will be edited in a spreadsheet program.</w:t>
      </w:r>
    </w:p>
    <w:p>
      <w:pPr>
        <w:pStyle w:val="ListParagraph"/>
        <w:numPr>
          <w:ilvl w:val="0"/>
          <w:numId w:val="2"/>
        </w:numPr>
        <w:spacing w:before="40" w:after="40"/>
      </w:pPr>
      <w:r>
        <w:rPr>
          <w:rFonts w:ascii="Arial" w:cs="Arial" w:eastAsia="Arial" w:hAnsi="Arial"/>
          <w:color w:val="111111"/>
          <w:sz w:val="22"/>
          <w:szCs w:val="22"/>
        </w:rPr>
        <w:t xml:space="preserve">Treating empty as zero: an empty field and a field containing 0 are different states. Test for them separately when both matter to your logic.</w:t>
      </w:r>
    </w:p>
    <w:p>
      <w:pPr>
        <w:pStyle w:val="ListParagraph"/>
        <w:numPr>
          <w:ilvl w:val="0"/>
          <w:numId w:val="2"/>
        </w:numPr>
        <w:spacing w:before="40" w:after="40"/>
      </w:pPr>
      <w:r>
        <w:rPr>
          <w:rFonts w:ascii="Arial" w:cs="Arial" w:eastAsia="Arial" w:hAnsi="Arial"/>
          <w:color w:val="111111"/>
          <w:sz w:val="22"/>
          <w:szCs w:val="22"/>
        </w:rPr>
        <w:t xml:space="preserve">Using curly brackets for variable references: curly brackets { } are for Field Embedding only. Variable references always use square brackets []. Writing </w:t>
      </w:r>
      <w:r>
        <w:rPr>
          <w:rFonts w:ascii="Courier New" w:cs="Courier New" w:eastAsia="Courier New" w:hAnsi="Courier New"/>
          <w:color w:val="1A3A5C"/>
          <w:sz w:val="20"/>
          <w:szCs w:val="20"/>
        </w:rPr>
        <w:t xml:space="preserve">{variable}</w:t>
      </w:r>
      <w:r>
        <w:rPr>
          <w:rFonts w:ascii="Arial" w:cs="Arial" w:eastAsia="Arial" w:hAnsi="Arial"/>
          <w:color w:val="111111"/>
          <w:sz w:val="22"/>
          <w:szCs w:val="22"/>
        </w:rPr>
        <w:t xml:space="preserve"> in a logic field will not work.</w:t>
      </w:r>
    </w:p>
    <w:p>
      <w:pPr>
        <w:pStyle w:val="ListParagraph"/>
        <w:numPr>
          <w:ilvl w:val="0"/>
          <w:numId w:val="2"/>
        </w:numPr>
        <w:spacing w:before="40" w:after="40"/>
      </w:pPr>
      <w:r>
        <w:rPr>
          <w:rFonts w:ascii="Arial" w:cs="Arial" w:eastAsia="Arial" w:hAnsi="Arial"/>
          <w:color w:val="111111"/>
          <w:sz w:val="22"/>
          <w:szCs w:val="22"/>
        </w:rPr>
        <w:t xml:space="preserve">Not testing logic against realistic data: REDCap validates syntax, not meaning. A statement can be syntactically valid but logically impossible (e.g., a range where min &gt; max). Always run test records to confirm the field shows and hides as intended.</w:t>
      </w:r>
    </w:p>
    <w:p>
      <w:pPr>
        <w:spacing w:before="160" w:after="0"/>
      </w:pPr>
    </w:p>
    <w:p>
      <w:pPr>
        <w:pStyle w:val="Heading1"/>
        <w:pBdr>
          <w:bottom w:val="single" w:color="2C5F8A" w:sz="6" w:space="4"/>
        </w:pBdr>
        <w:spacing w:before="300" w:after="120"/>
      </w:pPr>
      <w:r>
        <w:rPr>
          <w:rFonts w:ascii="Arial" w:cs="Arial" w:eastAsia="Arial" w:hAnsi="Arial"/>
          <w:b/>
          <w:bCs/>
          <w:color w:val="2C5F8A"/>
          <w:sz w:val="32"/>
          <w:szCs w:val="32"/>
        </w:rPr>
        <w:t xml:space="preserve">9. Related Articles</w:t>
      </w:r>
    </w:p>
    <w:p>
      <w:pPr>
        <w:pStyle w:val="ListParagraph"/>
        <w:numPr>
          <w:ilvl w:val="0"/>
          <w:numId w:val="2"/>
        </w:numPr>
        <w:spacing w:before="40" w:after="40"/>
      </w:pPr>
      <w:r>
        <w:rPr>
          <w:rFonts w:ascii="Arial" w:cs="Arial" w:eastAsia="Arial" w:hAnsi="Arial"/>
          <w:color w:val="111111"/>
          <w:sz w:val="22"/>
          <w:szCs w:val="22"/>
        </w:rPr>
        <w:t xml:space="preserve">RC-BL-01 — Branching Logic Overview &amp; Scope (prerequisite)</w:t>
      </w:r>
    </w:p>
    <w:p>
      <w:pPr>
        <w:pStyle w:val="ListParagraph"/>
        <w:numPr>
          <w:ilvl w:val="0"/>
          <w:numId w:val="2"/>
        </w:numPr>
        <w:spacing w:before="40" w:after="40"/>
      </w:pPr>
      <w:r>
        <w:rPr>
          <w:rFonts w:ascii="Arial" w:cs="Arial" w:eastAsia="Arial" w:hAnsi="Arial"/>
          <w:color w:val="111111"/>
          <w:sz w:val="22"/>
          <w:szCs w:val="22"/>
        </w:rPr>
        <w:t xml:space="preserve">RC-BL-03 — Combining Logic Statements (AND, OR, parentheses)</w:t>
      </w:r>
    </w:p>
    <w:p>
      <w:pPr>
        <w:pStyle w:val="ListParagraph"/>
        <w:numPr>
          <w:ilvl w:val="0"/>
          <w:numId w:val="2"/>
        </w:numPr>
        <w:spacing w:before="40" w:after="40"/>
      </w:pPr>
      <w:r>
        <w:rPr>
          <w:rFonts w:ascii="Arial" w:cs="Arial" w:eastAsia="Arial" w:hAnsi="Arial"/>
          <w:color w:val="111111"/>
          <w:sz w:val="22"/>
          <w:szCs w:val="22"/>
        </w:rPr>
        <w:t xml:space="preserve">RC-BL-04 — Branching Logic for Structured Fields &amp; Checkboxes</w:t>
      </w:r>
    </w:p>
    <w:p>
      <w:pPr>
        <w:pStyle w:val="ListParagraph"/>
        <w:numPr>
          <w:ilvl w:val="0"/>
          <w:numId w:val="2"/>
        </w:numPr>
        <w:spacing w:before="40" w:after="40"/>
      </w:pPr>
      <w:r>
        <w:rPr>
          <w:rFonts w:ascii="Arial" w:cs="Arial" w:eastAsia="Arial" w:hAnsi="Arial"/>
          <w:color w:val="111111"/>
          <w:sz w:val="22"/>
          <w:szCs w:val="22"/>
        </w:rPr>
        <w:t xml:space="preserve">RC-FD-02 — Online Designer (where branching logic is configured per field)</w:t>
      </w:r>
    </w:p>
    <w:p>
      <w:pPr>
        <w:pStyle w:val="ListParagraph"/>
        <w:numPr>
          <w:ilvl w:val="0"/>
          <w:numId w:val="2"/>
        </w:numPr>
        <w:spacing w:before="40" w:after="40"/>
      </w:pPr>
      <w:r>
        <w:rPr>
          <w:rFonts w:ascii="Arial" w:cs="Arial" w:eastAsia="Arial" w:hAnsi="Arial"/>
          <w:color w:val="111111"/>
          <w:sz w:val="22"/>
          <w:szCs w:val="22"/>
        </w:rPr>
        <w:t xml:space="preserve">RC-FD-03 — Data Dictionary (bulk logic editing via CSV)</w:t>
      </w:r>
    </w:p>
    <w:p>
      <w:pPr>
        <w:pStyle w:val="ListParagraph"/>
        <w:numPr>
          <w:ilvl w:val="0"/>
          <w:numId w:val="2"/>
        </w:numPr>
        <w:spacing w:before="40" w:after="40"/>
      </w:pPr>
      <w:r>
        <w:rPr>
          <w:rFonts w:ascii="Arial" w:cs="Arial" w:eastAsia="Arial" w:hAnsi="Arial"/>
          <w:color w:val="111111"/>
          <w:sz w:val="22"/>
          <w:szCs w:val="22"/>
        </w:rPr>
        <w:t xml:space="preserve">RC-FD-05 — Codebook (look up variable names and raw values when writing logic)</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5F8A" w:sz="4" w:space="4"/>
      </w:pBdr>
      <w:spacing w:before="60" w:after="0"/>
    </w:pPr>
    <w:r>
      <w:rPr>
        <w:rFonts w:ascii="Arial" w:cs="Arial" w:eastAsia="Arial" w:hAnsi="Arial"/>
        <w:color w:val="666666"/>
        <w:sz w:val="18"/>
        <w:szCs w:val="18"/>
      </w:rPr>
      <w:t xml:space="preserve">Yale University  |  REDCap Support</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8A" w:sz="4" w:space="4"/>
      </w:pBdr>
      <w:spacing w:before="0" w:after="60"/>
    </w:pPr>
    <w:r>
      <w:rPr>
        <w:rFonts w:ascii="Arial" w:cs="Arial" w:eastAsia="Arial" w:hAnsi="Arial"/>
        <w:color w:val="666666"/>
        <w:sz w:val="18"/>
        <w:szCs w:val="18"/>
      </w:rPr>
      <w:t xml:space="preserve">REDCap Knowledge Base  |  RC-BL-02</w:t>
    </w:r>
    <w:r>
      <w:rPr>
        <w:rFonts w:ascii="Arial" w:cs="Arial" w:eastAsia="Arial" w:hAnsi="Arial"/>
        <w:i/>
        <w:iCs/>
        <w:color w:val="666666"/>
        <w:sz w:val="18"/>
        <w:szCs w:val="18"/>
      </w:rPr>
      <w:t xml:space="preserve">  —  Branching Logic – Syntax &amp; Atomic Statements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2C5F8A"/>
      <w:sz w:val="32"/>
      <w:szCs w:val="32"/>
    </w:rPr>
  </w:style>
  <w:style w:type="paragraph" w:styleId="Heading2">
    <w:name w:val="Heading 2"/>
    <w:basedOn w:val="Normal"/>
    <w:next w:val="Normal"/>
    <w:qFormat/>
    <w:pPr>
      <w:spacing w:before="220" w:after="80"/>
      <w:outlineLvl w:val="1"/>
    </w:pPr>
    <w:rPr>
      <w:rFonts w:ascii="Arial" w:cs="Arial" w:eastAsia="Arial" w:hAnsi="Arial"/>
      <w:b/>
      <w:bCs/>
      <w:color w:val="333333"/>
      <w:sz w:val="26"/>
      <w:szCs w:val="26"/>
    </w:rPr>
  </w:style>
  <w:style w:type="paragraph" w:styleId="Heading3">
    <w:name w:val="Heading 3"/>
    <w:basedOn w:val="Normal"/>
    <w:next w:val="Normal"/>
    <w:qFormat/>
    <w:pPr>
      <w:spacing w:before="160" w:after="6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2026-04-01T05:23:42.560Z</dcterms:created>
  <dcterms:modified xsi:type="dcterms:W3CDTF">2026-04-01T05:23:42.560Z</dcterms:modified>
</cp:coreProperties>
</file>

<file path=docProps/custom.xml><?xml version="1.0" encoding="utf-8"?>
<Properties xmlns="http://schemas.openxmlformats.org/officeDocument/2006/custom-properties" xmlns:vt="http://schemas.openxmlformats.org/officeDocument/2006/docPropsVTypes"/>
</file>