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
      </w:pPr>
      <w:r>
        <w:rPr>
          <w:rFonts w:ascii="Arial" w:cs="Arial" w:eastAsia="Arial" w:hAnsi="Arial"/>
          <w:color w:val="888888"/>
          <w:sz w:val="20"/>
          <w:szCs w:val="20"/>
        </w:rPr>
        <w:t xml:space="preserve">RC-FD-05</w:t>
      </w:r>
    </w:p>
    <w:p>
      <w:pPr>
        <w:spacing w:before="0" w:after="40"/>
      </w:pPr>
      <w:r>
        <w:rPr>
          <w:rFonts w:ascii="Arial" w:cs="Arial" w:eastAsia="Arial" w:hAnsi="Arial"/>
          <w:b/>
          <w:bCs/>
          <w:color w:val="2C5F8A"/>
          <w:sz w:val="40"/>
          <w:szCs w:val="40"/>
        </w:rPr>
        <w:t xml:space="preserve">Codebook</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r>
              <w:rPr>
                <w:rFonts w:ascii="Arial" w:cs="Arial" w:eastAsia="Arial" w:hAnsi="Arial"/>
                <w:b/>
                <w:bCs/>
                <w:sz w:val="20"/>
                <w:szCs w:val="20"/>
              </w:rPr>
              <w:t xml:space="preserve">Article ID</w:t>
            </w:r>
          </w:p>
        </w:tc>
        <w:tc>
          <w:tcPr>
            <w:tcW w:type="dxa" w:w="7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RC-FD-05</w:t>
            </w:r>
          </w:p>
        </w:tc>
      </w:tr>
      <w:tr>
        <w:tc>
          <w:tcPr>
            <w:tcW w:type="dxa" w:w="20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r>
              <w:rPr>
                <w:rFonts w:ascii="Arial" w:cs="Arial" w:eastAsia="Arial" w:hAnsi="Arial"/>
                <w:b/>
                <w:bCs/>
                <w:sz w:val="20"/>
                <w:szCs w:val="20"/>
              </w:rPr>
              <w:t xml:space="preserve">Domain</w:t>
            </w:r>
          </w:p>
        </w:tc>
        <w:tc>
          <w:tcPr>
            <w:tcW w:type="dxa" w:w="7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Form Design</w:t>
            </w:r>
          </w:p>
        </w:tc>
      </w:tr>
      <w:tr>
        <w:tc>
          <w:tcPr>
            <w:tcW w:type="dxa" w:w="20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r>
              <w:rPr>
                <w:rFonts w:ascii="Arial" w:cs="Arial" w:eastAsia="Arial" w:hAnsi="Arial"/>
                <w:b/>
                <w:bCs/>
                <w:sz w:val="20"/>
                <w:szCs w:val="20"/>
              </w:rPr>
              <w:t xml:space="preserve">Applies To</w:t>
            </w:r>
          </w:p>
        </w:tc>
        <w:tc>
          <w:tcPr>
            <w:tcW w:type="dxa" w:w="7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All REDCap project types; requires Project Design and Setup rights</w:t>
            </w:r>
          </w:p>
        </w:tc>
      </w:tr>
      <w:tr>
        <w:tc>
          <w:tcPr>
            <w:tcW w:type="dxa" w:w="20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r>
              <w:rPr>
                <w:rFonts w:ascii="Arial" w:cs="Arial" w:eastAsia="Arial" w:hAnsi="Arial"/>
                <w:b/>
                <w:bCs/>
                <w:sz w:val="20"/>
                <w:szCs w:val="20"/>
              </w:rPr>
              <w:t xml:space="preserve">Prerequisite</w:t>
            </w:r>
          </w:p>
        </w:tc>
        <w:tc>
          <w:tcPr>
            <w:tcW w:type="dxa" w:w="7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RC-FD-01 — Form Design Overview</w:t>
            </w:r>
          </w:p>
        </w:tc>
      </w:tr>
      <w:tr>
        <w:tc>
          <w:tcPr>
            <w:tcW w:type="dxa" w:w="20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r>
              <w:rPr>
                <w:rFonts w:ascii="Arial" w:cs="Arial" w:eastAsia="Arial" w:hAnsi="Arial"/>
                <w:b/>
                <w:bCs/>
                <w:sz w:val="20"/>
                <w:szCs w:val="20"/>
              </w:rPr>
              <w:t xml:space="preserve">Version</w:t>
            </w:r>
          </w:p>
        </w:tc>
        <w:tc>
          <w:tcPr>
            <w:tcW w:type="dxa" w:w="7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r>
      <w:tr>
        <w:tc>
          <w:tcPr>
            <w:tcW w:type="dxa" w:w="20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r>
              <w:rPr>
                <w:rFonts w:ascii="Arial" w:cs="Arial" w:eastAsia="Arial" w:hAnsi="Arial"/>
                <w:b/>
                <w:bCs/>
                <w:sz w:val="20"/>
                <w:szCs w:val="20"/>
              </w:rPr>
              <w:t xml:space="preserve">Last Updated</w:t>
            </w:r>
          </w:p>
        </w:tc>
        <w:tc>
          <w:tcPr>
            <w:tcW w:type="dxa" w:w="7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2025</w:t>
            </w:r>
          </w:p>
        </w:tc>
      </w:tr>
      <w:tr>
        <w:tc>
          <w:tcPr>
            <w:tcW w:type="dxa" w:w="20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r>
              <w:rPr>
                <w:rFonts w:ascii="Arial" w:cs="Arial" w:eastAsia="Arial" w:hAnsi="Arial"/>
                <w:b/>
                <w:bCs/>
                <w:sz w:val="20"/>
                <w:szCs w:val="20"/>
              </w:rPr>
              <w:t xml:space="preserve">Author</w:t>
            </w:r>
          </w:p>
        </w:tc>
        <w:tc>
          <w:tcPr>
            <w:tcW w:type="dxa" w:w="7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REDCap Support</w:t>
            </w:r>
          </w:p>
        </w:tc>
      </w:tr>
      <w:tr>
        <w:tc>
          <w:tcPr>
            <w:tcW w:type="dxa" w:w="20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r>
              <w:rPr>
                <w:rFonts w:ascii="Arial" w:cs="Arial" w:eastAsia="Arial" w:hAnsi="Arial"/>
                <w:b/>
                <w:bCs/>
                <w:sz w:val="20"/>
                <w:szCs w:val="20"/>
              </w:rPr>
              <w:t xml:space="preserve">Related Topics</w:t>
            </w:r>
          </w:p>
        </w:tc>
        <w:tc>
          <w:tcPr>
            <w:tcW w:type="dxa" w:w="7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RC-FD-01 — Form Design Overview; RC-FD-02 — Online Designer; RC-FD-03 — Data Dictionary</w:t>
            </w:r>
          </w:p>
        </w:tc>
      </w:tr>
    </w:tbl>
    <w:p>
      <w:pPr>
        <w:spacing w:before="200" w:after="0"/>
      </w:pPr>
    </w:p>
    <w:p>
      <w:pPr>
        <w:pStyle w:val="Heading1"/>
        <w:pBdr>
          <w:bottom w:val="single" w:color="2C5F8A" w:sz="6" w:space="4"/>
        </w:pBdr>
        <w:spacing w:before="300" w:after="120"/>
      </w:pPr>
      <w:r>
        <w:rPr>
          <w:rFonts w:ascii="Arial" w:cs="Arial" w:eastAsia="Arial" w:hAnsi="Arial"/>
          <w:b/>
          <w:bCs/>
          <w:color w:val="2C5F8A"/>
          <w:sz w:val="32"/>
          <w:szCs w:val="32"/>
        </w:rPr>
        <w:t xml:space="preserve">1. Overview</w:t>
      </w:r>
    </w:p>
    <w:p>
      <w:pPr>
        <w:spacing w:before="60" w:after="60"/>
      </w:pPr>
      <w:r>
        <w:rPr>
          <w:rFonts w:ascii="Arial" w:cs="Arial" w:eastAsia="Arial" w:hAnsi="Arial"/>
          <w:color w:val="111111"/>
          <w:sz w:val="22"/>
          <w:szCs w:val="22"/>
        </w:rPr>
        <w:t xml:space="preserve">The Codebook is a read-only, human-readable view of every instrument and variable in a REDCap project. It provides a comprehensive, always up-to-date reference of the project's structure without requiring the user to navigate the Online Designer or parse a CSV file. This article explains what the Codebook shows, where to find it, and when to use it.</w:t>
      </w:r>
    </w:p>
    <w:p>
      <w:pPr>
        <w:spacing w:before="80" w:after="0"/>
      </w:pPr>
    </w:p>
    <w:p>
      <w:pPr>
        <w:pStyle w:val="Heading1"/>
        <w:pBdr>
          <w:bottom w:val="single" w:color="2C5F8A" w:sz="6" w:space="4"/>
        </w:pBdr>
        <w:spacing w:before="300" w:after="120"/>
      </w:pPr>
      <w:r>
        <w:rPr>
          <w:rFonts w:ascii="Arial" w:cs="Arial" w:eastAsia="Arial" w:hAnsi="Arial"/>
          <w:b/>
          <w:bCs/>
          <w:color w:val="2C5F8A"/>
          <w:sz w:val="32"/>
          <w:szCs w:val="32"/>
        </w:rPr>
        <w:t xml:space="preserve">2. Key Concepts &amp; Definitions</w:t>
      </w:r>
    </w:p>
    <w:p>
      <w:pPr>
        <w:pStyle w:val="Heading2"/>
        <w:spacing w:before="220" w:after="80"/>
      </w:pPr>
      <w:r>
        <w:rPr>
          <w:rFonts w:ascii="Arial" w:cs="Arial" w:eastAsia="Arial" w:hAnsi="Arial"/>
          <w:b/>
          <w:bCs/>
          <w:color w:val="333333"/>
          <w:sz w:val="26"/>
          <w:szCs w:val="26"/>
        </w:rPr>
        <w:t xml:space="preserve">Codebook</w:t>
      </w:r>
    </w:p>
    <w:p>
      <w:pPr>
        <w:spacing w:before="60" w:after="60"/>
      </w:pPr>
      <w:r>
        <w:rPr>
          <w:rFonts w:ascii="Arial" w:cs="Arial" w:eastAsia="Arial" w:hAnsi="Arial"/>
          <w:color w:val="111111"/>
          <w:sz w:val="22"/>
          <w:szCs w:val="22"/>
        </w:rPr>
        <w:t xml:space="preserve">A project-level reference view that displays all instruments and their variables in a structured, human-readable format. The Codebook always reflects the current live state of the project. It is read-only — it cannot be used to make changes to instruments or variables directly.</w:t>
      </w:r>
    </w:p>
    <w:p>
      <w:pPr>
        <w:pStyle w:val="Heading2"/>
        <w:spacing w:before="220" w:after="80"/>
      </w:pPr>
      <w:r>
        <w:rPr>
          <w:rFonts w:ascii="Arial" w:cs="Arial" w:eastAsia="Arial" w:hAnsi="Arial"/>
          <w:b/>
          <w:bCs/>
          <w:color w:val="333333"/>
          <w:sz w:val="26"/>
          <w:szCs w:val="26"/>
        </w:rPr>
        <w:t xml:space="preserve">Read-Only Reference Tool</w:t>
      </w:r>
    </w:p>
    <w:p>
      <w:pPr>
        <w:spacing w:before="60" w:after="60"/>
      </w:pPr>
      <w:r>
        <w:rPr>
          <w:rFonts w:ascii="Arial" w:cs="Arial" w:eastAsia="Arial" w:hAnsi="Arial"/>
          <w:color w:val="111111"/>
          <w:sz w:val="22"/>
          <w:szCs w:val="22"/>
        </w:rPr>
        <w:t xml:space="preserve">The Codebook is not a design tool. You cannot add, edit, delete, or reorder instruments or variables from the Codebook view. Its purpose is inspection and reference, not modification.</w:t>
      </w:r>
    </w:p>
    <w:p>
      <w:pPr>
        <w:pStyle w:val="Heading2"/>
        <w:spacing w:before="220" w:after="80"/>
      </w:pPr>
      <w:r>
        <w:rPr>
          <w:rFonts w:ascii="Arial" w:cs="Arial" w:eastAsia="Arial" w:hAnsi="Arial"/>
          <w:b/>
          <w:bCs/>
          <w:color w:val="333333"/>
          <w:sz w:val="26"/>
          <w:szCs w:val="26"/>
        </w:rPr>
        <w:t xml:space="preserve">Inline Edit Links</w:t>
      </w:r>
    </w:p>
    <w:p>
      <w:pPr>
        <w:spacing w:before="60" w:after="60"/>
      </w:pPr>
      <w:r>
        <w:rPr>
          <w:rFonts w:ascii="Arial" w:cs="Arial" w:eastAsia="Arial" w:hAnsi="Arial"/>
          <w:color w:val="111111"/>
          <w:sz w:val="22"/>
          <w:szCs w:val="22"/>
        </w:rPr>
        <w:t xml:space="preserve">Despite being read-only, the Codebook contains direct links that open the edit interface for individual variables in the Online Designer, and links that open the branching logic editor for specific variables. These links are shortcuts — they take you to the appropriate design tool, not to an editable state within the Codebook itself.</w:t>
      </w:r>
    </w:p>
    <w:p>
      <w:pPr>
        <w:spacing w:before="80" w:after="0"/>
      </w:pPr>
    </w:p>
    <w:p>
      <w:pPr>
        <w:pStyle w:val="Heading1"/>
        <w:pBdr>
          <w:bottom w:val="single" w:color="2C5F8A" w:sz="6" w:space="4"/>
        </w:pBdr>
        <w:spacing w:before="300" w:after="120"/>
      </w:pPr>
      <w:r>
        <w:rPr>
          <w:rFonts w:ascii="Arial" w:cs="Arial" w:eastAsia="Arial" w:hAnsi="Arial"/>
          <w:b/>
          <w:bCs/>
          <w:color w:val="2C5F8A"/>
          <w:sz w:val="32"/>
          <w:szCs w:val="32"/>
        </w:rPr>
        <w:t xml:space="preserve">3. Accessing the Codebook</w:t>
      </w:r>
    </w:p>
    <w:p>
      <w:pPr>
        <w:pStyle w:val="ListParagraph"/>
        <w:numPr>
          <w:ilvl w:val="0"/>
          <w:numId w:val="2"/>
        </w:numPr>
        <w:spacing w:before="40" w:after="40"/>
      </w:pPr>
      <w:r>
        <w:rPr>
          <w:rFonts w:ascii="Arial" w:cs="Arial" w:eastAsia="Arial" w:hAnsi="Arial"/>
          <w:color w:val="111111"/>
          <w:sz w:val="22"/>
          <w:szCs w:val="22"/>
        </w:rPr>
        <w:t xml:space="preserve">From the Project Setup page: click Codebook in the Design Your Data Collection Instruments section.</w:t>
      </w:r>
    </w:p>
    <w:p>
      <w:pPr>
        <w:pStyle w:val="ListParagraph"/>
        <w:numPr>
          <w:ilvl w:val="0"/>
          <w:numId w:val="2"/>
        </w:numPr>
        <w:spacing w:before="40" w:after="40"/>
      </w:pPr>
      <w:r>
        <w:rPr>
          <w:rFonts w:ascii="Arial" w:cs="Arial" w:eastAsia="Arial" w:hAnsi="Arial"/>
          <w:color w:val="111111"/>
          <w:sz w:val="22"/>
          <w:szCs w:val="22"/>
        </w:rPr>
        <w:t xml:space="preserve">From the left-hand menu: click Codebook under the Data Collection section (available in both Development and Production modes).</w:t>
      </w:r>
    </w:p>
    <w:p>
      <w:pPr>
        <w:pStyle w:val="ListParagraph"/>
        <w:numPr>
          <w:ilvl w:val="0"/>
          <w:numId w:val="2"/>
        </w:numPr>
        <w:spacing w:before="40" w:after="40"/>
      </w:pPr>
      <w:r>
        <w:rPr>
          <w:rFonts w:ascii="Arial" w:cs="Arial" w:eastAsia="Arial" w:hAnsi="Arial"/>
          <w:color w:val="111111"/>
          <w:sz w:val="22"/>
          <w:szCs w:val="22"/>
        </w:rPr>
        <w:t xml:space="preserve">The Codebook opens to a full listing of all instruments and their variables, organized by instrument.</w:t>
      </w:r>
    </w:p>
    <w:p>
      <w:pPr>
        <w:spacing w:before="80" w:after="0"/>
      </w:pPr>
    </w:p>
    <w:p>
      <w:pPr>
        <w:pStyle w:val="Heading1"/>
        <w:pBdr>
          <w:bottom w:val="single" w:color="2C5F8A" w:sz="6" w:space="4"/>
        </w:pBdr>
        <w:spacing w:before="300" w:after="120"/>
      </w:pPr>
      <w:r>
        <w:rPr>
          <w:rFonts w:ascii="Arial" w:cs="Arial" w:eastAsia="Arial" w:hAnsi="Arial"/>
          <w:b/>
          <w:bCs/>
          <w:color w:val="2C5F8A"/>
          <w:sz w:val="32"/>
          <w:szCs w:val="32"/>
        </w:rPr>
        <w:t xml:space="preserve">4. What the Codebook Shows</w:t>
      </w:r>
    </w:p>
    <w:p>
      <w:pPr>
        <w:spacing w:before="60" w:after="60"/>
      </w:pPr>
      <w:r>
        <w:rPr>
          <w:rFonts w:ascii="Arial" w:cs="Arial" w:eastAsia="Arial" w:hAnsi="Arial"/>
          <w:color w:val="111111"/>
          <w:sz w:val="22"/>
          <w:szCs w:val="22"/>
        </w:rPr>
        <w:t xml:space="preserve">For each variable, the Codebook displays:</w:t>
      </w:r>
    </w:p>
    <w:p>
      <w:pPr>
        <w:spacing w:before="40" w:after="0"/>
      </w:pPr>
    </w:p>
    <w:p>
      <w:pPr>
        <w:pStyle w:val="ListParagraph"/>
        <w:numPr>
          <w:ilvl w:val="0"/>
          <w:numId w:val="2"/>
        </w:numPr>
        <w:spacing w:before="40" w:after="40"/>
      </w:pPr>
      <w:r>
        <w:rPr>
          <w:rFonts w:ascii="Arial" w:cs="Arial" w:eastAsia="Arial" w:hAnsi="Arial"/>
          <w:color w:val="111111"/>
          <w:sz w:val="22"/>
          <w:szCs w:val="22"/>
        </w:rPr>
        <w:t xml:space="preserve">Variable name (the internal REDCap identifier).</w:t>
      </w:r>
    </w:p>
    <w:p>
      <w:pPr>
        <w:pStyle w:val="ListParagraph"/>
        <w:numPr>
          <w:ilvl w:val="0"/>
          <w:numId w:val="2"/>
        </w:numPr>
        <w:spacing w:before="40" w:after="40"/>
      </w:pPr>
      <w:r>
        <w:rPr>
          <w:rFonts w:ascii="Arial" w:cs="Arial" w:eastAsia="Arial" w:hAnsi="Arial"/>
          <w:color w:val="111111"/>
          <w:sz w:val="22"/>
          <w:szCs w:val="22"/>
        </w:rPr>
        <w:t xml:space="preserve">Field label (the human-readable question or prompt shown to users).</w:t>
      </w:r>
    </w:p>
    <w:p>
      <w:pPr>
        <w:pStyle w:val="ListParagraph"/>
        <w:numPr>
          <w:ilvl w:val="0"/>
          <w:numId w:val="2"/>
        </w:numPr>
        <w:spacing w:before="40" w:after="40"/>
      </w:pPr>
      <w:r>
        <w:rPr>
          <w:rFonts w:ascii="Arial" w:cs="Arial" w:eastAsia="Arial" w:hAnsi="Arial"/>
          <w:color w:val="111111"/>
          <w:sz w:val="22"/>
          <w:szCs w:val="22"/>
        </w:rPr>
        <w:t xml:space="preserve">Field type (e.g., text, radio button, checkbox, dropdown, notes).</w:t>
      </w:r>
    </w:p>
    <w:p>
      <w:pPr>
        <w:pStyle w:val="ListParagraph"/>
        <w:numPr>
          <w:ilvl w:val="0"/>
          <w:numId w:val="2"/>
        </w:numPr>
        <w:spacing w:before="40" w:after="40"/>
      </w:pPr>
      <w:r>
        <w:rPr>
          <w:rFonts w:ascii="Arial" w:cs="Arial" w:eastAsia="Arial" w:hAnsi="Arial"/>
          <w:color w:val="111111"/>
          <w:sz w:val="22"/>
          <w:szCs w:val="22"/>
        </w:rPr>
        <w:t xml:space="preserve">Choices or options (for radio buttons, checkboxes, and dropdowns).</w:t>
      </w:r>
    </w:p>
    <w:p>
      <w:pPr>
        <w:pStyle w:val="ListParagraph"/>
        <w:numPr>
          <w:ilvl w:val="0"/>
          <w:numId w:val="2"/>
        </w:numPr>
        <w:spacing w:before="40" w:after="40"/>
      </w:pPr>
      <w:r>
        <w:rPr>
          <w:rFonts w:ascii="Arial" w:cs="Arial" w:eastAsia="Arial" w:hAnsi="Arial"/>
          <w:color w:val="111111"/>
          <w:sz w:val="22"/>
          <w:szCs w:val="22"/>
        </w:rPr>
        <w:t xml:space="preserve">Validation type and range (for text fields with validation).</w:t>
      </w:r>
    </w:p>
    <w:p>
      <w:pPr>
        <w:pStyle w:val="ListParagraph"/>
        <w:numPr>
          <w:ilvl w:val="0"/>
          <w:numId w:val="2"/>
        </w:numPr>
        <w:spacing w:before="40" w:after="40"/>
      </w:pPr>
      <w:r>
        <w:rPr>
          <w:rFonts w:ascii="Arial" w:cs="Arial" w:eastAsia="Arial" w:hAnsi="Arial"/>
          <w:color w:val="111111"/>
          <w:sz w:val="22"/>
          <w:szCs w:val="22"/>
        </w:rPr>
        <w:t xml:space="preserve">Branching logic (the condition under which the field is shown or hidden).</w:t>
      </w:r>
    </w:p>
    <w:p>
      <w:pPr>
        <w:pStyle w:val="ListParagraph"/>
        <w:numPr>
          <w:ilvl w:val="0"/>
          <w:numId w:val="2"/>
        </w:numPr>
        <w:spacing w:before="40" w:after="40"/>
      </w:pPr>
      <w:r>
        <w:rPr>
          <w:rFonts w:ascii="Arial" w:cs="Arial" w:eastAsia="Arial" w:hAnsi="Arial"/>
          <w:color w:val="111111"/>
          <w:sz w:val="22"/>
          <w:szCs w:val="22"/>
        </w:rPr>
        <w:t xml:space="preserve">Field annotations (@Action Tags and other annotations applied to the field).</w:t>
      </w:r>
    </w:p>
    <w:p>
      <w:pPr>
        <w:pStyle w:val="ListParagraph"/>
        <w:numPr>
          <w:ilvl w:val="0"/>
          <w:numId w:val="2"/>
        </w:numPr>
        <w:spacing w:before="40" w:after="40"/>
      </w:pPr>
      <w:r>
        <w:rPr>
          <w:rFonts w:ascii="Arial" w:cs="Arial" w:eastAsia="Arial" w:hAnsi="Arial"/>
          <w:color w:val="111111"/>
          <w:sz w:val="22"/>
          <w:szCs w:val="22"/>
        </w:rPr>
        <w:t xml:space="preserve">Required status and identifier flag.</w:t>
      </w:r>
    </w:p>
    <w:p>
      <w:pPr>
        <w:pStyle w:val="ListParagraph"/>
        <w:numPr>
          <w:ilvl w:val="0"/>
          <w:numId w:val="2"/>
        </w:numPr>
        <w:spacing w:before="40" w:after="40"/>
      </w:pPr>
      <w:r>
        <w:rPr>
          <w:rFonts w:ascii="Arial" w:cs="Arial" w:eastAsia="Arial" w:hAnsi="Arial"/>
          <w:color w:val="111111"/>
          <w:sz w:val="22"/>
          <w:szCs w:val="22"/>
        </w:rPr>
        <w:t xml:space="preserve">Inline links to the Online Designer edit view and branching logic editor for that variable.</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FF8E7" w:val="clear"/>
            <w:tcMar>
              <w:top w:type="dxa" w:w="100"/>
              <w:left w:type="dxa" w:w="160"/>
              <w:bottom w:type="dxa" w:w="100"/>
              <w:right w:type="dxa" w:w="160"/>
            </w:tcMar>
          </w:tcPr>
          <w:p>
            <w:r>
              <w:rPr>
                <w:rFonts w:ascii="Arial" w:cs="Arial" w:eastAsia="Arial" w:hAnsi="Arial"/>
                <w:b/>
                <w:bCs/>
                <w:sz w:val="20"/>
                <w:szCs w:val="20"/>
              </w:rPr>
              <w:t xml:space="preserve">Note: </w:t>
            </w:r>
            <w:r>
              <w:rPr>
                <w:rFonts w:ascii="Arial" w:cs="Arial" w:eastAsia="Arial" w:hAnsi="Arial"/>
                <w:sz w:val="20"/>
                <w:szCs w:val="20"/>
              </w:rPr>
              <w:t xml:space="preserve">The Codebook always reflects the currently applied state of the project. In Production mode, pending (unapproved) Online Designer changes are not shown — the Codebook shows only what is live.</w:t>
            </w:r>
          </w:p>
        </w:tc>
      </w:tr>
    </w:tbl>
    <w:p>
      <w:pPr>
        <w:spacing w:before="80" w:after="0"/>
      </w:pPr>
    </w:p>
    <w:p>
      <w:pPr>
        <w:pStyle w:val="Heading1"/>
        <w:pBdr>
          <w:bottom w:val="single" w:color="2C5F8A" w:sz="6" w:space="4"/>
        </w:pBdr>
        <w:spacing w:before="300" w:after="120"/>
      </w:pPr>
      <w:r>
        <w:rPr>
          <w:rFonts w:ascii="Arial" w:cs="Arial" w:eastAsia="Arial" w:hAnsi="Arial"/>
          <w:b/>
          <w:bCs/>
          <w:color w:val="2C5F8A"/>
          <w:sz w:val="32"/>
          <w:szCs w:val="32"/>
        </w:rPr>
        <w:t xml:space="preserve">5. When to Use the Codebook</w:t>
      </w:r>
    </w:p>
    <w:p>
      <w:pPr>
        <w:spacing w:before="60" w:after="60"/>
      </w:pPr>
      <w:r>
        <w:rPr>
          <w:rFonts w:ascii="Arial" w:cs="Arial" w:eastAsia="Arial" w:hAnsi="Arial"/>
          <w:color w:val="111111"/>
          <w:sz w:val="22"/>
          <w:szCs w:val="22"/>
        </w:rPr>
        <w:t xml:space="preserve">The Codebook is the right tool in these situations:</w:t>
      </w:r>
    </w:p>
    <w:p>
      <w:pPr>
        <w:spacing w:before="40" w:after="0"/>
      </w:pPr>
    </w:p>
    <w:p>
      <w:pPr>
        <w:pStyle w:val="ListParagraph"/>
        <w:numPr>
          <w:ilvl w:val="0"/>
          <w:numId w:val="2"/>
        </w:numPr>
        <w:spacing w:before="40" w:after="40"/>
      </w:pPr>
      <w:r>
        <w:rPr>
          <w:rFonts w:ascii="Arial" w:cs="Arial" w:eastAsia="Arial" w:hAnsi="Arial"/>
          <w:color w:val="111111"/>
          <w:sz w:val="22"/>
          <w:szCs w:val="22"/>
        </w:rPr>
        <w:t xml:space="preserve">You need a reference while writing or debugging branching logic </w:t>
      </w:r>
      <w:r>
        <w:rPr>
          <w:rFonts w:ascii="Arial" w:cs="Arial" w:eastAsia="Arial" w:hAnsi="Arial"/>
          <w:i/>
          <w:iCs/>
          <w:color w:val="111111"/>
          <w:sz w:val="22"/>
          <w:szCs w:val="22"/>
        </w:rPr>
        <w:t xml:space="preserve">— the Codebook lets you look up variable names and their choices without switching to the Online Designer or opening the Data Dictionary.</w:t>
      </w:r>
    </w:p>
    <w:p>
      <w:pPr>
        <w:pStyle w:val="ListParagraph"/>
        <w:numPr>
          <w:ilvl w:val="0"/>
          <w:numId w:val="2"/>
        </w:numPr>
        <w:spacing w:before="40" w:after="40"/>
      </w:pPr>
      <w:r>
        <w:rPr>
          <w:rFonts w:ascii="Arial" w:cs="Arial" w:eastAsia="Arial" w:hAnsi="Arial"/>
          <w:color w:val="111111"/>
          <w:sz w:val="22"/>
          <w:szCs w:val="22"/>
        </w:rPr>
        <w:t xml:space="preserve">You want a human-readable overview of your entire project structure </w:t>
      </w:r>
      <w:r>
        <w:rPr>
          <w:rFonts w:ascii="Arial" w:cs="Arial" w:eastAsia="Arial" w:hAnsi="Arial"/>
          <w:i/>
          <w:iCs/>
          <w:color w:val="111111"/>
          <w:sz w:val="22"/>
          <w:szCs w:val="22"/>
        </w:rPr>
        <w:t xml:space="preserve">— the Codebook is easier to read than the raw Data Dictionary CSV and more navigable than the Online Designer for purely reviewing content.</w:t>
      </w:r>
    </w:p>
    <w:p>
      <w:pPr>
        <w:pStyle w:val="ListParagraph"/>
        <w:numPr>
          <w:ilvl w:val="0"/>
          <w:numId w:val="2"/>
        </w:numPr>
        <w:spacing w:before="40" w:after="40"/>
      </w:pPr>
      <w:r>
        <w:rPr>
          <w:rFonts w:ascii="Arial" w:cs="Arial" w:eastAsia="Arial" w:hAnsi="Arial"/>
          <w:color w:val="111111"/>
          <w:sz w:val="22"/>
          <w:szCs w:val="22"/>
        </w:rPr>
        <w:t xml:space="preserve">You need to verify what choices are coded as in a radio or dropdown field </w:t>
      </w:r>
      <w:r>
        <w:rPr>
          <w:rFonts w:ascii="Arial" w:cs="Arial" w:eastAsia="Arial" w:hAnsi="Arial"/>
          <w:i/>
          <w:iCs/>
          <w:color w:val="111111"/>
          <w:sz w:val="22"/>
          <w:szCs w:val="22"/>
        </w:rPr>
        <w:t xml:space="preserve">— especially useful when writing branching logic or checking data export values.</w:t>
      </w:r>
    </w:p>
    <w:p>
      <w:pPr>
        <w:pStyle w:val="ListParagraph"/>
        <w:numPr>
          <w:ilvl w:val="0"/>
          <w:numId w:val="2"/>
        </w:numPr>
        <w:spacing w:before="40" w:after="40"/>
      </w:pPr>
      <w:r>
        <w:rPr>
          <w:rFonts w:ascii="Arial" w:cs="Arial" w:eastAsia="Arial" w:hAnsi="Arial"/>
          <w:color w:val="111111"/>
          <w:sz w:val="22"/>
          <w:szCs w:val="22"/>
        </w:rPr>
        <w:t xml:space="preserve">You want to quickly navigate to a specific variable's edit interface </w:t>
      </w:r>
      <w:r>
        <w:rPr>
          <w:rFonts w:ascii="Arial" w:cs="Arial" w:eastAsia="Arial" w:hAnsi="Arial"/>
          <w:i/>
          <w:iCs/>
          <w:color w:val="111111"/>
          <w:sz w:val="22"/>
          <w:szCs w:val="22"/>
        </w:rPr>
        <w:t xml:space="preserve">— use the inline edit link rather than scrolling through the Online Designer.</w:t>
      </w:r>
    </w:p>
    <w:p>
      <w:pPr>
        <w:pStyle w:val="ListParagraph"/>
        <w:numPr>
          <w:ilvl w:val="0"/>
          <w:numId w:val="2"/>
        </w:numPr>
        <w:spacing w:before="40" w:after="40"/>
      </w:pPr>
      <w:r>
        <w:rPr>
          <w:rFonts w:ascii="Arial" w:cs="Arial" w:eastAsia="Arial" w:hAnsi="Arial"/>
          <w:color w:val="111111"/>
          <w:sz w:val="22"/>
          <w:szCs w:val="22"/>
        </w:rPr>
        <w:t xml:space="preserve">You are onboarding to a project you didn't design </w:t>
      </w:r>
      <w:r>
        <w:rPr>
          <w:rFonts w:ascii="Arial" w:cs="Arial" w:eastAsia="Arial" w:hAnsi="Arial"/>
          <w:i/>
          <w:iCs/>
          <w:color w:val="111111"/>
          <w:sz w:val="22"/>
          <w:szCs w:val="22"/>
        </w:rPr>
        <w:t xml:space="preserve">— the Codebook gives a rapid, readable summary of what the project collects and how it is structured.</w:t>
      </w:r>
    </w:p>
    <w:p>
      <w:pPr>
        <w:spacing w:before="80" w:after="0"/>
      </w:pPr>
    </w:p>
    <w:p>
      <w:pPr>
        <w:pStyle w:val="Heading1"/>
        <w:pBdr>
          <w:bottom w:val="single" w:color="2C5F8A" w:sz="6" w:space="4"/>
        </w:pBdr>
        <w:spacing w:before="300" w:after="120"/>
      </w:pPr>
      <w:r>
        <w:rPr>
          <w:rFonts w:ascii="Arial" w:cs="Arial" w:eastAsia="Arial" w:hAnsi="Arial"/>
          <w:b/>
          <w:bCs/>
          <w:color w:val="2C5F8A"/>
          <w:sz w:val="32"/>
          <w:szCs w:val="32"/>
        </w:rPr>
        <w:t xml:space="preserve">6. Codebook vs. Other Reference Options</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1600"/>
        <w:gridCol w:w="3160"/>
      </w:tblGrid>
      <w:tr>
        <w:trPr>
          <w:tblHeader/>
        </w:trPr>
        <w:tc>
          <w:tcPr>
            <w:tcW w:type="dxa" w:w="2400"/>
            <w:tcBorders>
              <w:top w:val="single" w:color="AAAAAA" w:sz="1"/>
              <w:left w:val="single" w:color="AAAAAA" w:sz="1"/>
              <w:bottom w:val="single" w:color="AAAAAA" w:sz="1"/>
              <w:right w:val="single" w:color="AAAAAA" w:sz="1"/>
            </w:tcBorders>
            <w:shd w:fill="2C5F8A" w:val="clear"/>
            <w:tcMar>
              <w:top w:type="dxa" w:w="80"/>
              <w:left w:type="dxa" w:w="120"/>
              <w:bottom w:type="dxa" w:w="80"/>
              <w:right w:type="dxa" w:w="120"/>
            </w:tcMar>
          </w:tcPr>
          <w:p>
            <w:r>
              <w:rPr>
                <w:rFonts w:ascii="Arial" w:cs="Arial" w:eastAsia="Arial" w:hAnsi="Arial"/>
                <w:b/>
                <w:bCs/>
                <w:color w:val="FFFFFF"/>
                <w:sz w:val="20"/>
                <w:szCs w:val="20"/>
              </w:rPr>
              <w:t xml:space="preserve">Reference Tool</w:t>
            </w:r>
          </w:p>
        </w:tc>
        <w:tc>
          <w:tcPr>
            <w:tcW w:type="dxa" w:w="2200"/>
            <w:tcBorders>
              <w:top w:val="single" w:color="AAAAAA" w:sz="1"/>
              <w:left w:val="single" w:color="AAAAAA" w:sz="1"/>
              <w:bottom w:val="single" w:color="AAAAAA" w:sz="1"/>
              <w:right w:val="single" w:color="AAAAAA" w:sz="1"/>
            </w:tcBorders>
            <w:shd w:fill="2C5F8A" w:val="clear"/>
            <w:tcMar>
              <w:top w:type="dxa" w:w="80"/>
              <w:left w:type="dxa" w:w="120"/>
              <w:bottom w:type="dxa" w:w="80"/>
              <w:right w:type="dxa" w:w="120"/>
            </w:tcMar>
          </w:tcPr>
          <w:p>
            <w:r>
              <w:rPr>
                <w:rFonts w:ascii="Arial" w:cs="Arial" w:eastAsia="Arial" w:hAnsi="Arial"/>
                <w:b/>
                <w:bCs/>
                <w:color w:val="FFFFFF"/>
                <w:sz w:val="20"/>
                <w:szCs w:val="20"/>
              </w:rPr>
              <w:t xml:space="preserve">Format</w:t>
            </w:r>
          </w:p>
        </w:tc>
        <w:tc>
          <w:tcPr>
            <w:tcW w:type="dxa" w:w="1600"/>
            <w:tcBorders>
              <w:top w:val="single" w:color="AAAAAA" w:sz="1"/>
              <w:left w:val="single" w:color="AAAAAA" w:sz="1"/>
              <w:bottom w:val="single" w:color="AAAAAA" w:sz="1"/>
              <w:right w:val="single" w:color="AAAAAA" w:sz="1"/>
            </w:tcBorders>
            <w:shd w:fill="2C5F8A" w:val="clear"/>
            <w:tcMar>
              <w:top w:type="dxa" w:w="80"/>
              <w:left w:type="dxa" w:w="120"/>
              <w:bottom w:type="dxa" w:w="80"/>
              <w:right w:type="dxa" w:w="120"/>
            </w:tcMar>
          </w:tcPr>
          <w:p>
            <w:r>
              <w:rPr>
                <w:rFonts w:ascii="Arial" w:cs="Arial" w:eastAsia="Arial" w:hAnsi="Arial"/>
                <w:b/>
                <w:bCs/>
                <w:color w:val="FFFFFF"/>
                <w:sz w:val="20"/>
                <w:szCs w:val="20"/>
              </w:rPr>
              <w:t xml:space="preserve">Editable?</w:t>
            </w:r>
          </w:p>
        </w:tc>
        <w:tc>
          <w:tcPr>
            <w:tcW w:type="dxa" w:w="3160"/>
            <w:tcBorders>
              <w:top w:val="single" w:color="AAAAAA" w:sz="1"/>
              <w:left w:val="single" w:color="AAAAAA" w:sz="1"/>
              <w:bottom w:val="single" w:color="AAAAAA" w:sz="1"/>
              <w:right w:val="single" w:color="AAAAAA" w:sz="1"/>
            </w:tcBorders>
            <w:shd w:fill="2C5F8A" w:val="clear"/>
            <w:tcMar>
              <w:top w:type="dxa" w:w="80"/>
              <w:left w:type="dxa" w:w="120"/>
              <w:bottom w:type="dxa" w:w="80"/>
              <w:right w:type="dxa" w:w="120"/>
            </w:tcMar>
          </w:tcPr>
          <w:p>
            <w:r>
              <w:rPr>
                <w:rFonts w:ascii="Arial" w:cs="Arial" w:eastAsia="Arial" w:hAnsi="Arial"/>
                <w:b/>
                <w:bCs/>
                <w:color w:val="FFFFFF"/>
                <w:sz w:val="20"/>
                <w:szCs w:val="20"/>
              </w:rPr>
              <w:t xml:space="preserve">Best For</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Codebook</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Web view, organized by instrument</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No (links to editors)</w:t>
            </w:r>
          </w:p>
        </w:tc>
        <w:tc>
          <w:tcPr>
            <w:tcW w:type="dxa" w:w="3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Human-readable review; looking up variable names while designing</w:t>
            </w:r>
          </w:p>
        </w:tc>
      </w:tr>
      <w:tr>
        <w:tc>
          <w:tcPr>
            <w:tcW w:type="dxa" w:w="2400"/>
            <w:tcBorders>
              <w:top w:val="single" w:color="AAAAAA" w:sz="1"/>
              <w:left w:val="single" w:color="AAAAAA" w:sz="1"/>
              <w:bottom w:val="single" w:color="AAAAAA" w:sz="1"/>
              <w:right w:val="single" w:color="AAAAAA" w:sz="1"/>
            </w:tcBorders>
            <w:shd w:fill="EEF4FA" w:val="clear"/>
            <w:tcMar>
              <w:top w:type="dxa" w:w="80"/>
              <w:left w:type="dxa" w:w="120"/>
              <w:bottom w:type="dxa" w:w="80"/>
              <w:right w:type="dxa" w:w="120"/>
            </w:tcMar>
          </w:tcPr>
          <w:p>
            <w:r>
              <w:rPr>
                <w:rFonts w:ascii="Arial" w:cs="Arial" w:eastAsia="Arial" w:hAnsi="Arial"/>
                <w:sz w:val="20"/>
                <w:szCs w:val="20"/>
              </w:rPr>
              <w:t xml:space="preserve">Data Dictionary (downloaded CSV)</w:t>
            </w:r>
          </w:p>
        </w:tc>
        <w:tc>
          <w:tcPr>
            <w:tcW w:type="dxa" w:w="2200"/>
            <w:tcBorders>
              <w:top w:val="single" w:color="AAAAAA" w:sz="1"/>
              <w:left w:val="single" w:color="AAAAAA" w:sz="1"/>
              <w:bottom w:val="single" w:color="AAAAAA" w:sz="1"/>
              <w:right w:val="single" w:color="AAAAAA" w:sz="1"/>
            </w:tcBorders>
            <w:shd w:fill="EEF4FA" w:val="clear"/>
            <w:tcMar>
              <w:top w:type="dxa" w:w="80"/>
              <w:left w:type="dxa" w:w="120"/>
              <w:bottom w:type="dxa" w:w="80"/>
              <w:right w:type="dxa" w:w="120"/>
            </w:tcMar>
          </w:tcPr>
          <w:p>
            <w:r>
              <w:rPr>
                <w:rFonts w:ascii="Arial" w:cs="Arial" w:eastAsia="Arial" w:hAnsi="Arial"/>
                <w:sz w:val="20"/>
                <w:szCs w:val="20"/>
              </w:rPr>
              <w:t xml:space="preserve">Spreadsheet</w:t>
            </w:r>
          </w:p>
        </w:tc>
        <w:tc>
          <w:tcPr>
            <w:tcW w:type="dxa" w:w="1600"/>
            <w:tcBorders>
              <w:top w:val="single" w:color="AAAAAA" w:sz="1"/>
              <w:left w:val="single" w:color="AAAAAA" w:sz="1"/>
              <w:bottom w:val="single" w:color="AAAAAA" w:sz="1"/>
              <w:right w:val="single" w:color="AAAAAA" w:sz="1"/>
            </w:tcBorders>
            <w:shd w:fill="EEF4FA" w:val="clear"/>
            <w:tcMar>
              <w:top w:type="dxa" w:w="80"/>
              <w:left w:type="dxa" w:w="120"/>
              <w:bottom w:type="dxa" w:w="80"/>
              <w:right w:type="dxa" w:w="120"/>
            </w:tcMar>
          </w:tcPr>
          <w:p>
            <w:r>
              <w:rPr>
                <w:rFonts w:ascii="Arial" w:cs="Arial" w:eastAsia="Arial" w:hAnsi="Arial"/>
                <w:sz w:val="20"/>
                <w:szCs w:val="20"/>
              </w:rPr>
              <w:t xml:space="preserve">Yes (upload to apply changes)</w:t>
            </w:r>
          </w:p>
        </w:tc>
        <w:tc>
          <w:tcPr>
            <w:tcW w:type="dxa" w:w="3160"/>
            <w:tcBorders>
              <w:top w:val="single" w:color="AAAAAA" w:sz="1"/>
              <w:left w:val="single" w:color="AAAAAA" w:sz="1"/>
              <w:bottom w:val="single" w:color="AAAAAA" w:sz="1"/>
              <w:right w:val="single" w:color="AAAAAA" w:sz="1"/>
            </w:tcBorders>
            <w:shd w:fill="EEF4FA" w:val="clear"/>
            <w:tcMar>
              <w:top w:type="dxa" w:w="80"/>
              <w:left w:type="dxa" w:w="120"/>
              <w:bottom w:type="dxa" w:w="80"/>
              <w:right w:type="dxa" w:w="120"/>
            </w:tcMar>
          </w:tcPr>
          <w:p>
            <w:r>
              <w:rPr>
                <w:rFonts w:ascii="Arial" w:cs="Arial" w:eastAsia="Arial" w:hAnsi="Arial"/>
                <w:sz w:val="20"/>
                <w:szCs w:val="20"/>
              </w:rPr>
              <w:t xml:space="preserve">Bulk editing; offline reference; version control</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Download PDF of All Instruments</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PDF</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3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Documentation; IRB submissions; stakeholder review</w:t>
            </w:r>
          </w:p>
        </w:tc>
      </w:tr>
      <w:tr>
        <w:tc>
          <w:tcPr>
            <w:tcW w:type="dxa" w:w="2400"/>
            <w:tcBorders>
              <w:top w:val="single" w:color="AAAAAA" w:sz="1"/>
              <w:left w:val="single" w:color="AAAAAA" w:sz="1"/>
              <w:bottom w:val="single" w:color="AAAAAA" w:sz="1"/>
              <w:right w:val="single" w:color="AAAAAA" w:sz="1"/>
            </w:tcBorders>
            <w:shd w:fill="EEF4FA" w:val="clear"/>
            <w:tcMar>
              <w:top w:type="dxa" w:w="80"/>
              <w:left w:type="dxa" w:w="120"/>
              <w:bottom w:type="dxa" w:w="80"/>
              <w:right w:type="dxa" w:w="120"/>
            </w:tcMar>
          </w:tcPr>
          <w:p>
            <w:r>
              <w:rPr>
                <w:rFonts w:ascii="Arial" w:cs="Arial" w:eastAsia="Arial" w:hAnsi="Arial"/>
                <w:sz w:val="20"/>
                <w:szCs w:val="20"/>
              </w:rPr>
              <w:t xml:space="preserve">Online Designer</w:t>
            </w:r>
          </w:p>
        </w:tc>
        <w:tc>
          <w:tcPr>
            <w:tcW w:type="dxa" w:w="2200"/>
            <w:tcBorders>
              <w:top w:val="single" w:color="AAAAAA" w:sz="1"/>
              <w:left w:val="single" w:color="AAAAAA" w:sz="1"/>
              <w:bottom w:val="single" w:color="AAAAAA" w:sz="1"/>
              <w:right w:val="single" w:color="AAAAAA" w:sz="1"/>
            </w:tcBorders>
            <w:shd w:fill="EEF4FA" w:val="clear"/>
            <w:tcMar>
              <w:top w:type="dxa" w:w="80"/>
              <w:left w:type="dxa" w:w="120"/>
              <w:bottom w:type="dxa" w:w="80"/>
              <w:right w:type="dxa" w:w="120"/>
            </w:tcMar>
          </w:tcPr>
          <w:p>
            <w:r>
              <w:rPr>
                <w:rFonts w:ascii="Arial" w:cs="Arial" w:eastAsia="Arial" w:hAnsi="Arial"/>
                <w:sz w:val="20"/>
                <w:szCs w:val="20"/>
              </w:rPr>
              <w:t xml:space="preserve">Web interface, one instrument at a time</w:t>
            </w:r>
          </w:p>
        </w:tc>
        <w:tc>
          <w:tcPr>
            <w:tcW w:type="dxa" w:w="1600"/>
            <w:tcBorders>
              <w:top w:val="single" w:color="AAAAAA" w:sz="1"/>
              <w:left w:val="single" w:color="AAAAAA" w:sz="1"/>
              <w:bottom w:val="single" w:color="AAAAAA" w:sz="1"/>
              <w:right w:val="single" w:color="AAAAAA" w:sz="1"/>
            </w:tcBorders>
            <w:shd w:fill="EEF4FA" w:val="clear"/>
            <w:tcMar>
              <w:top w:type="dxa" w:w="80"/>
              <w:left w:type="dxa" w:w="120"/>
              <w:bottom w:type="dxa" w:w="80"/>
              <w:right w:type="dxa" w:w="120"/>
            </w:tcMar>
          </w:tcPr>
          <w:p>
            <w:r>
              <w:rPr>
                <w:rFonts w:ascii="Arial" w:cs="Arial" w:eastAsia="Arial" w:hAnsi="Arial"/>
                <w:sz w:val="20"/>
                <w:szCs w:val="20"/>
              </w:rPr>
              <w:t xml:space="preserve">Yes</w:t>
            </w:r>
          </w:p>
        </w:tc>
        <w:tc>
          <w:tcPr>
            <w:tcW w:type="dxa" w:w="3160"/>
            <w:tcBorders>
              <w:top w:val="single" w:color="AAAAAA" w:sz="1"/>
              <w:left w:val="single" w:color="AAAAAA" w:sz="1"/>
              <w:bottom w:val="single" w:color="AAAAAA" w:sz="1"/>
              <w:right w:val="single" w:color="AAAAAA" w:sz="1"/>
            </w:tcBorders>
            <w:shd w:fill="EEF4FA" w:val="clear"/>
            <w:tcMar>
              <w:top w:type="dxa" w:w="80"/>
              <w:left w:type="dxa" w:w="120"/>
              <w:bottom w:type="dxa" w:w="80"/>
              <w:right w:type="dxa" w:w="120"/>
            </w:tcMar>
          </w:tcPr>
          <w:p>
            <w:r>
              <w:rPr>
                <w:rFonts w:ascii="Arial" w:cs="Arial" w:eastAsia="Arial" w:hAnsi="Arial"/>
                <w:sz w:val="20"/>
                <w:szCs w:val="20"/>
              </w:rPr>
              <w:t xml:space="preserve">Making edits; previewing form appearance</w:t>
            </w:r>
          </w:p>
        </w:tc>
      </w:tr>
    </w:tbl>
    <w:p>
      <w:pPr>
        <w:spacing w:before="80" w:after="0"/>
      </w:pPr>
    </w:p>
    <w:p>
      <w:pPr>
        <w:pStyle w:val="Heading1"/>
        <w:pBdr>
          <w:bottom w:val="single" w:color="2C5F8A" w:sz="6" w:space="4"/>
        </w:pBdr>
        <w:spacing w:before="300" w:after="120"/>
      </w:pPr>
      <w:r>
        <w:rPr>
          <w:rFonts w:ascii="Arial" w:cs="Arial" w:eastAsia="Arial" w:hAnsi="Arial"/>
          <w:b/>
          <w:bCs/>
          <w:color w:val="2C5F8A"/>
          <w:sz w:val="32"/>
          <w:szCs w:val="32"/>
        </w:rPr>
        <w:t xml:space="preserve">7. Common Questions</w:t>
      </w:r>
    </w:p>
    <w:p>
      <w:pPr>
        <w:spacing w:before="120" w:after="40"/>
      </w:pPr>
      <w:r>
        <w:rPr>
          <w:rFonts w:ascii="Arial" w:cs="Arial" w:eastAsia="Arial" w:hAnsi="Arial"/>
          <w:b/>
          <w:bCs/>
          <w:color w:val="111111"/>
          <w:sz w:val="22"/>
          <w:szCs w:val="22"/>
        </w:rPr>
        <w:t xml:space="preserve">Q: Can I edit variables directly from the Codebook?</w:t>
      </w:r>
    </w:p>
    <w:p>
      <w:pPr>
        <w:spacing w:before="0" w:after="100"/>
      </w:pPr>
      <w:r>
        <w:rPr>
          <w:rFonts w:ascii="Arial" w:cs="Arial" w:eastAsia="Arial" w:hAnsi="Arial"/>
          <w:color w:val="111111"/>
          <w:sz w:val="22"/>
          <w:szCs w:val="22"/>
        </w:rPr>
        <w:t xml:space="preserve">A: No. The Codebook is read-only. It contains inline links that open the Online Designer's edit interface or branching logic editor for individual variables, but the editing itself happens in those tools — not in the Codebook.</w:t>
      </w:r>
    </w:p>
    <w:p>
      <w:pPr>
        <w:spacing w:before="120" w:after="40"/>
      </w:pPr>
      <w:r>
        <w:rPr>
          <w:rFonts w:ascii="Arial" w:cs="Arial" w:eastAsia="Arial" w:hAnsi="Arial"/>
          <w:b/>
          <w:bCs/>
          <w:color w:val="111111"/>
          <w:sz w:val="22"/>
          <w:szCs w:val="22"/>
        </w:rPr>
        <w:t xml:space="preserve">Q: Does the Codebook update in real time as I make changes?</w:t>
      </w:r>
    </w:p>
    <w:p>
      <w:pPr>
        <w:spacing w:before="0" w:after="100"/>
      </w:pPr>
      <w:r>
        <w:rPr>
          <w:rFonts w:ascii="Arial" w:cs="Arial" w:eastAsia="Arial" w:hAnsi="Arial"/>
          <w:color w:val="111111"/>
          <w:sz w:val="22"/>
          <w:szCs w:val="22"/>
        </w:rPr>
        <w:t xml:space="preserve">A: Yes, for applied changes. In Development mode, changes made in the Online Designer or via Data Dictionary upload are reflected immediately. In Production mode, pending (unapproved) changes are not shown — the Codebook reflects only the live project state.</w:t>
      </w:r>
    </w:p>
    <w:p>
      <w:pPr>
        <w:spacing w:before="120" w:after="40"/>
      </w:pPr>
      <w:r>
        <w:rPr>
          <w:rFonts w:ascii="Arial" w:cs="Arial" w:eastAsia="Arial" w:hAnsi="Arial"/>
          <w:b/>
          <w:bCs/>
          <w:color w:val="111111"/>
          <w:sz w:val="22"/>
          <w:szCs w:val="22"/>
        </w:rPr>
        <w:t xml:space="preserve">Q: Is the Codebook the same as the Data Dictionary?</w:t>
      </w:r>
    </w:p>
    <w:p>
      <w:pPr>
        <w:spacing w:before="0" w:after="100"/>
      </w:pPr>
      <w:r>
        <w:rPr>
          <w:rFonts w:ascii="Arial" w:cs="Arial" w:eastAsia="Arial" w:hAnsi="Arial"/>
          <w:color w:val="111111"/>
          <w:sz w:val="22"/>
          <w:szCs w:val="22"/>
        </w:rPr>
        <w:t xml:space="preserve">A: No. The Data Dictionary is a CSV file that defines your project's variables and can be uploaded to modify them. The Codebook is a read-only web view of the same information in a more readable format. They present similar content but serve entirely different purposes.</w:t>
      </w:r>
    </w:p>
    <w:p>
      <w:pPr>
        <w:spacing w:before="120" w:after="40"/>
      </w:pPr>
      <w:r>
        <w:rPr>
          <w:rFonts w:ascii="Arial" w:cs="Arial" w:eastAsia="Arial" w:hAnsi="Arial"/>
          <w:b/>
          <w:bCs/>
          <w:color w:val="111111"/>
          <w:sz w:val="22"/>
          <w:szCs w:val="22"/>
        </w:rPr>
        <w:t xml:space="preserve">Q: Can I export the Codebook as a file?</w:t>
      </w:r>
    </w:p>
    <w:p>
      <w:pPr>
        <w:spacing w:before="0" w:after="100"/>
      </w:pPr>
      <w:r>
        <w:rPr>
          <w:rFonts w:ascii="Arial" w:cs="Arial" w:eastAsia="Arial" w:hAnsi="Arial"/>
          <w:color w:val="111111"/>
          <w:sz w:val="22"/>
          <w:szCs w:val="22"/>
        </w:rPr>
        <w:t xml:space="preserve">A: Not directly as a Codebook export. For a portable version of your project's variable definitions, use Download the current Data Dictionary (CSV) or Download PDF of All Instruments, both available from the Design Your Data Collection Instruments section.</w:t>
      </w:r>
    </w:p>
    <w:p>
      <w:pPr>
        <w:spacing w:before="120" w:after="40"/>
      </w:pPr>
      <w:r>
        <w:rPr>
          <w:rFonts w:ascii="Arial" w:cs="Arial" w:eastAsia="Arial" w:hAnsi="Arial"/>
          <w:b/>
          <w:bCs/>
          <w:color w:val="111111"/>
          <w:sz w:val="22"/>
          <w:szCs w:val="22"/>
        </w:rPr>
        <w:t xml:space="preserve">Q: I'm new to a project and need to understand its structure quickly. Is the Codebook the best starting point?</w:t>
      </w:r>
    </w:p>
    <w:p>
      <w:pPr>
        <w:spacing w:before="0" w:after="100"/>
      </w:pPr>
      <w:r>
        <w:rPr>
          <w:rFonts w:ascii="Arial" w:cs="Arial" w:eastAsia="Arial" w:hAnsi="Arial"/>
          <w:color w:val="111111"/>
          <w:sz w:val="22"/>
          <w:szCs w:val="22"/>
        </w:rPr>
        <w:t xml:space="preserve">A: Yes. The Codebook gives you a structured, human-readable view of all instruments and variables without requiring you to interpret a CSV or navigate the Online Designer instrument by instrument. It's the fastest way to understand what a project collects and how it is organized.</w:t>
      </w:r>
    </w:p>
    <w:p>
      <w:pPr>
        <w:spacing w:before="160" w:after="0"/>
      </w:pPr>
    </w:p>
    <w:p>
      <w:pPr>
        <w:pStyle w:val="Heading1"/>
        <w:pBdr>
          <w:bottom w:val="single" w:color="2C5F8A" w:sz="6" w:space="4"/>
        </w:pBdr>
        <w:spacing w:before="300" w:after="120"/>
      </w:pPr>
      <w:r>
        <w:rPr>
          <w:rFonts w:ascii="Arial" w:cs="Arial" w:eastAsia="Arial" w:hAnsi="Arial"/>
          <w:b/>
          <w:bCs/>
          <w:color w:val="2C5F8A"/>
          <w:sz w:val="32"/>
          <w:szCs w:val="32"/>
        </w:rPr>
        <w:t xml:space="preserve">8. Common Mistakes &amp; Gotchas</w:t>
      </w:r>
    </w:p>
    <w:p>
      <w:pPr>
        <w:pStyle w:val="ListParagraph"/>
        <w:numPr>
          <w:ilvl w:val="0"/>
          <w:numId w:val="2"/>
        </w:numPr>
        <w:spacing w:before="40" w:after="40"/>
      </w:pPr>
      <w:r>
        <w:rPr>
          <w:rFonts w:ascii="Arial" w:cs="Arial" w:eastAsia="Arial" w:hAnsi="Arial"/>
          <w:color w:val="111111"/>
          <w:sz w:val="22"/>
          <w:szCs w:val="22"/>
        </w:rPr>
        <w:t xml:space="preserve">Expecting to edit from the Codebook: the Codebook is read-only. Use the inline links to jump to the Online Designer if you need to make a change, but the edit happens there.</w:t>
      </w:r>
    </w:p>
    <w:p>
      <w:pPr>
        <w:pStyle w:val="ListParagraph"/>
        <w:numPr>
          <w:ilvl w:val="0"/>
          <w:numId w:val="2"/>
        </w:numPr>
        <w:spacing w:before="40" w:after="40"/>
      </w:pPr>
      <w:r>
        <w:rPr>
          <w:rFonts w:ascii="Arial" w:cs="Arial" w:eastAsia="Arial" w:hAnsi="Arial"/>
          <w:color w:val="111111"/>
          <w:sz w:val="22"/>
          <w:szCs w:val="22"/>
        </w:rPr>
        <w:t xml:space="preserve">Treating the Codebook as an export: the Codebook is a live web view, not a downloadable file. Use the Data Dictionary download or the PDF export for portable versions of your project structure.</w:t>
      </w:r>
    </w:p>
    <w:p>
      <w:pPr>
        <w:pStyle w:val="ListParagraph"/>
        <w:numPr>
          <w:ilvl w:val="0"/>
          <w:numId w:val="2"/>
        </w:numPr>
        <w:spacing w:before="40" w:after="40"/>
      </w:pPr>
      <w:r>
        <w:rPr>
          <w:rFonts w:ascii="Arial" w:cs="Arial" w:eastAsia="Arial" w:hAnsi="Arial"/>
          <w:color w:val="111111"/>
          <w:sz w:val="22"/>
          <w:szCs w:val="22"/>
        </w:rPr>
        <w:t xml:space="preserve">Relying on the Codebook in Production when changes are pending: the Codebook only reflects the live, approved project state. Pending Online Designer changes in Production are not visible until approved. If you recently made a change and don't see it in the Codebook, check whether it is still in the approval queue.</w:t>
      </w:r>
    </w:p>
    <w:p>
      <w:pPr>
        <w:pStyle w:val="ListParagraph"/>
        <w:numPr>
          <w:ilvl w:val="0"/>
          <w:numId w:val="2"/>
        </w:numPr>
        <w:spacing w:before="40" w:after="40"/>
      </w:pPr>
      <w:r>
        <w:rPr>
          <w:rFonts w:ascii="Arial" w:cs="Arial" w:eastAsia="Arial" w:hAnsi="Arial"/>
          <w:color w:val="111111"/>
          <w:sz w:val="22"/>
          <w:szCs w:val="22"/>
        </w:rPr>
        <w:t xml:space="preserve">Overlooking the inline edit links: the Codebook's inline links to the Online Designer and branching logic editor are easy to miss but save significant time. They let you jump directly to a specific variable's edit interface without scrolling through the full Online Designer.</w:t>
      </w:r>
    </w:p>
    <w:p>
      <w:pPr>
        <w:spacing w:before="160" w:after="0"/>
      </w:pPr>
    </w:p>
    <w:p>
      <w:pPr>
        <w:pStyle w:val="Heading1"/>
        <w:pBdr>
          <w:bottom w:val="single" w:color="2C5F8A" w:sz="6" w:space="4"/>
        </w:pBdr>
        <w:spacing w:before="300" w:after="120"/>
      </w:pPr>
      <w:r>
        <w:rPr>
          <w:rFonts w:ascii="Arial" w:cs="Arial" w:eastAsia="Arial" w:hAnsi="Arial"/>
          <w:b/>
          <w:bCs/>
          <w:color w:val="2C5F8A"/>
          <w:sz w:val="32"/>
          <w:szCs w:val="32"/>
        </w:rPr>
        <w:t xml:space="preserve">9. Related Articles</w:t>
      </w:r>
    </w:p>
    <w:p>
      <w:pPr>
        <w:pStyle w:val="ListParagraph"/>
        <w:numPr>
          <w:ilvl w:val="0"/>
          <w:numId w:val="2"/>
        </w:numPr>
        <w:spacing w:before="40" w:after="40"/>
      </w:pPr>
      <w:r>
        <w:rPr>
          <w:rFonts w:ascii="Arial" w:cs="Arial" w:eastAsia="Arial" w:hAnsi="Arial"/>
          <w:color w:val="111111"/>
          <w:sz w:val="22"/>
          <w:szCs w:val="22"/>
        </w:rPr>
        <w:t xml:space="preserve">RC-FD-01 — Form Design Overview (prerequisite)</w:t>
      </w:r>
    </w:p>
    <w:p>
      <w:pPr>
        <w:pStyle w:val="ListParagraph"/>
        <w:numPr>
          <w:ilvl w:val="0"/>
          <w:numId w:val="2"/>
        </w:numPr>
        <w:spacing w:before="40" w:after="40"/>
      </w:pPr>
      <w:r>
        <w:rPr>
          <w:rFonts w:ascii="Arial" w:cs="Arial" w:eastAsia="Arial" w:hAnsi="Arial"/>
          <w:color w:val="111111"/>
          <w:sz w:val="22"/>
          <w:szCs w:val="22"/>
        </w:rPr>
        <w:t xml:space="preserve">RC-FD-02 — Online Designer (the editing tool linked from the Codebook's inline edit links)</w:t>
      </w:r>
    </w:p>
    <w:p>
      <w:pPr>
        <w:pStyle w:val="ListParagraph"/>
        <w:numPr>
          <w:ilvl w:val="0"/>
          <w:numId w:val="2"/>
        </w:numPr>
        <w:spacing w:before="40" w:after="40"/>
      </w:pPr>
      <w:r>
        <w:rPr>
          <w:rFonts w:ascii="Arial" w:cs="Arial" w:eastAsia="Arial" w:hAnsi="Arial"/>
          <w:color w:val="111111"/>
          <w:sz w:val="22"/>
          <w:szCs w:val="22"/>
        </w:rPr>
        <w:t xml:space="preserve">RC-FD-03 — Data Dictionary (the CSV-format alternative reference and design tool)</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C5F8A" w:sz="4" w:space="4"/>
      </w:pBdr>
      <w:spacing w:before="60" w:after="0"/>
    </w:pPr>
    <w:r>
      <w:rPr>
        <w:rFonts w:ascii="Arial" w:cs="Arial" w:eastAsia="Arial" w:hAnsi="Arial"/>
        <w:color w:val="666666"/>
        <w:sz w:val="18"/>
        <w:szCs w:val="18"/>
      </w:rPr>
      <w:t xml:space="preserve">Yale University  |  REDCap Support</w:t>
    </w:r>
    <w:r>
      <w:rPr>
        <w:rFonts w:ascii="Arial" w:cs="Arial" w:eastAsia="Arial" w:hAnsi="Arial"/>
        <w:color w:val="666666"/>
        <w:sz w:val="18"/>
        <w:szCs w:val="18"/>
      </w:rPr>
      <w:t xml:space="preserve">   Page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of </w:t>
    </w:r>
    <w:r>
      <w:rPr>
        <w:rFonts w:ascii="Arial" w:cs="Arial" w:eastAsia="Arial" w:hAnsi="Arial"/>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C5F8A" w:sz="4" w:space="4"/>
      </w:pBdr>
      <w:spacing w:before="0" w:after="60"/>
    </w:pPr>
    <w:r>
      <w:rPr>
        <w:rFonts w:ascii="Arial" w:cs="Arial" w:eastAsia="Arial" w:hAnsi="Arial"/>
        <w:color w:val="666666"/>
        <w:sz w:val="18"/>
        <w:szCs w:val="18"/>
      </w:rPr>
      <w:t xml:space="preserve">REDCap Knowledge Base  |  RC-FD-05</w:t>
    </w:r>
    <w:r>
      <w:rPr>
        <w:rFonts w:ascii="Arial" w:cs="Arial" w:eastAsia="Arial" w:hAnsi="Arial"/>
        <w:i/>
        <w:iCs/>
        <w:color w:val="666666"/>
        <w:sz w:val="18"/>
        <w:szCs w:val="18"/>
      </w:rPr>
      <w:t xml:space="preserve">  —  Codebook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20"/>
      <w:outlineLvl w:val="0"/>
    </w:pPr>
    <w:rPr>
      <w:rFonts w:ascii="Arial" w:cs="Arial" w:eastAsia="Arial" w:hAnsi="Arial"/>
      <w:b/>
      <w:bCs/>
      <w:color w:val="2C5F8A"/>
      <w:sz w:val="32"/>
      <w:szCs w:val="32"/>
    </w:rPr>
  </w:style>
  <w:style w:type="paragraph" w:styleId="Heading2">
    <w:name w:val="Heading 2"/>
    <w:basedOn w:val="Normal"/>
    <w:next w:val="Normal"/>
    <w:qFormat/>
    <w:pPr>
      <w:spacing w:before="220" w:after="80"/>
      <w:outlineLvl w:val="1"/>
    </w:pPr>
    <w:rPr>
      <w:rFonts w:ascii="Arial" w:cs="Arial" w:eastAsia="Arial" w:hAnsi="Arial"/>
      <w:b/>
      <w:bCs/>
      <w:color w:val="333333"/>
      <w:sz w:val="26"/>
      <w:szCs w:val="26"/>
    </w:rPr>
  </w:style>
  <w:style w:type="paragraph" w:styleId="Heading3">
    <w:name w:val="Heading 3"/>
    <w:basedOn w:val="Normal"/>
    <w:next w:val="Normal"/>
    <w:qFormat/>
    <w:pPr>
      <w:spacing w:before="160" w:after="60"/>
      <w:outlineLvl w:val="2"/>
    </w:pPr>
    <w:rPr>
      <w:rFonts w:ascii="Arial" w:cs="Arial" w:eastAsia="Arial" w:hAnsi="Arial"/>
      <w:b/>
      <w:bCs/>
      <w:color w:val="5555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2026-03-31T22:53:05.120Z</dcterms:created>
  <dcterms:modified xsi:type="dcterms:W3CDTF">2026-03-31T22:53:05.120Z</dcterms:modified>
</cp:coreProperties>
</file>

<file path=docProps/custom.xml><?xml version="1.0" encoding="utf-8"?>
<Properties xmlns="http://schemas.openxmlformats.org/officeDocument/2006/custom-properties" xmlns:vt="http://schemas.openxmlformats.org/officeDocument/2006/docPropsVTypes"/>
</file>