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맑은 고딕" w:hAnsi="맑은 고딕" w:eastAsia="맑은 고딕"/>
          <w:b/>
          <w:color w:val="1F3A5F"/>
          <w:sz w:val="56"/>
        </w:rPr>
        <w:t>AI 발전 보고서</w:t>
      </w:r>
    </w:p>
    <w:p>
      <w:pPr>
        <w:jc w:val="center"/>
      </w:pPr>
      <w:r>
        <w:rPr>
          <w:rFonts w:ascii="맑은 고딕" w:hAnsi="맑은 고딕" w:eastAsia="맑은 고딕"/>
          <w:color w:val="555555"/>
          <w:sz w:val="28"/>
        </w:rPr>
        <w:t>인공지능의 역사, 최신 동향, 사회적 영향과 미래 전망</w:t>
      </w:r>
    </w:p>
    <w:p/>
    <w:p/>
    <w:p/>
    <w:p/>
    <w:p/>
    <w:p/>
    <w:p/>
    <w:p/>
    <w:p/>
    <w:p/>
    <w:p>
      <w:pPr>
        <w:jc w:val="center"/>
      </w:pPr>
      <w:r>
        <w:rPr>
          <w:rFonts w:ascii="맑은 고딕" w:hAnsi="맑은 고딕" w:eastAsia="맑은 고딕"/>
          <w:sz w:val="24"/>
        </w:rPr>
        <w:t>작성일: 2026년 10월 4일</w:t>
      </w:r>
    </w:p>
    <w:p>
      <w:r>
        <w:br w:type="page"/>
      </w:r>
    </w:p>
    <w:p>
      <w:pPr>
        <w:pStyle w:val="Heading1"/>
      </w:pPr>
      <w:r>
        <w:t>목차</w:t>
      </w:r>
    </w:p>
    <w:p>
      <w:pPr>
        <w:spacing w:after="40"/>
      </w:pPr>
      <w:r>
        <w:rPr>
          <w:rFonts w:ascii="맑은 고딕" w:hAnsi="맑은 고딕" w:eastAsia="맑은 고딕"/>
          <w:b/>
        </w:rPr>
        <w:t>Ⅰ. 서론</w:t>
      </w:r>
    </w:p>
    <w:p>
      <w:pPr>
        <w:spacing w:after="40"/>
      </w:pPr>
      <w:r>
        <w:rPr>
          <w:rFonts w:ascii="맑은 고딕" w:hAnsi="맑은 고딕" w:eastAsia="맑은 고딕"/>
          <w:b w:val="0"/>
        </w:rPr>
        <w:t xml:space="preserve">    1. 작성 배경 및 목적</w:t>
      </w:r>
    </w:p>
    <w:p>
      <w:pPr>
        <w:spacing w:after="40"/>
      </w:pPr>
      <w:r>
        <w:rPr>
          <w:rFonts w:ascii="맑은 고딕" w:hAnsi="맑은 고딕" w:eastAsia="맑은 고딕"/>
          <w:b w:val="0"/>
        </w:rPr>
        <w:t xml:space="preserve">    2. 인공지능의 정의</w:t>
      </w:r>
    </w:p>
    <w:p>
      <w:pPr>
        <w:spacing w:after="40"/>
      </w:pPr>
      <w:r>
        <w:rPr>
          <w:rFonts w:ascii="맑은 고딕" w:hAnsi="맑은 고딕" w:eastAsia="맑은 고딕"/>
          <w:b/>
        </w:rPr>
        <w:t>Ⅱ. 본론</w:t>
      </w:r>
    </w:p>
    <w:p>
      <w:pPr>
        <w:spacing w:after="40"/>
      </w:pPr>
      <w:r>
        <w:rPr>
          <w:rFonts w:ascii="맑은 고딕" w:hAnsi="맑은 고딕" w:eastAsia="맑은 고딕"/>
          <w:b w:val="0"/>
        </w:rPr>
        <w:t xml:space="preserve">    1. AI 발전의 역사</w:t>
      </w:r>
    </w:p>
    <w:p>
      <w:pPr>
        <w:spacing w:after="40"/>
      </w:pPr>
      <w:r>
        <w:rPr>
          <w:rFonts w:ascii="맑은 고딕" w:hAnsi="맑은 고딕" w:eastAsia="맑은 고딕"/>
          <w:b w:val="0"/>
        </w:rPr>
        <w:t xml:space="preserve">    2. 최신 기술 동향</w:t>
      </w:r>
    </w:p>
    <w:p>
      <w:pPr>
        <w:spacing w:after="40"/>
      </w:pPr>
      <w:r>
        <w:rPr>
          <w:rFonts w:ascii="맑은 고딕" w:hAnsi="맑은 고딕" w:eastAsia="맑은 고딕"/>
          <w:b w:val="0"/>
        </w:rPr>
        <w:t xml:space="preserve">    3. 산업별 활용 사례</w:t>
      </w:r>
    </w:p>
    <w:p>
      <w:pPr>
        <w:spacing w:after="40"/>
      </w:pPr>
      <w:r>
        <w:rPr>
          <w:rFonts w:ascii="맑은 고딕" w:hAnsi="맑은 고딕" w:eastAsia="맑은 고딕"/>
          <w:b w:val="0"/>
        </w:rPr>
        <w:t xml:space="preserve">    4. 사회·경제적 영향과 윤리·규제</w:t>
      </w:r>
    </w:p>
    <w:p>
      <w:pPr>
        <w:spacing w:after="40"/>
      </w:pPr>
      <w:r>
        <w:rPr>
          <w:rFonts w:ascii="맑은 고딕" w:hAnsi="맑은 고딕" w:eastAsia="맑은 고딕"/>
          <w:b/>
        </w:rPr>
        <w:t>Ⅲ. 결론</w:t>
      </w:r>
    </w:p>
    <w:p>
      <w:pPr>
        <w:spacing w:after="40"/>
      </w:pPr>
      <w:r>
        <w:rPr>
          <w:rFonts w:ascii="맑은 고딕" w:hAnsi="맑은 고딕" w:eastAsia="맑은 고딕"/>
          <w:b w:val="0"/>
        </w:rPr>
        <w:t xml:space="preserve">    1. 요약</w:t>
      </w:r>
    </w:p>
    <w:p>
      <w:pPr>
        <w:spacing w:after="40"/>
      </w:pPr>
      <w:r>
        <w:rPr>
          <w:rFonts w:ascii="맑은 고딕" w:hAnsi="맑은 고딕" w:eastAsia="맑은 고딕"/>
          <w:b w:val="0"/>
        </w:rPr>
        <w:t xml:space="preserve">    2. 향후 전망</w:t>
      </w:r>
    </w:p>
    <w:p>
      <w:pPr>
        <w:spacing w:after="40"/>
      </w:pPr>
      <w:r>
        <w:rPr>
          <w:rFonts w:ascii="맑은 고딕" w:hAnsi="맑은 고딕" w:eastAsia="맑은 고딕"/>
          <w:b w:val="0"/>
        </w:rPr>
        <w:t xml:space="preserve">    3. 시사점</w:t>
      </w:r>
    </w:p>
    <w:p>
      <w:pPr>
        <w:spacing w:after="40"/>
      </w:pPr>
      <w:r>
        <w:rPr>
          <w:rFonts w:ascii="맑은 고딕" w:hAnsi="맑은 고딕" w:eastAsia="맑은 고딕"/>
          <w:b/>
        </w:rPr>
        <w:t>참고문헌</w:t>
      </w:r>
    </w:p>
    <w:p>
      <w:r>
        <w:br w:type="page"/>
      </w:r>
    </w:p>
    <w:p>
      <w:pPr>
        <w:pStyle w:val="Heading1"/>
      </w:pPr>
      <w:r>
        <w:t>Ⅰ. 서론</w:t>
      </w:r>
    </w:p>
    <w:p>
      <w:pPr>
        <w:pStyle w:val="Heading2"/>
      </w:pPr>
      <w:r>
        <w:t>1. 작성 배경 및 목적</w:t>
      </w:r>
    </w:p>
    <w:p>
      <w:pPr>
        <w:ind w:firstLine="283"/>
        <w:jc w:val="both"/>
      </w:pPr>
      <w:r>
        <w:rPr>
          <w:rFonts w:ascii="맑은 고딕" w:hAnsi="맑은 고딕" w:eastAsia="맑은 고딕"/>
        </w:rPr>
        <w:t>2022년 11월 ChatGPT가 공개된 뒤 인공지능(AI)은 일부 연구자와 기업의 기술을 넘어 일상과 산업 전반에 빠르게 퍼졌다. 스탠퍼드 대학교 인간중심AI연구소(HAI)의 「2026 AI 인덱스 보고서」에 따르면 생성형 AI는 출시 3년 만에 세계 인구의 53%가 쓰게 되어 개인용 컴퓨터나 인터넷보다 빠르게 확산되었고, 전 세계 조직의 88%가 어떤 형태로든 AI를 도입했다.</w:t>
      </w:r>
    </w:p>
    <w:p>
      <w:pPr>
        <w:ind w:firstLine="283"/>
        <w:jc w:val="both"/>
      </w:pPr>
      <w:r>
        <w:rPr>
          <w:rFonts w:ascii="맑은 고딕" w:hAnsi="맑은 고딕" w:eastAsia="맑은 고딕"/>
        </w:rPr>
        <w:t>이처럼 AI는 산업 구조, 일자리, 교육, 정책에 큰 변화를 가져오고 있다. 그러나 기술 발전 속도에 비해 안전, 규제, 사회적 대응은 뒤처지고 있다는 지적도 많다. 이 보고서는 AI 발전의 역사와 최신 기술 동향을 정리하고, 산업별 활용 사례와 사회·경제적 영향을 살펴본 뒤, 앞으로의 전망과 시사점을 제시하는 것을 목적으로 한다.</w:t>
      </w:r>
    </w:p>
    <w:p>
      <w:pPr>
        <w:pStyle w:val="Heading2"/>
      </w:pPr>
      <w:r>
        <w:t>2. 인공지능의 정의</w:t>
      </w:r>
    </w:p>
    <w:p>
      <w:pPr>
        <w:ind w:firstLine="283"/>
        <w:jc w:val="both"/>
      </w:pPr>
      <w:r>
        <w:rPr>
          <w:rFonts w:ascii="맑은 고딕" w:hAnsi="맑은 고딕" w:eastAsia="맑은 고딕"/>
        </w:rPr>
        <w:t>인공지능은 학습, 추론, 지각, 언어 이해 등 사람의 지적 능력을 컴퓨터로 구현하는 기술을 말한다. 이 용어는 1956년 미국 다트머스 대학교에서 열린 워크숍에서 존 매카시가 처음 사용했다. 당시 연구자들은 "학습을 비롯한 지능의 모든 특성은 원칙적으로 기계가 흉내 낼 수 있을 만큼 정확하게 기술할 수 있다"고 보았다. 오늘날 AI는 데이터에서 스스로 패턴을 배우는 머신러닝과, 이를 다층 신경망으로 확장한 딥러닝을 중심으로 발전하고 있다.</w:t>
      </w:r>
    </w:p>
    <w:p>
      <w:pPr>
        <w:pStyle w:val="Heading1"/>
      </w:pPr>
      <w:r>
        <w:t>Ⅱ. 본론</w:t>
      </w:r>
    </w:p>
    <w:p>
      <w:pPr>
        <w:pStyle w:val="Heading2"/>
      </w:pPr>
      <w:r>
        <w:t>1. AI 발전의 역사</w:t>
      </w:r>
    </w:p>
    <w:p>
      <w:pPr>
        <w:ind w:firstLine="283"/>
        <w:jc w:val="both"/>
      </w:pPr>
      <w:r>
        <w:rPr>
          <w:rFonts w:ascii="맑은 고딕" w:hAnsi="맑은 고딕" w:eastAsia="맑은 고딕"/>
        </w:rPr>
        <w:t>AI의 역사는 기대와 투자가 몰리는 '여름'과 실망과 자금 삭감이 이어지는 '겨울'이 반복된 과정이었다. 초기에는 사람이 규칙을 직접 입력하는 기호주의 AI가 주류였으나, 컴퓨팅 성능의 한계와 지나친 기대 때문에 1974–1980년과 1987–1993년 두 차례 'AI 겨울'을 겪었다.</w:t>
      </w:r>
    </w:p>
    <w:p>
      <w:pPr>
        <w:ind w:firstLine="283"/>
        <w:jc w:val="both"/>
      </w:pPr>
      <w:r>
        <w:rPr>
          <w:rFonts w:ascii="맑은 고딕" w:hAnsi="맑은 고딕" w:eastAsia="맑은 고딕"/>
        </w:rPr>
        <w:t>전환점은 2012년이었다. 제프리 힌턴 연구팀의 AlexNet이 이미지 인식 대회(ImageNet)에서 2위와 약 10.8%p 차이로 우승하면서 딥러닝 시대가 열렸다. 2016년에는 알파고가 이세돌 9단을 이겼고, 2017년 발표된 트랜스포머 구조는 오늘날 대규모 언어 모델(LLM)의 기반이 되었다. 2022년 ChatGPT는 두 달 만에 사용자 1억 명을 모아 생성형 AI 대중화를 이끌었다. 2024년에는 힌턴이 노벨 물리학상을, 알파폴드를 만든 허사비스와 점퍼가 노벨 화학상을 받아 AI의 학문적 기여가 공식적으로 인정받았다.</w:t>
      </w:r>
    </w:p>
    <w:p>
      <w:r>
        <w:rPr>
          <w:rFonts w:ascii="맑은 고딕" w:hAnsi="맑은 고딕" w:eastAsia="맑은 고딕"/>
          <w:b/>
          <w:sz w:val="20"/>
        </w:rPr>
        <w:t>[표 1] AI 발전의 주요 이정표</w:t>
      </w:r>
    </w:p>
    <w:tbl>
      <w:tblPr>
        <w:tblStyle w:val="TableGrid"/>
        <w:tblW w:type="auto" w:w="0"/>
        <w:jc w:val="center"/>
        <w:tblLook w:firstColumn="1" w:firstRow="1" w:lastColumn="0" w:lastRow="0" w:noHBand="0" w:noVBand="1" w:val="04A0"/>
      </w:tblPr>
      <w:tblGrid>
        <w:gridCol w:w="3024"/>
        <w:gridCol w:w="3024"/>
        <w:gridCol w:w="3024"/>
      </w:tblGrid>
      <w:tr>
        <w:tc>
          <w:tcPr>
            <w:tcW w:type="dxa" w:w="1417"/>
            <w:shd w:val="clear" w:color="auto" w:fill="1F3A5F"/>
          </w:tcPr>
          <w:p>
            <w:pPr>
              <w:jc w:val="center"/>
            </w:pPr>
            <w:r/>
            <w:r>
              <w:rPr>
                <w:rFonts w:ascii="맑은 고딕" w:hAnsi="맑은 고딕" w:eastAsia="맑은 고딕"/>
                <w:b/>
                <w:color w:val="FFFFFF"/>
                <w:sz w:val="20"/>
              </w:rPr>
              <w:t>시기</w:t>
            </w:r>
          </w:p>
        </w:tc>
        <w:tc>
          <w:tcPr>
            <w:tcW w:type="dxa" w:w="3402"/>
            <w:shd w:val="clear" w:color="auto" w:fill="1F3A5F"/>
          </w:tcPr>
          <w:p>
            <w:pPr>
              <w:jc w:val="center"/>
            </w:pPr>
            <w:r/>
            <w:r>
              <w:rPr>
                <w:rFonts w:ascii="맑은 고딕" w:hAnsi="맑은 고딕" w:eastAsia="맑은 고딕"/>
                <w:b/>
                <w:color w:val="FFFFFF"/>
                <w:sz w:val="20"/>
              </w:rPr>
              <w:t>주요 사건</w:t>
            </w:r>
          </w:p>
        </w:tc>
        <w:tc>
          <w:tcPr>
            <w:tcW w:type="dxa" w:w="4252"/>
            <w:shd w:val="clear" w:color="auto" w:fill="1F3A5F"/>
          </w:tcPr>
          <w:p>
            <w:pPr>
              <w:jc w:val="center"/>
            </w:pPr>
            <w:r/>
            <w:r>
              <w:rPr>
                <w:rFonts w:ascii="맑은 고딕" w:hAnsi="맑은 고딕" w:eastAsia="맑은 고딕"/>
                <w:b/>
                <w:color w:val="FFFFFF"/>
                <w:sz w:val="20"/>
              </w:rPr>
              <w:t>의의</w:t>
            </w:r>
          </w:p>
        </w:tc>
      </w:tr>
      <w:tr>
        <w:tc>
          <w:tcPr>
            <w:tcW w:type="dxa" w:w="1417"/>
          </w:tcPr>
          <w:p>
            <w:pPr>
              <w:spacing w:line="288" w:lineRule="auto"/>
            </w:pPr>
            <w:r/>
            <w:r>
              <w:rPr>
                <w:rFonts w:ascii="맑은 고딕" w:hAnsi="맑은 고딕" w:eastAsia="맑은 고딕"/>
                <w:sz w:val="19"/>
              </w:rPr>
              <w:t>1956</w:t>
            </w:r>
          </w:p>
        </w:tc>
        <w:tc>
          <w:tcPr>
            <w:tcW w:type="dxa" w:w="3402"/>
          </w:tcPr>
          <w:p>
            <w:pPr>
              <w:spacing w:line="288" w:lineRule="auto"/>
            </w:pPr>
            <w:r/>
            <w:r>
              <w:rPr>
                <w:rFonts w:ascii="맑은 고딕" w:hAnsi="맑은 고딕" w:eastAsia="맑은 고딕"/>
                <w:sz w:val="19"/>
              </w:rPr>
              <w:t>다트머스 워크숍</w:t>
            </w:r>
          </w:p>
        </w:tc>
        <w:tc>
          <w:tcPr>
            <w:tcW w:type="dxa" w:w="4252"/>
          </w:tcPr>
          <w:p>
            <w:pPr>
              <w:spacing w:line="288" w:lineRule="auto"/>
            </w:pPr>
            <w:r/>
            <w:r>
              <w:rPr>
                <w:rFonts w:ascii="맑은 고딕" w:hAnsi="맑은 고딕" w:eastAsia="맑은 고딕"/>
                <w:sz w:val="19"/>
              </w:rPr>
              <w:t>'인공지능' 용어 탄생, 학문 분야 출범</w:t>
            </w:r>
          </w:p>
        </w:tc>
      </w:tr>
      <w:tr>
        <w:tc>
          <w:tcPr>
            <w:tcW w:type="dxa" w:w="1417"/>
            <w:shd w:val="clear" w:color="auto" w:fill="EEF2F7"/>
          </w:tcPr>
          <w:p>
            <w:pPr>
              <w:spacing w:line="288" w:lineRule="auto"/>
            </w:pPr>
            <w:r/>
            <w:r>
              <w:rPr>
                <w:rFonts w:ascii="맑은 고딕" w:hAnsi="맑은 고딕" w:eastAsia="맑은 고딕"/>
                <w:sz w:val="19"/>
              </w:rPr>
              <w:t>1974–1993</w:t>
            </w:r>
          </w:p>
        </w:tc>
        <w:tc>
          <w:tcPr>
            <w:tcW w:type="dxa" w:w="3402"/>
            <w:shd w:val="clear" w:color="auto" w:fill="EEF2F7"/>
          </w:tcPr>
          <w:p>
            <w:pPr>
              <w:spacing w:line="288" w:lineRule="auto"/>
            </w:pPr>
            <w:r/>
            <w:r>
              <w:rPr>
                <w:rFonts w:ascii="맑은 고딕" w:hAnsi="맑은 고딕" w:eastAsia="맑은 고딕"/>
                <w:sz w:val="19"/>
              </w:rPr>
              <w:t>두 차례의 AI 겨울</w:t>
            </w:r>
          </w:p>
        </w:tc>
        <w:tc>
          <w:tcPr>
            <w:tcW w:type="dxa" w:w="4252"/>
            <w:shd w:val="clear" w:color="auto" w:fill="EEF2F7"/>
          </w:tcPr>
          <w:p>
            <w:pPr>
              <w:spacing w:line="288" w:lineRule="auto"/>
            </w:pPr>
            <w:r/>
            <w:r>
              <w:rPr>
                <w:rFonts w:ascii="맑은 고딕" w:hAnsi="맑은 고딕" w:eastAsia="맑은 고딕"/>
                <w:sz w:val="19"/>
              </w:rPr>
              <w:t>과도한 기대와 기술 한계로 연구 침체</w:t>
            </w:r>
          </w:p>
        </w:tc>
      </w:tr>
      <w:tr>
        <w:tc>
          <w:tcPr>
            <w:tcW w:type="dxa" w:w="1417"/>
          </w:tcPr>
          <w:p>
            <w:pPr>
              <w:spacing w:line="288" w:lineRule="auto"/>
            </w:pPr>
            <w:r/>
            <w:r>
              <w:rPr>
                <w:rFonts w:ascii="맑은 고딕" w:hAnsi="맑은 고딕" w:eastAsia="맑은 고딕"/>
                <w:sz w:val="19"/>
              </w:rPr>
              <w:t>1997</w:t>
            </w:r>
          </w:p>
        </w:tc>
        <w:tc>
          <w:tcPr>
            <w:tcW w:type="dxa" w:w="3402"/>
          </w:tcPr>
          <w:p>
            <w:pPr>
              <w:spacing w:line="288" w:lineRule="auto"/>
            </w:pPr>
            <w:r/>
            <w:r>
              <w:rPr>
                <w:rFonts w:ascii="맑은 고딕" w:hAnsi="맑은 고딕" w:eastAsia="맑은 고딕"/>
                <w:sz w:val="19"/>
              </w:rPr>
              <w:t>IBM 딥블루, 체스 챔피언에게 승리</w:t>
            </w:r>
          </w:p>
        </w:tc>
        <w:tc>
          <w:tcPr>
            <w:tcW w:type="dxa" w:w="4252"/>
          </w:tcPr>
          <w:p>
            <w:pPr>
              <w:spacing w:line="288" w:lineRule="auto"/>
            </w:pPr>
            <w:r/>
            <w:r>
              <w:rPr>
                <w:rFonts w:ascii="맑은 고딕" w:hAnsi="맑은 고딕" w:eastAsia="맑은 고딕"/>
                <w:sz w:val="19"/>
              </w:rPr>
              <w:t>특정 분야에서 인간을 넘어선 AI</w:t>
            </w:r>
          </w:p>
        </w:tc>
      </w:tr>
      <w:tr>
        <w:tc>
          <w:tcPr>
            <w:tcW w:type="dxa" w:w="1417"/>
            <w:shd w:val="clear" w:color="auto" w:fill="EEF2F7"/>
          </w:tcPr>
          <w:p>
            <w:pPr>
              <w:spacing w:line="288" w:lineRule="auto"/>
            </w:pPr>
            <w:r/>
            <w:r>
              <w:rPr>
                <w:rFonts w:ascii="맑은 고딕" w:hAnsi="맑은 고딕" w:eastAsia="맑은 고딕"/>
                <w:sz w:val="19"/>
              </w:rPr>
              <w:t>2012</w:t>
            </w:r>
          </w:p>
        </w:tc>
        <w:tc>
          <w:tcPr>
            <w:tcW w:type="dxa" w:w="3402"/>
            <w:shd w:val="clear" w:color="auto" w:fill="EEF2F7"/>
          </w:tcPr>
          <w:p>
            <w:pPr>
              <w:spacing w:line="288" w:lineRule="auto"/>
            </w:pPr>
            <w:r/>
            <w:r>
              <w:rPr>
                <w:rFonts w:ascii="맑은 고딕" w:hAnsi="맑은 고딕" w:eastAsia="맑은 고딕"/>
                <w:sz w:val="19"/>
              </w:rPr>
              <w:t>AlexNet, ImageNet 우승</w:t>
            </w:r>
          </w:p>
        </w:tc>
        <w:tc>
          <w:tcPr>
            <w:tcW w:type="dxa" w:w="4252"/>
            <w:shd w:val="clear" w:color="auto" w:fill="EEF2F7"/>
          </w:tcPr>
          <w:p>
            <w:pPr>
              <w:spacing w:line="288" w:lineRule="auto"/>
            </w:pPr>
            <w:r/>
            <w:r>
              <w:rPr>
                <w:rFonts w:ascii="맑은 고딕" w:hAnsi="맑은 고딕" w:eastAsia="맑은 고딕"/>
                <w:sz w:val="19"/>
              </w:rPr>
              <w:t>딥러닝 붐의 시작</w:t>
            </w:r>
          </w:p>
        </w:tc>
      </w:tr>
      <w:tr>
        <w:tc>
          <w:tcPr>
            <w:tcW w:type="dxa" w:w="1417"/>
          </w:tcPr>
          <w:p>
            <w:pPr>
              <w:spacing w:line="288" w:lineRule="auto"/>
            </w:pPr>
            <w:r/>
            <w:r>
              <w:rPr>
                <w:rFonts w:ascii="맑은 고딕" w:hAnsi="맑은 고딕" w:eastAsia="맑은 고딕"/>
                <w:sz w:val="19"/>
              </w:rPr>
              <w:t>2016</w:t>
            </w:r>
          </w:p>
        </w:tc>
        <w:tc>
          <w:tcPr>
            <w:tcW w:type="dxa" w:w="3402"/>
          </w:tcPr>
          <w:p>
            <w:pPr>
              <w:spacing w:line="288" w:lineRule="auto"/>
            </w:pPr>
            <w:r/>
            <w:r>
              <w:rPr>
                <w:rFonts w:ascii="맑은 고딕" w:hAnsi="맑은 고딕" w:eastAsia="맑은 고딕"/>
                <w:sz w:val="19"/>
              </w:rPr>
              <w:t>알파고, 이세돌에게 승리</w:t>
            </w:r>
          </w:p>
        </w:tc>
        <w:tc>
          <w:tcPr>
            <w:tcW w:type="dxa" w:w="4252"/>
          </w:tcPr>
          <w:p>
            <w:pPr>
              <w:spacing w:line="288" w:lineRule="auto"/>
            </w:pPr>
            <w:r/>
            <w:r>
              <w:rPr>
                <w:rFonts w:ascii="맑은 고딕" w:hAnsi="맑은 고딕" w:eastAsia="맑은 고딕"/>
                <w:sz w:val="19"/>
              </w:rPr>
              <w:t>복잡한 직관의 영역으로 여겨진 바둑 정복</w:t>
            </w:r>
          </w:p>
        </w:tc>
      </w:tr>
      <w:tr>
        <w:tc>
          <w:tcPr>
            <w:tcW w:type="dxa" w:w="1417"/>
            <w:shd w:val="clear" w:color="auto" w:fill="EEF2F7"/>
          </w:tcPr>
          <w:p>
            <w:pPr>
              <w:spacing w:line="288" w:lineRule="auto"/>
            </w:pPr>
            <w:r/>
            <w:r>
              <w:rPr>
                <w:rFonts w:ascii="맑은 고딕" w:hAnsi="맑은 고딕" w:eastAsia="맑은 고딕"/>
                <w:sz w:val="19"/>
              </w:rPr>
              <w:t>2017</w:t>
            </w:r>
          </w:p>
        </w:tc>
        <w:tc>
          <w:tcPr>
            <w:tcW w:type="dxa" w:w="3402"/>
            <w:shd w:val="clear" w:color="auto" w:fill="EEF2F7"/>
          </w:tcPr>
          <w:p>
            <w:pPr>
              <w:spacing w:line="288" w:lineRule="auto"/>
            </w:pPr>
            <w:r/>
            <w:r>
              <w:rPr>
                <w:rFonts w:ascii="맑은 고딕" w:hAnsi="맑은 고딕" w:eastAsia="맑은 고딕"/>
                <w:sz w:val="19"/>
              </w:rPr>
              <w:t>트랜스포머 발표</w:t>
            </w:r>
          </w:p>
        </w:tc>
        <w:tc>
          <w:tcPr>
            <w:tcW w:type="dxa" w:w="4252"/>
            <w:shd w:val="clear" w:color="auto" w:fill="EEF2F7"/>
          </w:tcPr>
          <w:p>
            <w:pPr>
              <w:spacing w:line="288" w:lineRule="auto"/>
            </w:pPr>
            <w:r/>
            <w:r>
              <w:rPr>
                <w:rFonts w:ascii="맑은 고딕" w:hAnsi="맑은 고딕" w:eastAsia="맑은 고딕"/>
                <w:sz w:val="19"/>
              </w:rPr>
              <w:t>현대 대규모 언어 모델의 기반</w:t>
            </w:r>
          </w:p>
        </w:tc>
      </w:tr>
      <w:tr>
        <w:tc>
          <w:tcPr>
            <w:tcW w:type="dxa" w:w="1417"/>
          </w:tcPr>
          <w:p>
            <w:pPr>
              <w:spacing w:line="288" w:lineRule="auto"/>
            </w:pPr>
            <w:r/>
            <w:r>
              <w:rPr>
                <w:rFonts w:ascii="맑은 고딕" w:hAnsi="맑은 고딕" w:eastAsia="맑은 고딕"/>
                <w:sz w:val="19"/>
              </w:rPr>
              <w:t>2022</w:t>
            </w:r>
          </w:p>
        </w:tc>
        <w:tc>
          <w:tcPr>
            <w:tcW w:type="dxa" w:w="3402"/>
          </w:tcPr>
          <w:p>
            <w:pPr>
              <w:spacing w:line="288" w:lineRule="auto"/>
            </w:pPr>
            <w:r/>
            <w:r>
              <w:rPr>
                <w:rFonts w:ascii="맑은 고딕" w:hAnsi="맑은 고딕" w:eastAsia="맑은 고딕"/>
                <w:sz w:val="19"/>
              </w:rPr>
              <w:t>ChatGPT 공개</w:t>
            </w:r>
          </w:p>
        </w:tc>
        <w:tc>
          <w:tcPr>
            <w:tcW w:type="dxa" w:w="4252"/>
          </w:tcPr>
          <w:p>
            <w:pPr>
              <w:spacing w:line="288" w:lineRule="auto"/>
            </w:pPr>
            <w:r/>
            <w:r>
              <w:rPr>
                <w:rFonts w:ascii="맑은 고딕" w:hAnsi="맑은 고딕" w:eastAsia="맑은 고딕"/>
                <w:sz w:val="19"/>
              </w:rPr>
              <w:t>생성형 AI 대중화 (2개월 만에 사용자 1억 명)</w:t>
            </w:r>
          </w:p>
        </w:tc>
      </w:tr>
      <w:tr>
        <w:tc>
          <w:tcPr>
            <w:tcW w:type="dxa" w:w="1417"/>
            <w:shd w:val="clear" w:color="auto" w:fill="EEF2F7"/>
          </w:tcPr>
          <w:p>
            <w:pPr>
              <w:spacing w:line="288" w:lineRule="auto"/>
            </w:pPr>
            <w:r/>
            <w:r>
              <w:rPr>
                <w:rFonts w:ascii="맑은 고딕" w:hAnsi="맑은 고딕" w:eastAsia="맑은 고딕"/>
                <w:sz w:val="19"/>
              </w:rPr>
              <w:t>2024</w:t>
            </w:r>
          </w:p>
        </w:tc>
        <w:tc>
          <w:tcPr>
            <w:tcW w:type="dxa" w:w="3402"/>
            <w:shd w:val="clear" w:color="auto" w:fill="EEF2F7"/>
          </w:tcPr>
          <w:p>
            <w:pPr>
              <w:spacing w:line="288" w:lineRule="auto"/>
            </w:pPr>
            <w:r/>
            <w:r>
              <w:rPr>
                <w:rFonts w:ascii="맑은 고딕" w:hAnsi="맑은 고딕" w:eastAsia="맑은 고딕"/>
                <w:sz w:val="19"/>
              </w:rPr>
              <w:t>AI 연구에 노벨 물리학상·화학상</w:t>
            </w:r>
          </w:p>
        </w:tc>
        <w:tc>
          <w:tcPr>
            <w:tcW w:type="dxa" w:w="4252"/>
            <w:shd w:val="clear" w:color="auto" w:fill="EEF2F7"/>
          </w:tcPr>
          <w:p>
            <w:pPr>
              <w:spacing w:line="288" w:lineRule="auto"/>
            </w:pPr>
            <w:r/>
            <w:r>
              <w:rPr>
                <w:rFonts w:ascii="맑은 고딕" w:hAnsi="맑은 고딕" w:eastAsia="맑은 고딕"/>
                <w:sz w:val="19"/>
              </w:rPr>
              <w:t>AI의 과학적 기여 공식 인정</w:t>
            </w:r>
          </w:p>
        </w:tc>
      </w:tr>
      <w:tr>
        <w:tc>
          <w:tcPr>
            <w:tcW w:type="dxa" w:w="1417"/>
          </w:tcPr>
          <w:p>
            <w:pPr>
              <w:spacing w:line="288" w:lineRule="auto"/>
            </w:pPr>
            <w:r/>
            <w:r>
              <w:rPr>
                <w:rFonts w:ascii="맑은 고딕" w:hAnsi="맑은 고딕" w:eastAsia="맑은 고딕"/>
                <w:sz w:val="19"/>
              </w:rPr>
              <w:t>2025–2026</w:t>
            </w:r>
          </w:p>
        </w:tc>
        <w:tc>
          <w:tcPr>
            <w:tcW w:type="dxa" w:w="3402"/>
          </w:tcPr>
          <w:p>
            <w:pPr>
              <w:spacing w:line="288" w:lineRule="auto"/>
            </w:pPr>
            <w:r/>
            <w:r>
              <w:rPr>
                <w:rFonts w:ascii="맑은 고딕" w:hAnsi="맑은 고딕" w:eastAsia="맑은 고딕"/>
                <w:sz w:val="19"/>
              </w:rPr>
              <w:t>추론 모델과 AI 에이전트 확산</w:t>
            </w:r>
          </w:p>
        </w:tc>
        <w:tc>
          <w:tcPr>
            <w:tcW w:type="dxa" w:w="4252"/>
          </w:tcPr>
          <w:p>
            <w:pPr>
              <w:spacing w:line="288" w:lineRule="auto"/>
            </w:pPr>
            <w:r/>
            <w:r>
              <w:rPr>
                <w:rFonts w:ascii="맑은 고딕" w:hAnsi="맑은 고딕" w:eastAsia="맑은 고딕"/>
                <w:sz w:val="19"/>
              </w:rPr>
              <w:t>답변하는 AI에서 일하는 AI로</w:t>
            </w:r>
          </w:p>
        </w:tc>
      </w:tr>
    </w:tbl>
    <w:p/>
    <w:p>
      <w:pPr>
        <w:pStyle w:val="Heading2"/>
      </w:pPr>
      <w:r>
        <w:t>2. 최신 기술 동향</w:t>
      </w:r>
    </w:p>
    <w:p>
      <w:pPr>
        <w:ind w:firstLine="283"/>
        <w:jc w:val="both"/>
      </w:pPr>
      <w:r>
        <w:rPr>
          <w:rFonts w:ascii="맑은 고딕" w:hAnsi="맑은 고딕" w:eastAsia="맑은 고딕"/>
        </w:rPr>
        <w:t>「2026 AI 인덱스 보고서」는 AI 성능이 정체되지 않고 오히려 빨라지고 있다고 평가했다. 대표적인 코딩 평가인 SWE-bench Verified의 최고 점수는 1년 만에 약 60%에서 100% 가까이로 올랐고, 여러 모델이 박사 수준 과학 문제와 수학 경시대회에서 인간 기준치를 넘어섰다. 최근 기술 동향은 다음 네 가지로 정리할 수 있다.</w:t>
      </w:r>
    </w:p>
    <w:p>
      <w:pPr>
        <w:pStyle w:val="ListBullet"/>
      </w:pPr>
      <w:r>
        <w:rPr>
          <w:rFonts w:ascii="맑은 고딕" w:hAnsi="맑은 고딕" w:eastAsia="맑은 고딕"/>
          <w:b/>
        </w:rPr>
        <w:t xml:space="preserve">추론 모델: </w:t>
      </w:r>
      <w:r>
        <w:rPr>
          <w:rFonts w:ascii="맑은 고딕" w:hAnsi="맑은 고딕" w:eastAsia="맑은 고딕"/>
        </w:rPr>
        <w:t>OpenAI o1, DeepSeek-R1 등은 답하기 전에 여러 단계로 '생각'하는 과정에 연산을 더 써서 수학·과학·코딩 정확도를 높인다.</w:t>
      </w:r>
    </w:p>
    <w:p>
      <w:pPr>
        <w:pStyle w:val="ListBullet"/>
      </w:pPr>
      <w:r>
        <w:rPr>
          <w:rFonts w:ascii="맑은 고딕" w:hAnsi="맑은 고딕" w:eastAsia="맑은 고딕"/>
          <w:b/>
        </w:rPr>
        <w:t xml:space="preserve">멀티모달 AI: </w:t>
      </w:r>
      <w:r>
        <w:rPr>
          <w:rFonts w:ascii="맑은 고딕" w:hAnsi="맑은 고딕" w:eastAsia="맑은 고딕"/>
        </w:rPr>
        <w:t>하나의 모델이 텍스트, 이미지, 음성, 영상을 함께 이해하고 생성한다. 이 기능은 주요 클라우드 서비스에 기본으로 들어가 있다.</w:t>
      </w:r>
    </w:p>
    <w:p>
      <w:pPr>
        <w:pStyle w:val="ListBullet"/>
      </w:pPr>
      <w:r>
        <w:rPr>
          <w:rFonts w:ascii="맑은 고딕" w:hAnsi="맑은 고딕" w:eastAsia="맑은 고딕"/>
          <w:b/>
        </w:rPr>
        <w:t xml:space="preserve">AI 에이전트: </w:t>
      </w:r>
      <w:r>
        <w:rPr>
          <w:rFonts w:ascii="맑은 고딕" w:hAnsi="맑은 고딕" w:eastAsia="맑은 고딕"/>
        </w:rPr>
        <w:t>질문에 답하는 도구에서 계획을 세우고 도구를 쓰며 일을 직접 처리하는 에이전트로 바뀌고 있다. 전문 에이전트 여러 개가 협업하는 멀티 에이전트 시스템도 늘고 있다.</w:t>
      </w:r>
    </w:p>
    <w:p>
      <w:pPr>
        <w:pStyle w:val="ListBullet"/>
      </w:pPr>
      <w:r>
        <w:rPr>
          <w:rFonts w:ascii="맑은 고딕" w:hAnsi="맑은 고딕" w:eastAsia="맑은 고딕"/>
          <w:b/>
        </w:rPr>
        <w:t xml:space="preserve">미·중 기술 격차 해소: </w:t>
      </w:r>
      <w:r>
        <w:rPr>
          <w:rFonts w:ascii="맑은 고딕" w:hAnsi="맑은 고딕" w:eastAsia="맑은 고딕"/>
        </w:rPr>
        <w:t>2025년 초부터 미국과 중국 모델이 선두를 주고받았고, 2026년 3월 기준 격차는 2.7%에 불과하다.</w:t>
      </w:r>
    </w:p>
    <w:p>
      <w:pPr>
        <w:ind w:firstLine="283"/>
        <w:jc w:val="both"/>
      </w:pPr>
      <w:r>
        <w:rPr>
          <w:rFonts w:ascii="맑은 고딕" w:hAnsi="맑은 고딕" w:eastAsia="맑은 고딕"/>
        </w:rPr>
        <w:t>한편 AI의 능력은 고르지 않다. 국제수학올림피아드에서 금메달 수준을 낸 모델이 아날로그 시계는 약 50%만 맞게 읽는다. 이를 '들쭉날쭉한 최전선(Jagged Frontier)'이라 부르며, 벤치마크 점수만으로 실제 업무 성능을 판단하기 어렵다는 점을 보여 준다.</w:t>
      </w:r>
    </w:p>
    <w:p>
      <w:pPr>
        <w:pStyle w:val="Heading2"/>
      </w:pPr>
      <w:r>
        <w:t>3. 산업별 활용 사례</w:t>
      </w:r>
    </w:p>
    <w:p>
      <w:pPr>
        <w:ind w:firstLine="283"/>
        <w:jc w:val="both"/>
      </w:pPr>
      <w:r>
        <w:rPr>
          <w:rFonts w:ascii="맑은 고딕" w:hAnsi="맑은 고딕" w:eastAsia="맑은 고딕"/>
        </w:rPr>
        <w:t>AI는 거의 모든 산업으로 퍼지고 있다. 다만 산업별 도입률은 조사 기관마다 차이가 있어, 아래 수치는 대략적인 경향으로 보는 것이 바람직하다.</w:t>
      </w:r>
    </w:p>
    <w:p>
      <w:r>
        <w:rPr>
          <w:rFonts w:ascii="맑은 고딕" w:hAnsi="맑은 고딕" w:eastAsia="맑은 고딕"/>
          <w:b/>
          <w:sz w:val="20"/>
        </w:rPr>
        <w:t>[표 2] 산업별 AI 활용 현황</w:t>
      </w:r>
    </w:p>
    <w:tbl>
      <w:tblPr>
        <w:tblStyle w:val="TableGrid"/>
        <w:tblW w:type="auto" w:w="0"/>
        <w:jc w:val="center"/>
        <w:tblLook w:firstColumn="1" w:firstRow="1" w:lastColumn="0" w:lastRow="0" w:noHBand="0" w:noVBand="1" w:val="04A0"/>
      </w:tblPr>
      <w:tblGrid>
        <w:gridCol w:w="3024"/>
        <w:gridCol w:w="3024"/>
        <w:gridCol w:w="3024"/>
      </w:tblGrid>
      <w:tr>
        <w:tc>
          <w:tcPr>
            <w:tcW w:type="dxa" w:w="1417"/>
            <w:shd w:val="clear" w:color="auto" w:fill="1F3A5F"/>
          </w:tcPr>
          <w:p>
            <w:pPr>
              <w:jc w:val="center"/>
            </w:pPr>
            <w:r/>
            <w:r>
              <w:rPr>
                <w:rFonts w:ascii="맑은 고딕" w:hAnsi="맑은 고딕" w:eastAsia="맑은 고딕"/>
                <w:b/>
                <w:color w:val="FFFFFF"/>
                <w:sz w:val="20"/>
              </w:rPr>
              <w:t>산업</w:t>
            </w:r>
          </w:p>
        </w:tc>
        <w:tc>
          <w:tcPr>
            <w:tcW w:type="dxa" w:w="3402"/>
            <w:shd w:val="clear" w:color="auto" w:fill="1F3A5F"/>
          </w:tcPr>
          <w:p>
            <w:pPr>
              <w:jc w:val="center"/>
            </w:pPr>
            <w:r/>
            <w:r>
              <w:rPr>
                <w:rFonts w:ascii="맑은 고딕" w:hAnsi="맑은 고딕" w:eastAsia="맑은 고딕"/>
                <w:b/>
                <w:color w:val="FFFFFF"/>
                <w:sz w:val="20"/>
              </w:rPr>
              <w:t>주요 활용</w:t>
            </w:r>
          </w:p>
        </w:tc>
        <w:tc>
          <w:tcPr>
            <w:tcW w:type="dxa" w:w="4252"/>
            <w:shd w:val="clear" w:color="auto" w:fill="1F3A5F"/>
          </w:tcPr>
          <w:p>
            <w:pPr>
              <w:jc w:val="center"/>
            </w:pPr>
            <w:r/>
            <w:r>
              <w:rPr>
                <w:rFonts w:ascii="맑은 고딕" w:hAnsi="맑은 고딕" w:eastAsia="맑은 고딕"/>
                <w:b/>
                <w:color w:val="FFFFFF"/>
                <w:sz w:val="20"/>
              </w:rPr>
              <w:t>현황(참고 수치)</w:t>
            </w:r>
          </w:p>
        </w:tc>
      </w:tr>
      <w:tr>
        <w:tc>
          <w:tcPr>
            <w:tcW w:type="dxa" w:w="1417"/>
          </w:tcPr>
          <w:p>
            <w:pPr>
              <w:spacing w:line="288" w:lineRule="auto"/>
            </w:pPr>
            <w:r/>
            <w:r>
              <w:rPr>
                <w:rFonts w:ascii="맑은 고딕" w:hAnsi="맑은 고딕" w:eastAsia="맑은 고딕"/>
                <w:sz w:val="19"/>
              </w:rPr>
              <w:t>의료</w:t>
            </w:r>
          </w:p>
        </w:tc>
        <w:tc>
          <w:tcPr>
            <w:tcW w:type="dxa" w:w="3402"/>
          </w:tcPr>
          <w:p>
            <w:pPr>
              <w:spacing w:line="288" w:lineRule="auto"/>
            </w:pPr>
            <w:r/>
            <w:r>
              <w:rPr>
                <w:rFonts w:ascii="맑은 고딕" w:hAnsi="맑은 고딕" w:eastAsia="맑은 고딕"/>
                <w:sz w:val="19"/>
              </w:rPr>
              <w:t>의료영상 분석, 임상 의사결정 지원, 신약 개발</w:t>
            </w:r>
          </w:p>
        </w:tc>
        <w:tc>
          <w:tcPr>
            <w:tcW w:type="dxa" w:w="4252"/>
          </w:tcPr>
          <w:p>
            <w:pPr>
              <w:spacing w:line="288" w:lineRule="auto"/>
            </w:pPr>
            <w:r/>
            <w:r>
              <w:rPr>
                <w:rFonts w:ascii="맑은 고딕" w:hAnsi="맑은 고딕" w:eastAsia="맑은 고딕"/>
                <w:sz w:val="19"/>
              </w:rPr>
              <w:t>도입률 약 62–67%, 미국 FDA AI 의료기기 승인 2025년 약 178건</w:t>
            </w:r>
          </w:p>
        </w:tc>
      </w:tr>
      <w:tr>
        <w:tc>
          <w:tcPr>
            <w:tcW w:type="dxa" w:w="1417"/>
            <w:shd w:val="clear" w:color="auto" w:fill="EEF2F7"/>
          </w:tcPr>
          <w:p>
            <w:pPr>
              <w:spacing w:line="288" w:lineRule="auto"/>
            </w:pPr>
            <w:r/>
            <w:r>
              <w:rPr>
                <w:rFonts w:ascii="맑은 고딕" w:hAnsi="맑은 고딕" w:eastAsia="맑은 고딕"/>
                <w:sz w:val="19"/>
              </w:rPr>
              <w:t>금융</w:t>
            </w:r>
          </w:p>
        </w:tc>
        <w:tc>
          <w:tcPr>
            <w:tcW w:type="dxa" w:w="3402"/>
            <w:shd w:val="clear" w:color="auto" w:fill="EEF2F7"/>
          </w:tcPr>
          <w:p>
            <w:pPr>
              <w:spacing w:line="288" w:lineRule="auto"/>
            </w:pPr>
            <w:r/>
            <w:r>
              <w:rPr>
                <w:rFonts w:ascii="맑은 고딕" w:hAnsi="맑은 고딕" w:eastAsia="맑은 고딕"/>
                <w:sz w:val="19"/>
              </w:rPr>
              <w:t>사기 탐지, 신용평가, 리스크 관리, 고객 상담</w:t>
            </w:r>
          </w:p>
        </w:tc>
        <w:tc>
          <w:tcPr>
            <w:tcW w:type="dxa" w:w="4252"/>
            <w:shd w:val="clear" w:color="auto" w:fill="EEF2F7"/>
          </w:tcPr>
          <w:p>
            <w:pPr>
              <w:spacing w:line="288" w:lineRule="auto"/>
            </w:pPr>
            <w:r/>
            <w:r>
              <w:rPr>
                <w:rFonts w:ascii="맑은 고딕" w:hAnsi="맑은 고딕" w:eastAsia="맑은 고딕"/>
                <w:sz w:val="19"/>
              </w:rPr>
              <w:t>도입률 약 79%, 기업 AI 지출 비중 1위</w:t>
            </w:r>
          </w:p>
        </w:tc>
      </w:tr>
      <w:tr>
        <w:tc>
          <w:tcPr>
            <w:tcW w:type="dxa" w:w="1417"/>
          </w:tcPr>
          <w:p>
            <w:pPr>
              <w:spacing w:line="288" w:lineRule="auto"/>
            </w:pPr>
            <w:r/>
            <w:r>
              <w:rPr>
                <w:rFonts w:ascii="맑은 고딕" w:hAnsi="맑은 고딕" w:eastAsia="맑은 고딕"/>
                <w:sz w:val="19"/>
              </w:rPr>
              <w:t>제조</w:t>
            </w:r>
          </w:p>
        </w:tc>
        <w:tc>
          <w:tcPr>
            <w:tcW w:type="dxa" w:w="3402"/>
          </w:tcPr>
          <w:p>
            <w:pPr>
              <w:spacing w:line="288" w:lineRule="auto"/>
            </w:pPr>
            <w:r/>
            <w:r>
              <w:rPr>
                <w:rFonts w:ascii="맑은 고딕" w:hAnsi="맑은 고딕" w:eastAsia="맑은 고딕"/>
                <w:sz w:val="19"/>
              </w:rPr>
              <w:t>예지 정비, 품질 검사, 공정 최적화</w:t>
            </w:r>
          </w:p>
        </w:tc>
        <w:tc>
          <w:tcPr>
            <w:tcW w:type="dxa" w:w="4252"/>
          </w:tcPr>
          <w:p>
            <w:pPr>
              <w:spacing w:line="288" w:lineRule="auto"/>
            </w:pPr>
            <w:r/>
            <w:r>
              <w:rPr>
                <w:rFonts w:ascii="맑은 고딕" w:hAnsi="맑은 고딕" w:eastAsia="맑은 고딕"/>
                <w:sz w:val="19"/>
              </w:rPr>
              <w:t>제조기업 약 77% 활용, AI 지출 전년 대비 약 48% 증가</w:t>
            </w:r>
          </w:p>
        </w:tc>
      </w:tr>
      <w:tr>
        <w:tc>
          <w:tcPr>
            <w:tcW w:type="dxa" w:w="1417"/>
            <w:shd w:val="clear" w:color="auto" w:fill="EEF2F7"/>
          </w:tcPr>
          <w:p>
            <w:pPr>
              <w:spacing w:line="288" w:lineRule="auto"/>
            </w:pPr>
            <w:r/>
            <w:r>
              <w:rPr>
                <w:rFonts w:ascii="맑은 고딕" w:hAnsi="맑은 고딕" w:eastAsia="맑은 고딕"/>
                <w:sz w:val="19"/>
              </w:rPr>
              <w:t>교육</w:t>
            </w:r>
          </w:p>
        </w:tc>
        <w:tc>
          <w:tcPr>
            <w:tcW w:type="dxa" w:w="3402"/>
            <w:shd w:val="clear" w:color="auto" w:fill="EEF2F7"/>
          </w:tcPr>
          <w:p>
            <w:pPr>
              <w:spacing w:line="288" w:lineRule="auto"/>
            </w:pPr>
            <w:r/>
            <w:r>
              <w:rPr>
                <w:rFonts w:ascii="맑은 고딕" w:hAnsi="맑은 고딕" w:eastAsia="맑은 고딕"/>
                <w:sz w:val="19"/>
              </w:rPr>
              <w:t>맞춤형 학습, 채점 지원, 콘텐츠 제작</w:t>
            </w:r>
          </w:p>
        </w:tc>
        <w:tc>
          <w:tcPr>
            <w:tcW w:type="dxa" w:w="4252"/>
            <w:shd w:val="clear" w:color="auto" w:fill="EEF2F7"/>
          </w:tcPr>
          <w:p>
            <w:pPr>
              <w:spacing w:line="288" w:lineRule="auto"/>
            </w:pPr>
            <w:r/>
            <w:r>
              <w:rPr>
                <w:rFonts w:ascii="맑은 고딕" w:hAnsi="맑은 고딕" w:eastAsia="맑은 고딕"/>
                <w:sz w:val="19"/>
              </w:rPr>
              <w:t>도입률 약 34%로 최저, 대학생 5명 중 4명은 생성형 AI 사용</w:t>
            </w:r>
          </w:p>
        </w:tc>
      </w:tr>
      <w:tr>
        <w:tc>
          <w:tcPr>
            <w:tcW w:type="dxa" w:w="1417"/>
          </w:tcPr>
          <w:p>
            <w:pPr>
              <w:spacing w:line="288" w:lineRule="auto"/>
            </w:pPr>
            <w:r/>
            <w:r>
              <w:rPr>
                <w:rFonts w:ascii="맑은 고딕" w:hAnsi="맑은 고딕" w:eastAsia="맑은 고딕"/>
                <w:sz w:val="19"/>
              </w:rPr>
              <w:t>소프트웨어</w:t>
            </w:r>
          </w:p>
        </w:tc>
        <w:tc>
          <w:tcPr>
            <w:tcW w:type="dxa" w:w="3402"/>
          </w:tcPr>
          <w:p>
            <w:pPr>
              <w:spacing w:line="288" w:lineRule="auto"/>
            </w:pPr>
            <w:r/>
            <w:r>
              <w:rPr>
                <w:rFonts w:ascii="맑은 고딕" w:hAnsi="맑은 고딕" w:eastAsia="맑은 고딕"/>
                <w:sz w:val="19"/>
              </w:rPr>
              <w:t>코드 생성, 테스트, 자율 코딩 에이전트</w:t>
            </w:r>
          </w:p>
        </w:tc>
        <w:tc>
          <w:tcPr>
            <w:tcW w:type="dxa" w:w="4252"/>
          </w:tcPr>
          <w:p>
            <w:pPr>
              <w:spacing w:line="288" w:lineRule="auto"/>
            </w:pPr>
            <w:r/>
            <w:r>
              <w:rPr>
                <w:rFonts w:ascii="맑은 고딕" w:hAnsi="맑은 고딕" w:eastAsia="맑은 고딕"/>
                <w:sz w:val="19"/>
              </w:rPr>
              <w:t>기술 분야 도입률 약 88%</w:t>
            </w:r>
          </w:p>
        </w:tc>
      </w:tr>
    </w:tbl>
    <w:p/>
    <w:p>
      <w:pPr>
        <w:ind w:firstLine="283"/>
        <w:jc w:val="both"/>
      </w:pPr>
      <w:r>
        <w:rPr>
          <w:rFonts w:ascii="맑은 고딕" w:hAnsi="맑은 고딕" w:eastAsia="맑은 고딕"/>
        </w:rPr>
        <w:t>과학 연구에서도 AI의 역할이 커지고 있다. 딥마인드의 알파폴드는 50년 넘게 풀리지 않던 단백질 구조 예측 문제를 해결하고 알려진 단백질 약 2억 개의 구조를 예측했다. 이는 신약 개발과 생명과학 연구 속도를 크게 높이고 있다. 다만 도입률이 높다고 성과가 바로 나는 것은 아니어서, 상당수 기업이 아직 뚜렷한 투자 수익을 얻지 못하고 있다는 조사도 있다.</w:t>
      </w:r>
    </w:p>
    <w:p>
      <w:pPr>
        <w:pStyle w:val="Heading2"/>
      </w:pPr>
      <w:r>
        <w:t>4. 사회·경제적 영향과 윤리·규제</w:t>
      </w:r>
    </w:p>
    <w:p>
      <w:pPr>
        <w:ind w:firstLine="283"/>
        <w:jc w:val="both"/>
      </w:pPr>
      <w:r>
        <w:rPr>
          <w:rFonts w:ascii="맑은 고딕" w:hAnsi="맑은 고딕" w:eastAsia="맑은 고딕"/>
        </w:rPr>
        <w:t>경제적 측면에서 AI는 막대한 자본을 끌어들이고 있다. 전 세계 기업의 AI 투자는 5,817억 달러로 전년보다 130% 늘었고, 그중 생성형 AI 투자는 1,709억 달러로 약 5배 증가했다. 특히 미국의 민간 AI 투자(2,859억 달러)는 중국의 23배가 넘는다.</w:t>
      </w:r>
    </w:p>
    <w:p>
      <w:pPr>
        <w:ind w:firstLine="283"/>
        <w:jc w:val="both"/>
      </w:pPr>
      <w:r>
        <w:rPr>
          <w:rFonts w:ascii="맑은 고딕" w:hAnsi="맑은 고딕" w:eastAsia="맑은 고딕"/>
        </w:rPr>
        <w:t>일자리 측면에서는 기회와 위협이 함께 나타난다. 세계경제포럼(WEF)은 2030년까지 일자리 1억 7천만 개가 생기고 9,200만 개가 사라져 순증가는 7,800만 개가 될 것으로 전망했다. 그러나 전 세계 노동자의 59%가 재교육이 필요하다. 국제통화기금(IMF)은 전 세계 일자리의 약 40%, 선진국은 약 60%가 AI의 영향을 받는다고 분석했다. AI가 일자리에 긍정적일 것이라는 응답은 전문가 73%, 일반 대중 23%로 인식 차이도 크다.</w:t>
      </w:r>
    </w:p>
    <w:p>
      <w:pPr>
        <w:ind w:firstLine="283"/>
        <w:jc w:val="both"/>
      </w:pPr>
      <w:r>
        <w:rPr>
          <w:rFonts w:ascii="맑은 고딕" w:hAnsi="맑은 고딕" w:eastAsia="맑은 고딕"/>
        </w:rPr>
        <w:t>윤리와 안전 문제도 커지고 있다. 기록된 AI 사고는 2024년 233건에서 362건으로 늘었고, 딥페이크와 허위정보, 편향, 개인정보 침해, 학습 데이터 저작권, 환각(그럴듯한 오답) 등이 주요 문제로 꼽힌다. 에너지 소비도 과제다. 국제에너지기구(IEA)는 데이터센터 전력 사용량이 2024년 약 415TWh에서 2030년 약 945TWh로 두 배 이상 늘고, AI 전용 서버의 전력 사용량은 약 3배가 될 것으로 내다봤다.</w:t>
      </w:r>
    </w:p>
    <w:p>
      <w:pPr>
        <w:ind w:firstLine="283"/>
        <w:jc w:val="both"/>
      </w:pPr>
      <w:r>
        <w:rPr>
          <w:rFonts w:ascii="맑은 고딕" w:hAnsi="맑은 고딕" w:eastAsia="맑은 고딕"/>
        </w:rPr>
        <w:t>이에 각국은 AI 규제를 본격화하고 있다. EU는 AI법(AI Act)을 위험 수준에 따라 단계적으로 시행하고 있으며, 대부분의 조항이 2026년 8월부터 적용된다. 한국은 2026년 1월 22일 「인공지능 발전과 신뢰 기반 조성 등에 관한 기본법(AI 기본법)」을 시행해 EU에 이어 세계에서 두 번째로 포괄적인 AI 법을 갖추었다. 이 법은 고영향 AI와 생성형 AI에 위험 평가 의무를 두면서도, 최소 1년의 과태료 유예 기간을 두어 혁신과 안전의 균형을 꾀하고 있다.</w:t>
      </w:r>
    </w:p>
    <w:p>
      <w:r>
        <w:rPr>
          <w:rFonts w:ascii="맑은 고딕" w:hAnsi="맑은 고딕" w:eastAsia="맑은 고딕"/>
          <w:b/>
          <w:sz w:val="20"/>
        </w:rPr>
        <w:t>[표 3] EU와 한국의 AI 규제 비교</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color="auto" w:fill="1F3A5F"/>
          </w:tcPr>
          <w:p>
            <w:pPr>
              <w:jc w:val="center"/>
            </w:pPr>
            <w:r/>
            <w:r>
              <w:rPr>
                <w:rFonts w:ascii="맑은 고딕" w:hAnsi="맑은 고딕" w:eastAsia="맑은 고딕"/>
                <w:b/>
                <w:color w:val="FFFFFF"/>
                <w:sz w:val="20"/>
              </w:rPr>
              <w:t>구분</w:t>
            </w:r>
          </w:p>
        </w:tc>
        <w:tc>
          <w:tcPr>
            <w:tcW w:type="dxa" w:w="3685"/>
            <w:shd w:val="clear" w:color="auto" w:fill="1F3A5F"/>
          </w:tcPr>
          <w:p>
            <w:pPr>
              <w:jc w:val="center"/>
            </w:pPr>
            <w:r/>
            <w:r>
              <w:rPr>
                <w:rFonts w:ascii="맑은 고딕" w:hAnsi="맑은 고딕" w:eastAsia="맑은 고딕"/>
                <w:b/>
                <w:color w:val="FFFFFF"/>
                <w:sz w:val="20"/>
              </w:rPr>
              <w:t>EU AI법</w:t>
            </w:r>
          </w:p>
        </w:tc>
        <w:tc>
          <w:tcPr>
            <w:tcW w:type="dxa" w:w="3685"/>
            <w:shd w:val="clear" w:color="auto" w:fill="1F3A5F"/>
          </w:tcPr>
          <w:p>
            <w:pPr>
              <w:jc w:val="center"/>
            </w:pPr>
            <w:r/>
            <w:r>
              <w:rPr>
                <w:rFonts w:ascii="맑은 고딕" w:hAnsi="맑은 고딕" w:eastAsia="맑은 고딕"/>
                <w:b/>
                <w:color w:val="FFFFFF"/>
                <w:sz w:val="20"/>
              </w:rPr>
              <w:t>한국 AI 기본법</w:t>
            </w:r>
          </w:p>
        </w:tc>
      </w:tr>
      <w:tr>
        <w:tc>
          <w:tcPr>
            <w:tcW w:type="dxa" w:w="1701"/>
          </w:tcPr>
          <w:p>
            <w:pPr>
              <w:spacing w:line="288" w:lineRule="auto"/>
            </w:pPr>
            <w:r/>
            <w:r>
              <w:rPr>
                <w:rFonts w:ascii="맑은 고딕" w:hAnsi="맑은 고딕" w:eastAsia="맑은 고딕"/>
                <w:sz w:val="19"/>
              </w:rPr>
              <w:t>시행 시기</w:t>
            </w:r>
          </w:p>
        </w:tc>
        <w:tc>
          <w:tcPr>
            <w:tcW w:type="dxa" w:w="3685"/>
          </w:tcPr>
          <w:p>
            <w:pPr>
              <w:spacing w:line="288" w:lineRule="auto"/>
            </w:pPr>
            <w:r/>
            <w:r>
              <w:rPr>
                <w:rFonts w:ascii="맑은 고딕" w:hAnsi="맑은 고딕" w:eastAsia="맑은 고딕"/>
                <w:sz w:val="19"/>
              </w:rPr>
              <w:t>2025년 8월부터 단계적 (대부분 2026년 8월, 고위험 AI 2027년 8월)</w:t>
            </w:r>
          </w:p>
        </w:tc>
        <w:tc>
          <w:tcPr>
            <w:tcW w:type="dxa" w:w="3685"/>
          </w:tcPr>
          <w:p>
            <w:pPr>
              <w:spacing w:line="288" w:lineRule="auto"/>
            </w:pPr>
            <w:r/>
            <w:r>
              <w:rPr>
                <w:rFonts w:ascii="맑은 고딕" w:hAnsi="맑은 고딕" w:eastAsia="맑은 고딕"/>
                <w:sz w:val="19"/>
              </w:rPr>
              <w:t>2026년 1월 22일</w:t>
            </w:r>
          </w:p>
        </w:tc>
      </w:tr>
      <w:tr>
        <w:tc>
          <w:tcPr>
            <w:tcW w:type="dxa" w:w="1701"/>
            <w:shd w:val="clear" w:color="auto" w:fill="EEF2F7"/>
          </w:tcPr>
          <w:p>
            <w:pPr>
              <w:spacing w:line="288" w:lineRule="auto"/>
            </w:pPr>
            <w:r/>
            <w:r>
              <w:rPr>
                <w:rFonts w:ascii="맑은 고딕" w:hAnsi="맑은 고딕" w:eastAsia="맑은 고딕"/>
                <w:sz w:val="19"/>
              </w:rPr>
              <w:t>접근 방식</w:t>
            </w:r>
          </w:p>
        </w:tc>
        <w:tc>
          <w:tcPr>
            <w:tcW w:type="dxa" w:w="3685"/>
            <w:shd w:val="clear" w:color="auto" w:fill="EEF2F7"/>
          </w:tcPr>
          <w:p>
            <w:pPr>
              <w:spacing w:line="288" w:lineRule="auto"/>
            </w:pPr>
            <w:r/>
            <w:r>
              <w:rPr>
                <w:rFonts w:ascii="맑은 고딕" w:hAnsi="맑은 고딕" w:eastAsia="맑은 고딕"/>
                <w:sz w:val="19"/>
              </w:rPr>
              <w:t>위험 수준별 규제</w:t>
            </w:r>
          </w:p>
        </w:tc>
        <w:tc>
          <w:tcPr>
            <w:tcW w:type="dxa" w:w="3685"/>
            <w:shd w:val="clear" w:color="auto" w:fill="EEF2F7"/>
          </w:tcPr>
          <w:p>
            <w:pPr>
              <w:spacing w:line="288" w:lineRule="auto"/>
            </w:pPr>
            <w:r/>
            <w:r>
              <w:rPr>
                <w:rFonts w:ascii="맑은 고딕" w:hAnsi="맑은 고딕" w:eastAsia="맑은 고딕"/>
                <w:sz w:val="19"/>
              </w:rPr>
              <w:t>산업 진흥과 신뢰 확보 병행</w:t>
            </w:r>
          </w:p>
        </w:tc>
      </w:tr>
      <w:tr>
        <w:tc>
          <w:tcPr>
            <w:tcW w:type="dxa" w:w="1701"/>
          </w:tcPr>
          <w:p>
            <w:pPr>
              <w:spacing w:line="288" w:lineRule="auto"/>
            </w:pPr>
            <w:r/>
            <w:r>
              <w:rPr>
                <w:rFonts w:ascii="맑은 고딕" w:hAnsi="맑은 고딕" w:eastAsia="맑은 고딕"/>
                <w:sz w:val="19"/>
              </w:rPr>
              <w:t>주요 내용</w:t>
            </w:r>
          </w:p>
        </w:tc>
        <w:tc>
          <w:tcPr>
            <w:tcW w:type="dxa" w:w="3685"/>
          </w:tcPr>
          <w:p>
            <w:pPr>
              <w:spacing w:line="288" w:lineRule="auto"/>
            </w:pPr>
            <w:r/>
            <w:r>
              <w:rPr>
                <w:rFonts w:ascii="맑은 고딕" w:hAnsi="맑은 고딕" w:eastAsia="맑은 고딕"/>
                <w:sz w:val="19"/>
              </w:rPr>
              <w:t>범용 AI 의무, 고위험 AI 요건, 금지 AI 지정</w:t>
            </w:r>
          </w:p>
        </w:tc>
        <w:tc>
          <w:tcPr>
            <w:tcW w:type="dxa" w:w="3685"/>
          </w:tcPr>
          <w:p>
            <w:pPr>
              <w:spacing w:line="288" w:lineRule="auto"/>
            </w:pPr>
            <w:r/>
            <w:r>
              <w:rPr>
                <w:rFonts w:ascii="맑은 고딕" w:hAnsi="맑은 고딕" w:eastAsia="맑은 고딕"/>
                <w:sz w:val="19"/>
              </w:rPr>
              <w:t>고영향·생성형 AI 위험 평가, 해외 기업 국내 대리인 지정, 과태료 최소 1년 유예</w:t>
            </w:r>
          </w:p>
        </w:tc>
      </w:tr>
    </w:tbl>
    <w:p/>
    <w:p>
      <w:pPr>
        <w:pStyle w:val="Heading1"/>
      </w:pPr>
      <w:r>
        <w:t>Ⅲ. 결론</w:t>
      </w:r>
    </w:p>
    <w:p>
      <w:pPr>
        <w:pStyle w:val="Heading2"/>
      </w:pPr>
      <w:r>
        <w:t>1. 요약</w:t>
      </w:r>
    </w:p>
    <w:p>
      <w:pPr>
        <w:ind w:firstLine="283"/>
        <w:jc w:val="both"/>
      </w:pPr>
      <w:r>
        <w:rPr>
          <w:rFonts w:ascii="맑은 고딕" w:hAnsi="맑은 고딕" w:eastAsia="맑은 고딕"/>
        </w:rPr>
        <w:t>AI는 1956년 학문 분야로 출발한 뒤 두 차례의 침체기를 거쳐, 딥러닝과 트랜스포머, 생성형 AI를 계기로 PC나 인터넷보다 빠르게 퍼진 범용 기술이 되었다. 현재는 추론 모델, 멀티모달 AI, AI 에이전트를 중심으로 성능이 빠르게 오르고 있으며, 의료·금융·제조·소프트웨어 등 거의 모든 산업에서 쓰이고 있다. 반면 안전사고 증가, 일자리 변화, 에너지 소비, 규제 공백 같은 문제도 함께 커지고 있다.</w:t>
      </w:r>
    </w:p>
    <w:p>
      <w:pPr>
        <w:pStyle w:val="Heading2"/>
      </w:pPr>
      <w:r>
        <w:t>2. 향후 전망</w:t>
      </w:r>
    </w:p>
    <w:p>
      <w:pPr>
        <w:pStyle w:val="ListBullet"/>
      </w:pPr>
      <w:r>
        <w:rPr>
          <w:rFonts w:ascii="맑은 고딕" w:hAnsi="맑은 고딕" w:eastAsia="맑은 고딕"/>
          <w:b/>
        </w:rPr>
        <w:t xml:space="preserve">에이전트 중심으로의 전환: </w:t>
      </w:r>
      <w:r>
        <w:rPr>
          <w:rFonts w:ascii="맑은 고딕" w:hAnsi="맑은 고딕" w:eastAsia="맑은 고딕"/>
        </w:rPr>
        <w:t>AI는 답하는 도구에서 일을 수행하는 '디지털 동료'로 바뀌고, 사람은 목표 설정과 감독, 검증을 맡게 될 것이다.</w:t>
      </w:r>
    </w:p>
    <w:p>
      <w:pPr>
        <w:pStyle w:val="ListBullet"/>
      </w:pPr>
      <w:r>
        <w:rPr>
          <w:rFonts w:ascii="맑은 고딕" w:hAnsi="맑은 고딕" w:eastAsia="맑은 고딕"/>
          <w:b/>
        </w:rPr>
        <w:t xml:space="preserve">인프라와 에너지 제약: </w:t>
      </w:r>
      <w:r>
        <w:rPr>
          <w:rFonts w:ascii="맑은 고딕" w:hAnsi="맑은 고딕" w:eastAsia="맑은 고딕"/>
        </w:rPr>
        <w:t>전력, 반도체, 전력망 용량이 AI 성장의 주요 한계가 되며, 에너지 효율과 청정 전력 확보가 경쟁력이 될 것이다.</w:t>
      </w:r>
    </w:p>
    <w:p>
      <w:pPr>
        <w:pStyle w:val="ListBullet"/>
      </w:pPr>
      <w:r>
        <w:rPr>
          <w:rFonts w:ascii="맑은 고딕" w:hAnsi="맑은 고딕" w:eastAsia="맑은 고딕"/>
          <w:b/>
        </w:rPr>
        <w:t xml:space="preserve">규제의 본격화: </w:t>
      </w:r>
      <w:r>
        <w:rPr>
          <w:rFonts w:ascii="맑은 고딕" w:hAnsi="맑은 고딕" w:eastAsia="맑은 고딕"/>
        </w:rPr>
        <w:t>2026년을 기점으로 한국과 EU의 AI 법이 시행되면서, 기업은 AI 안전과 투명성 확보를 필수 과제로 다루게 될 것이다.</w:t>
      </w:r>
    </w:p>
    <w:p>
      <w:pPr>
        <w:pStyle w:val="ListBullet"/>
      </w:pPr>
      <w:r>
        <w:rPr>
          <w:rFonts w:ascii="맑은 고딕" w:hAnsi="맑은 고딕" w:eastAsia="맑은 고딕"/>
          <w:b/>
        </w:rPr>
        <w:t xml:space="preserve">노동시장 재편: </w:t>
      </w:r>
      <w:r>
        <w:rPr>
          <w:rFonts w:ascii="맑은 고딕" w:hAnsi="맑은 고딕" w:eastAsia="맑은 고딕"/>
        </w:rPr>
        <w:t>일자리는 순증가할 전망이지만, 대규모 직무 전환과 재교육이 불가피하다.</w:t>
      </w:r>
    </w:p>
    <w:p>
      <w:pPr>
        <w:pStyle w:val="Heading2"/>
      </w:pPr>
      <w:r>
        <w:t>3. 시사점</w:t>
      </w:r>
    </w:p>
    <w:p>
      <w:pPr>
        <w:ind w:firstLine="283"/>
        <w:jc w:val="both"/>
      </w:pPr>
      <w:r>
        <w:rPr>
          <w:rFonts w:ascii="맑은 고딕" w:hAnsi="맑은 고딕" w:eastAsia="맑은 고딕"/>
        </w:rPr>
        <w:t>AI 발전의 핵심 과제는 빠르게 앞서가는 기술과 뒤처진 사회적 대응 사이의 격차를 줄이는 것이다. 정부는 AI 기본법을 실효성 있게 운영하면서 산업 경쟁력을 키울 수 있도록 제도를 다듬어야 한다. 기업은 단순 도입을 넘어 실제 성과로 이어지도록 업무 방식을 바꾸고, 안전과 윤리 기준을 갖춰야 한다. 교육 현장은 AI 리터러시 교육을 강화하고, 개인은 AI를 잘 활용하는 능력과 결과를 비판적으로 검증하는 능력을 함께 길러야 한다. AI는 이미 거스를 수 없는 흐름이며, 이를 사회 전체의 이익으로 연결하려는 노력이 그 어느 때보다 중요하다.</w:t>
      </w:r>
    </w:p>
    <w:p>
      <w:pPr>
        <w:pStyle w:val="Heading1"/>
      </w:pPr>
      <w:r>
        <w:t>참고문헌</w:t>
      </w:r>
    </w:p>
    <w:p>
      <w:pPr>
        <w:spacing w:line="288" w:lineRule="auto"/>
      </w:pPr>
      <w:r>
        <w:rPr>
          <w:rFonts w:ascii="맑은 고딕" w:hAnsi="맑은 고딕" w:eastAsia="맑은 고딕"/>
          <w:sz w:val="19"/>
        </w:rPr>
        <w:t>[1] Stanford HAI, "The 2026 AI Index Report", https://hai.stanford.edu/ai-index/2026-ai-index-report</w:t>
      </w:r>
    </w:p>
    <w:p>
      <w:pPr>
        <w:spacing w:line="288" w:lineRule="auto"/>
      </w:pPr>
      <w:r>
        <w:rPr>
          <w:rFonts w:ascii="맑은 고딕" w:hAnsi="맑은 고딕" w:eastAsia="맑은 고딕"/>
          <w:sz w:val="19"/>
        </w:rPr>
        <w:t>[2] Wikipedia, "History of artificial intelligence", https://en.wikipedia.org/wiki/History_of_artificial_intelligence</w:t>
      </w:r>
    </w:p>
    <w:p>
      <w:pPr>
        <w:spacing w:line="288" w:lineRule="auto"/>
      </w:pPr>
      <w:r>
        <w:rPr>
          <w:rFonts w:ascii="맑은 고딕" w:hAnsi="맑은 고딕" w:eastAsia="맑은 고딕"/>
          <w:sz w:val="19"/>
        </w:rPr>
        <w:t>[3] NobelPrize.org, "The Nobel Prize in Chemistry 2024 – Popular information", https://www.nobelprize.org/prizes/chemistry/2024/popular-information/</w:t>
      </w:r>
    </w:p>
    <w:p>
      <w:pPr>
        <w:spacing w:line="288" w:lineRule="auto"/>
      </w:pPr>
      <w:r>
        <w:rPr>
          <w:rFonts w:ascii="맑은 고딕" w:hAnsi="맑은 고딕" w:eastAsia="맑은 고딕"/>
          <w:sz w:val="19"/>
        </w:rPr>
        <w:t>[4] University of Toronto, "Geoffrey Hinton wins Nobel Prize in Physics", https://www.utoronto.ca/news/geoffrey-hinton-wins-nobel-prize</w:t>
      </w:r>
    </w:p>
    <w:p>
      <w:pPr>
        <w:spacing w:line="288" w:lineRule="auto"/>
      </w:pPr>
      <w:r>
        <w:rPr>
          <w:rFonts w:ascii="맑은 고딕" w:hAnsi="맑은 고딕" w:eastAsia="맑은 고딕"/>
          <w:sz w:val="19"/>
        </w:rPr>
        <w:t>[5] Nature, "Chemistry Nobel goes to developers of AlphaFold AI", https://www.nature.com/articles/d41586-024-03214-7</w:t>
      </w:r>
    </w:p>
    <w:p>
      <w:pPr>
        <w:spacing w:line="288" w:lineRule="auto"/>
      </w:pPr>
      <w:r>
        <w:rPr>
          <w:rFonts w:ascii="맑은 고딕" w:hAnsi="맑은 고딕" w:eastAsia="맑은 고딕"/>
          <w:sz w:val="19"/>
        </w:rPr>
        <w:t>[6] World Economic Forum, "The future of jobs: 6 decision-makers on AI and talent strategies", https://www.weforum.org/stories/2026/01/how-ai-will-affect-work-in-different-industries/</w:t>
      </w:r>
    </w:p>
    <w:p>
      <w:pPr>
        <w:spacing w:line="288" w:lineRule="auto"/>
      </w:pPr>
      <w:r>
        <w:rPr>
          <w:rFonts w:ascii="맑은 고딕" w:hAnsi="맑은 고딕" w:eastAsia="맑은 고딕"/>
          <w:sz w:val="19"/>
        </w:rPr>
        <w:t>[7] IMF, "Bridging Skill Gaps for the Future: New Jobs Creation in the AI Age" (2026), https://www.imf.org/-/media/files/publications/sdn/2026/english/sdnea2026001.pdf</w:t>
      </w:r>
    </w:p>
    <w:p>
      <w:pPr>
        <w:spacing w:line="288" w:lineRule="auto"/>
      </w:pPr>
      <w:r>
        <w:rPr>
          <w:rFonts w:ascii="맑은 고딕" w:hAnsi="맑은 고딕" w:eastAsia="맑은 고딕"/>
          <w:sz w:val="19"/>
        </w:rPr>
        <w:t>[8] DCD, "IEA: Data center energy consumption set to double by 2030 to 945TWh", https://www.datacenterdynamics.com/en/news/iea-data-center-energy-consumption-set-to-double-by-2030-to-945twh/</w:t>
      </w:r>
    </w:p>
    <w:p>
      <w:pPr>
        <w:spacing w:line="288" w:lineRule="auto"/>
      </w:pPr>
      <w:r>
        <w:rPr>
          <w:rFonts w:ascii="맑은 고딕" w:hAnsi="맑은 고딕" w:eastAsia="맑은 고딕"/>
          <w:sz w:val="19"/>
        </w:rPr>
        <w:t>[9] Stimson Center, "South Korea's AI Basic Act", https://www.stimson.org/2026/south-koreas-ai-basic-act-seeking-balance-between-industry-innovation-and-social-risk/</w:t>
      </w:r>
    </w:p>
    <w:p>
      <w:pPr>
        <w:spacing w:line="288" w:lineRule="auto"/>
      </w:pPr>
      <w:r>
        <w:rPr>
          <w:rFonts w:ascii="맑은 고딕" w:hAnsi="맑은 고딕" w:eastAsia="맑은 고딕"/>
          <w:sz w:val="19"/>
        </w:rPr>
        <w:t>[10] Cooley, "South Korea's AI Basic Act: Overview and Key Takeaways", https://www.cooley.com/news/insight/2026/2026-01-27-south-koreas-ai-basic-act-overview-and-key-takeaways</w:t>
      </w:r>
    </w:p>
    <w:p>
      <w:pPr>
        <w:spacing w:line="288" w:lineRule="auto"/>
      </w:pPr>
      <w:r>
        <w:rPr>
          <w:rFonts w:ascii="맑은 고딕" w:hAnsi="맑은 고딕" w:eastAsia="맑은 고딕"/>
          <w:sz w:val="19"/>
        </w:rPr>
        <w:t>[11] Hugging Face, "AI Trends 2026: Test-Time Reasoning and the Rise of Reflective Agents", https://huggingface.co/blog/aufklarer/ai-trends-2026-test-time-reasoning-reflective-agen</w:t>
      </w:r>
    </w:p>
    <w:p>
      <w:pPr>
        <w:spacing w:line="288" w:lineRule="auto"/>
      </w:pPr>
      <w:r>
        <w:rPr>
          <w:rFonts w:ascii="맑은 고딕" w:hAnsi="맑은 고딕" w:eastAsia="맑은 고딕"/>
          <w:sz w:val="19"/>
        </w:rPr>
        <w:t>[12] Axis Intelligence, "AI Adoption by Industry 2026", https://axis-intelligence.com/ai-adoption-by-industry-statistics/</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