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8" w:lineRule="exact"/>
        <w:ind w:left="0" w:right="0" w:rightChars="0" w:firstLine="0" w:firstLineChars="0"/>
        <w:jc w:val="center"/>
        <w:rPr>
          <w:rFonts w:hint="eastAsia" w:ascii="Times New Roman" w:hAnsi="Times New Roman" w:eastAsia="仿宋_GB2312" w:cs="仿宋_GB2312"/>
          <w:b w:val="0"/>
          <w:sz w:val="34"/>
        </w:rPr>
      </w:pPr>
      <w:bookmarkStart w:id="0" w:name="_GoBack"/>
      <w:bookmarkEnd w:id="0"/>
      <w:r>
        <w:rPr>
          <w:rFonts w:hint="eastAsia" w:ascii="Times New Roman" w:hAnsi="Times New Roman" w:eastAsia="方正小标宋简体" w:cs="方正小标宋简体"/>
          <w:b w:val="0"/>
          <w:sz w:val="44"/>
        </w:rPr>
        <w:t>中国（黑龙江）自由贸易试验区黑河片区</w:t>
      </w:r>
      <w:r>
        <w:rPr>
          <w:rFonts w:hint="eastAsia" w:ascii="Times New Roman" w:hAnsi="Times New Roman" w:eastAsia="方正小标宋简体" w:cs="方正小标宋简体"/>
          <w:b w:val="0"/>
          <w:sz w:val="44"/>
        </w:rPr>
        <w:t>守信践诺工作专班2026年上半年工作总结</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中国(黑龙江)自由贸易试验区黑河片区为持续优化营商环境，按照守信践诺专班重点任务清单和深化企业效能提升突破年行动分解落实台账，以目标导向、结果导向为突破，坚持建立高位推动、协同联动的守信践诺水平提升。现将守信践诺工作专班2026年上半年工作情况汇报如下：</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right="0" w:rightChars="0" w:firstLine="68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 xml:space="preserve">    </w:t>
      </w:r>
      <w:r>
        <w:rPr>
          <w:rFonts w:hint="eastAsia" w:ascii="Times New Roman" w:hAnsi="Times New Roman" w:eastAsia="黑体" w:cs="黑体"/>
          <w:b w:val="0"/>
          <w:sz w:val="32"/>
        </w:rPr>
        <w:t>一、工作进展和成效</w:t>
      </w:r>
    </w:p>
    <w:p>
      <w:pPr>
        <w:keepNext w:val="0"/>
        <w:keepLines w:val="0"/>
        <w:suppressLineNumbers w:val="0"/>
        <w:spacing w:line="578" w:lineRule="exact"/>
        <w:ind w:left="0" w:right="0" w:rightChars="0" w:firstLine="640" w:firstLineChars="200"/>
        <w:jc w:val="left"/>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（一）夯实信用根基，筑牢政务诚信体系</w:t>
      </w:r>
      <w:r>
        <w:rPr>
          <w:rFonts w:hint="eastAsia" w:ascii="Times New Roman" w:hAnsi="Times New Roman" w:eastAsia="仿宋_GB2312" w:cs="仿宋_GB2312"/>
          <w:b w:val="0"/>
          <w:sz w:val="34"/>
        </w:rPr>
        <w:t>。</w:t>
      </w:r>
    </w:p>
    <w:p>
      <w:pPr>
        <w:keepNext w:val="0"/>
        <w:keepLines w:val="0"/>
        <w:pageBreakBefore w:val="0"/>
        <w:numPr>
          <w:numId w:val="0"/>
        </w:numPr>
        <w:suppressLineNumbers w:val="0"/>
        <w:kinsoku/>
        <w:wordWrap/>
        <w:overflowPunct/>
        <w:topLinePunct w:val="0"/>
        <w:autoSpaceDE/>
        <w:autoSpaceDN/>
        <w:bidi w:val="0"/>
        <w:adjustRightInd/>
        <w:snapToGrid/>
        <w:spacing w:before="0" w:beforeAutospacing="0" w:after="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上半年</w:t>
      </w:r>
      <w:r>
        <w:rPr>
          <w:rFonts w:hint="eastAsia" w:ascii="Times New Roman" w:hAnsi="Times New Roman" w:eastAsia="仿宋_GB2312" w:cs="仿宋_GB2312"/>
          <w:b w:val="0"/>
          <w:sz w:val="34"/>
        </w:rPr>
        <w:t>高</w:t>
      </w:r>
      <w:r>
        <w:rPr>
          <w:rFonts w:hint="eastAsia" w:ascii="Times New Roman" w:hAnsi="Times New Roman" w:eastAsia="仿宋_GB2312" w:cs="仿宋_GB2312"/>
          <w:b w:val="0"/>
          <w:sz w:val="34"/>
        </w:rPr>
        <w:t>效处置合同履约平台预警信息23条，并根据合同履约监管平台抽检情况，及时处理监督单7份，精准防控合同履约风险，推动政务诚信建设。落实“信用代证”改革要求，依托黑河市信用一体化监管服务平台，持续归集运用“信用代证”相关信用信息，累计出具专项信用报告5份，简化办事流程。严格落实《信用修复管理办法》，依据失信信息严重程度实施分类管理，强化信用修复工作质效的监测，按照“谁认定、谁负责修复”工作机制，高效推进信用修复工作。</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（二）优化准入服务，释放市场经营活力</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立足沿边自贸定位，落地 “首办必帮” 跨境商事制度，打通雪地摩托出口、白俄商品入境等多条跨境贸易通道，破解长期制约企业发展的跨境业务堵点。打造 “准入零成本 + 全程帮代办 + 兜底办不成” 的全流程政务服务体系，企业开办实现零费用，457 户企业直接享受政策红利。帮办代办服务覆盖全部涉企高频事项，“办不成事” 窗口保持零投诉，政务服务供给的精准度、便捷度持续提升，企业办事体验显著改善。</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（三）精准包联助企，筑牢亲商政企纽带</w:t>
      </w:r>
    </w:p>
    <w:p>
      <w:pPr>
        <w:keepNext w:val="0"/>
        <w:keepLines w:val="0"/>
        <w:pageBreakBefore w:val="0"/>
        <w:numPr>
          <w:numId w:val="0"/>
        </w:numPr>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严格落实企业包联与诉求处置工作机制，</w:t>
      </w:r>
      <w:r>
        <w:rPr>
          <w:rFonts w:hint="eastAsia" w:ascii="Times New Roman" w:hAnsi="Times New Roman" w:eastAsia="仿宋_GB2312" w:cs="仿宋_GB2312"/>
          <w:b w:val="0"/>
          <w:sz w:val="34"/>
        </w:rPr>
        <w:t>完善 “一企一档” 管理制度，重点包联 27 家重点企业，涵盖在建项目 9 项、建成项目 9 项、签约项目 1 项、落地项目 8 项</w:t>
      </w:r>
      <w:r>
        <w:rPr>
          <w:rFonts w:hint="eastAsia" w:ascii="Times New Roman" w:hAnsi="Times New Roman" w:eastAsia="仿宋_GB2312" w:cs="仿宋_GB2312"/>
          <w:b w:val="0"/>
          <w:sz w:val="34"/>
        </w:rPr>
        <w:t>。</w:t>
      </w:r>
      <w:r>
        <w:rPr>
          <w:rFonts w:hint="eastAsia" w:ascii="Times New Roman" w:hAnsi="Times New Roman" w:eastAsia="仿宋_GB2312" w:cs="仿宋_GB2312"/>
          <w:b w:val="0"/>
          <w:sz w:val="34"/>
        </w:rPr>
        <w:t>累计为企业解决实际问题 145 项，企业满意度达 97%</w:t>
      </w:r>
      <w:r>
        <w:rPr>
          <w:rFonts w:hint="eastAsia" w:ascii="Times New Roman" w:hAnsi="Times New Roman" w:eastAsia="仿宋_GB2312" w:cs="仿宋_GB2312"/>
          <w:b w:val="0"/>
          <w:sz w:val="34"/>
        </w:rPr>
        <w:t>。同时积极搭建政企、校企用工对接平台，组织企业参与黑河市“春风行动暨就业援助季”、外贸企业“小精专”专场招聘会、黑河学院春季校园招聘会，设立“优选自贸”专属招聘专场，累计帮助企业落实就业岗位近60个，精准破解企业用工瓶颈。通过召开企业座谈会、深入园区实地调研等方式常态化开展政企对接交流，上半年累计组织企业座谈会1次、开展园区企业调研2次，精准摸排企业发展堵点难点、靶向落实帮扶举措，持续涵养亲清统一的新型政商关系，激发辖区市场主体发展活力。</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（四）抓实专项整治，保障企业合法权益</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开展拖欠企业账款信用监管</w:t>
      </w:r>
      <w:r>
        <w:rPr>
          <w:rFonts w:hint="eastAsia" w:ascii="Times New Roman" w:hAnsi="Times New Roman" w:eastAsia="仿宋_GB2312" w:cs="仿宋_GB2312"/>
          <w:b w:val="0"/>
          <w:sz w:val="34"/>
        </w:rPr>
        <w:t>，</w:t>
      </w:r>
      <w:r>
        <w:rPr>
          <w:rFonts w:hint="eastAsia" w:ascii="Times New Roman" w:hAnsi="Times New Roman" w:eastAsia="仿宋_GB2312" w:cs="仿宋_GB2312"/>
          <w:b w:val="0"/>
          <w:sz w:val="34"/>
        </w:rPr>
        <w:t>规范涉企行政执法行为</w:t>
      </w:r>
      <w:r>
        <w:rPr>
          <w:rFonts w:hint="eastAsia" w:ascii="Times New Roman" w:hAnsi="Times New Roman" w:eastAsia="仿宋_GB2312" w:cs="仿宋_GB2312"/>
          <w:b w:val="0"/>
          <w:sz w:val="34"/>
        </w:rPr>
        <w:t>。</w:t>
      </w:r>
      <w:r>
        <w:rPr>
          <w:rFonts w:hint="eastAsia" w:ascii="Times New Roman" w:hAnsi="Times New Roman" w:eastAsia="仿宋_GB2312" w:cs="仿宋_GB2312"/>
          <w:b w:val="0"/>
          <w:sz w:val="34"/>
        </w:rPr>
        <w:t>聚焦建筑领域开展专项整治，全面核查在建项目施工现场实名制管理问题，聚焦工资专户管理、工资足额拨付等环节统一管理标准，杜绝虚假考勤、人证不符等违规行为，上半年辖区建筑领域农民工工资拖欠投诉、劳资纠纷数量大幅下降，未发生重大群体性欠薪事件</w:t>
      </w:r>
      <w:r>
        <w:rPr>
          <w:rFonts w:hint="eastAsia" w:ascii="Times New Roman" w:hAnsi="Times New Roman" w:eastAsia="仿宋_GB2312" w:cs="仿宋_GB2312"/>
          <w:b w:val="0"/>
          <w:sz w:val="34"/>
        </w:rPr>
        <w:t>。严格按照“加快加力清理拖欠企业账款专项行动”统一安排及清偿时限要求，主动作为扎实推进清偿工作。</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（五）深化数字改革，赋能政务增值服务</w:t>
      </w:r>
    </w:p>
    <w:p>
      <w:pPr>
        <w:keepNext w:val="0"/>
        <w:keepLines w:val="0"/>
        <w:pageBreakBefore w:val="0"/>
        <w:numPr>
          <w:numId w:val="0"/>
        </w:numPr>
        <w:suppressLineNumbers w:val="0"/>
        <w:kinsoku/>
        <w:wordWrap/>
        <w:overflowPunct/>
        <w:topLinePunct w:val="0"/>
        <w:autoSpaceDE/>
        <w:autoSpaceDN/>
        <w:bidi w:val="0"/>
        <w:adjustRightInd/>
        <w:snapToGrid/>
        <w:spacing w:before="0" w:beforeAutospacing="0" w:after="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常</w:t>
      </w:r>
      <w:r>
        <w:rPr>
          <w:rFonts w:hint="eastAsia" w:ascii="Times New Roman" w:hAnsi="Times New Roman" w:eastAsia="仿宋_GB2312" w:cs="仿宋_GB2312"/>
          <w:b w:val="0"/>
          <w:sz w:val="34"/>
        </w:rPr>
        <w:t>态化做好黑龙江企业综合服务平台日常管护，严把信息录入关口，确保企业信息认领、网办地址核对准确率均达100%，及时完善企业名片、供需需求、产品信息等内容填报更新。在黑龙江省企业综合服务专区平台龙企课堂模块上传2个活动，政商沙龙模块上传2个活动；在</w:t>
      </w:r>
      <w:r>
        <w:rPr>
          <w:rFonts w:hint="eastAsia" w:ascii="Times New Roman" w:hAnsi="Times New Roman" w:eastAsia="仿宋_GB2312" w:cs="仿宋_GB2312"/>
          <w:b w:val="0"/>
          <w:sz w:val="34"/>
        </w:rPr>
        <w:t>增</w:t>
      </w:r>
      <w:r>
        <w:rPr>
          <w:rFonts w:hint="eastAsia" w:ascii="Times New Roman" w:hAnsi="Times New Roman" w:eastAsia="仿宋_GB2312" w:cs="仿宋_GB2312"/>
          <w:b w:val="0"/>
          <w:sz w:val="34"/>
        </w:rPr>
        <w:t>值事项维护模块新增100个</w:t>
      </w:r>
      <w:r>
        <w:rPr>
          <w:rFonts w:hint="eastAsia" w:ascii="Times New Roman" w:hAnsi="Times New Roman" w:eastAsia="仿宋_GB2312" w:cs="仿宋_GB2312"/>
          <w:b w:val="0"/>
          <w:sz w:val="34"/>
        </w:rPr>
        <w:t>事项，进一步丰富服务供给，提升企业办事便利度</w:t>
      </w:r>
      <w:r>
        <w:rPr>
          <w:rFonts w:hint="eastAsia" w:ascii="Times New Roman" w:hAnsi="Times New Roman" w:eastAsia="仿宋_GB2312" w:cs="仿宋_GB2312"/>
          <w:b w:val="0"/>
          <w:sz w:val="34"/>
        </w:rPr>
        <w:t>。推广龙政智数平台，归集政务数据，实现信用信息跨平台共享，支撑信用核查、承诺审批数字化。</w:t>
      </w:r>
    </w:p>
    <w:p>
      <w:pPr>
        <w:keepNext w:val="0"/>
        <w:keepLines w:val="0"/>
        <w:pageBreakBefore w:val="0"/>
        <w:numPr>
          <w:numId w:val="0"/>
        </w:numPr>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（六）深耕智能政务，打造掌上服务标杆</w:t>
      </w:r>
      <w:r>
        <w:rPr>
          <w:rFonts w:hint="eastAsia" w:ascii="Times New Roman" w:hAnsi="Times New Roman" w:eastAsia="仿宋_GB2312" w:cs="仿宋_GB2312"/>
          <w:b w:val="0"/>
          <w:sz w:val="34"/>
        </w:rPr>
        <w:t xml:space="preserve"> </w:t>
      </w:r>
    </w:p>
    <w:p>
      <w:pPr>
        <w:keepNext w:val="0"/>
        <w:keepLines w:val="0"/>
        <w:pageBreakBefore w:val="0"/>
        <w:numPr>
          <w:numId w:val="0"/>
        </w:numPr>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立足自贸区企业发展需求、聚焦营商服务升级打造一站式数字化企业服务平台“自贸</w:t>
      </w:r>
      <w:r>
        <w:rPr>
          <w:rFonts w:hint="eastAsia" w:ascii="Times New Roman" w:hAnsi="Times New Roman" w:eastAsia="仿宋_GB2312" w:cs="仿宋_GB2312"/>
          <w:b w:val="0"/>
          <w:sz w:val="34"/>
        </w:rPr>
        <w:t>i</w:t>
      </w:r>
      <w:r>
        <w:rPr>
          <w:rFonts w:hint="eastAsia" w:ascii="Times New Roman" w:hAnsi="Times New Roman" w:eastAsia="仿宋_GB2312" w:cs="仿宋_GB2312"/>
          <w:b w:val="0"/>
          <w:sz w:val="34"/>
        </w:rPr>
        <w:t>企服</w:t>
      </w:r>
      <w:r>
        <w:rPr>
          <w:rFonts w:hint="eastAsia" w:ascii="Times New Roman" w:hAnsi="Times New Roman" w:eastAsia="仿宋_GB2312" w:cs="仿宋_GB2312"/>
          <w:b w:val="0"/>
          <w:sz w:val="34"/>
        </w:rPr>
        <w:t>”</w:t>
      </w:r>
      <w:r>
        <w:rPr>
          <w:rFonts w:hint="eastAsia" w:ascii="Times New Roman" w:hAnsi="Times New Roman" w:eastAsia="仿宋_GB2312" w:cs="仿宋_GB2312"/>
          <w:b w:val="0"/>
          <w:sz w:val="34"/>
        </w:rPr>
        <w:t>小程序，有效破解传统企业服务碎片化、线下跑动、流程繁琐的痛点，以“掌上办、智能办、高效办、全覆盖”为核心优势，为辖区各类市场主体提供全周期、全场景、智能化的专属服务支撑。上半年，推动“自贸 i 企服” 数字服务平台不断升级，</w:t>
      </w:r>
      <w:r>
        <w:rPr>
          <w:rFonts w:hint="eastAsia" w:ascii="Times New Roman" w:hAnsi="Times New Roman" w:eastAsia="仿宋_GB2312" w:cs="仿宋_GB2312"/>
          <w:b w:val="0"/>
          <w:sz w:val="34"/>
        </w:rPr>
        <w:t>持续优化功能模块，目前平台注册企业累计达 602 户，企业提出的诉求全部办结，诉求办结率保持 100%。</w:t>
      </w:r>
    </w:p>
    <w:p>
      <w:pPr>
        <w:keepNext w:val="0"/>
        <w:keepLines w:val="0"/>
        <w:pageBreakBefore w:val="0"/>
        <w:numPr>
          <w:numId w:val="0"/>
        </w:numPr>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（七）深化集约整治，提升政务服务质效</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为持续纠治政务服务领域形式主义、杜绝“面子工程”，落实厉行节约、集约便民工作要求，黑河自贸片区政务服务中心聚焦大厅集约建设运行短板，围绕自助设备低效闲置、功能配置不合理等突出问题开展全面自查自纠。以2026年度政务服务提质增效专项行动为抓手，对照设备管理、大厅运维相关制度，对大厅全部自助终端、专用服务设备逐一实地核验，梳理形成问题清单与整改清单。排查出2类典型设备闲置低效问题，立行立改、标本兼治，同步完善设备全生命周期管理、大厅动态布局等长效制度，切实解决重硬件投入、轻实际效用、资源浪费等问题，推动政务大厅集约高效运行。</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（八）厚植宣传氛围，涵养守信优商生态</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全方位、多维度开展优化营商环境与政务守信践诺宣传工作，全面梳理工作动态、汇总建设成效，累计编写信用简报50篇，为信用体系建设推进提供有效信息支撑。常态化宣传营商环境、政务守信践诺、惠企政策解读等优质宣传内容，在片区营造尊商、亲商、安商、富商，重信、践诺、守信的浓厚社会氛围，为自贸区高质量发展、高水平对外开放营造诚信透明的市场环境。</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黑体" w:cs="黑体"/>
          <w:b w:val="0"/>
          <w:sz w:val="32"/>
        </w:rPr>
        <w:t>二、存在的主要问题</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3"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sz w:val="34"/>
        </w:rPr>
        <w:t>一是</w:t>
      </w:r>
      <w:r>
        <w:rPr>
          <w:rFonts w:hint="eastAsia" w:ascii="Times New Roman" w:hAnsi="Times New Roman" w:eastAsia="仿宋_GB2312" w:cs="仿宋_GB2312"/>
          <w:b w:val="0"/>
          <w:sz w:val="34"/>
        </w:rPr>
        <w:t xml:space="preserve">政策精准推送解读不够到位。惠企政策多以集中宣讲、线上群发为主，针对细分行业、中小微企业的一对一精准解读偏少，部分企业对政策配套细则、申报流程掌握不透彻；产业政策汇编目前仍为初稿，内容优化、动态更新工作尚未全部完成。 </w:t>
      </w:r>
      <w:r>
        <w:rPr>
          <w:rFonts w:hint="eastAsia" w:ascii="Times New Roman" w:hAnsi="Times New Roman" w:eastAsia="仿宋_GB2312" w:cs="仿宋_GB2312"/>
          <w:b/>
          <w:sz w:val="34"/>
        </w:rPr>
        <w:t>二是</w:t>
      </w:r>
      <w:r>
        <w:rPr>
          <w:rFonts w:hint="eastAsia" w:ascii="Times New Roman" w:hAnsi="Times New Roman" w:eastAsia="仿宋_GB2312" w:cs="仿宋_GB2312"/>
          <w:b w:val="0"/>
          <w:sz w:val="34"/>
        </w:rPr>
        <w:t>政务服务精细化水平有待提升。现有服务举措多聚焦传统产业，针对跨境电商、保税加工等新业态、新模式的专属办事指引、服务流程不够完善；线上政务平台部分便民服务模块仍需补充优化。</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黑体" w:cs="黑体"/>
          <w:b w:val="0"/>
          <w:sz w:val="32"/>
        </w:rPr>
        <w:t>三、下一步工作打算</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坚持问题导向，紧盯现存短板逐项细化整改举措，靶向补齐工作弱项，持续巩固现有工作成效，推动片区营商环境建设持续提质增效。</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（一）抓实政策提质增效，强化精准宣讲落地</w:t>
      </w:r>
    </w:p>
    <w:p>
      <w:pPr>
        <w:keepNext w:val="0"/>
        <w:keepLines w:val="0"/>
        <w:pageBreakBefore w:val="0"/>
        <w:suppressLineNumbers w:val="0"/>
        <w:kinsoku/>
        <w:wordWrap/>
        <w:overflowPunct/>
        <w:topLinePunct w:val="0"/>
        <w:autoSpaceDE/>
        <w:autoSpaceDN/>
        <w:bidi w:val="0"/>
        <w:adjustRightInd/>
        <w:snapToGrid/>
        <w:spacing w:beforeAutospacing="0" w:afterAutospacing="0" w:line="578" w:lineRule="exact"/>
        <w:ind w:left="0" w:right="0" w:rightChars="0" w:firstLine="683"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sz w:val="34"/>
        </w:rPr>
        <w:t>一是</w:t>
      </w:r>
      <w:r>
        <w:rPr>
          <w:rFonts w:hint="eastAsia" w:ascii="Times New Roman" w:hAnsi="Times New Roman" w:eastAsia="仿宋_GB2312" w:cs="仿宋_GB2312"/>
          <w:b w:val="0"/>
          <w:sz w:val="34"/>
        </w:rPr>
        <w:t>转变政策宣传方式，采取入企走访一对一解读、分行业专场宣讲、线上实时答疑相结合模式，重点面向中小微企业、新业态主体开展政策辅导，确保企业全面掌握政策细则、申报流程，推动惠企政策落地落细。</w:t>
      </w:r>
      <w:r>
        <w:rPr>
          <w:rFonts w:hint="eastAsia" w:ascii="Times New Roman" w:hAnsi="Times New Roman" w:eastAsia="仿宋_GB2312" w:cs="仿宋_GB2312"/>
          <w:b/>
          <w:sz w:val="34"/>
        </w:rPr>
        <w:t>二是</w:t>
      </w:r>
      <w:r>
        <w:rPr>
          <w:rFonts w:hint="eastAsia" w:ascii="Times New Roman" w:hAnsi="Times New Roman" w:eastAsia="仿宋_GB2312" w:cs="仿宋_GB2312"/>
          <w:b w:val="0"/>
          <w:sz w:val="34"/>
        </w:rPr>
        <w:t>对企业申报政策的全流程进行跟进服务，及时协调解决申报过程中遇到的堵点问题，推动</w:t>
      </w:r>
      <w:r>
        <w:rPr>
          <w:rFonts w:hint="eastAsia" w:ascii="Times New Roman" w:hAnsi="Times New Roman" w:eastAsia="仿宋_GB2312" w:cs="仿宋_GB2312"/>
          <w:b w:val="0"/>
          <w:sz w:val="34"/>
        </w:rPr>
        <w:t>惠企红利快速直达市场主体，确保应享尽享。</w:t>
      </w:r>
    </w:p>
    <w:p>
      <w:pPr>
        <w:keepNext w:val="0"/>
        <w:keepLines w:val="0"/>
        <w:pageBreakBefore w:val="0"/>
        <w:kinsoku/>
        <w:wordWrap/>
        <w:overflowPunct/>
        <w:topLinePunct w:val="0"/>
        <w:autoSpaceDE/>
        <w:autoSpaceDN/>
        <w:bidi w:val="0"/>
        <w:adjustRightInd/>
        <w:snapToGrid/>
        <w:spacing w:beforeAutospacing="0" w:afterAutospacing="0" w:line="578" w:lineRule="exact"/>
        <w:ind w:left="0" w:right="0" w:rightChars="0" w:firstLine="640" w:firstLineChars="200"/>
        <w:jc w:val="left"/>
        <w:textAlignment w:val="auto"/>
        <w:rPr>
          <w:rFonts w:hint="eastAsia" w:ascii="Times New Roman" w:hAnsi="Times New Roman" w:eastAsia="仿宋_GB2312" w:cs="仿宋_GB2312"/>
          <w:b w:val="0"/>
          <w:sz w:val="34"/>
        </w:rPr>
      </w:pPr>
      <w:r>
        <w:rPr>
          <w:rFonts w:hint="eastAsia" w:ascii="Times New Roman" w:hAnsi="Times New Roman" w:eastAsia="楷体_GB2312" w:cs="楷体_GB2312"/>
          <w:b w:val="0"/>
          <w:sz w:val="32"/>
        </w:rPr>
        <w:t>（二）升级政务服务体系，提升精细化服务能力</w:t>
      </w:r>
    </w:p>
    <w:p>
      <w:pPr>
        <w:keepNext w:val="0"/>
        <w:keepLines w:val="0"/>
        <w:pageBreakBefore w:val="0"/>
        <w:kinsoku/>
        <w:wordWrap/>
        <w:overflowPunct/>
        <w:topLinePunct w:val="0"/>
        <w:autoSpaceDE/>
        <w:autoSpaceDN/>
        <w:bidi w:val="0"/>
        <w:adjustRightInd/>
        <w:snapToGrid/>
        <w:spacing w:beforeAutospacing="0" w:afterAutospacing="0" w:line="578" w:lineRule="exact"/>
        <w:ind w:left="0" w:right="0" w:rightChars="0" w:firstLine="683"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sz w:val="34"/>
        </w:rPr>
        <w:t>一是</w:t>
      </w:r>
      <w:r>
        <w:rPr>
          <w:rFonts w:hint="eastAsia" w:ascii="Times New Roman" w:hAnsi="Times New Roman" w:eastAsia="仿宋_GB2312" w:cs="仿宋_GB2312"/>
          <w:b w:val="0"/>
          <w:sz w:val="34"/>
        </w:rPr>
        <w:t>聚焦跨境电商、保税加工等新业态、新模式，逐一梳理业务办理流程，新增政务服务增值服务事项，补齐新业态服务短板。</w:t>
      </w:r>
      <w:r>
        <w:rPr>
          <w:rFonts w:hint="eastAsia" w:ascii="Times New Roman" w:hAnsi="Times New Roman" w:eastAsia="仿宋_GB2312" w:cs="仿宋_GB2312"/>
          <w:b/>
          <w:sz w:val="34"/>
        </w:rPr>
        <w:t>二是</w:t>
      </w:r>
      <w:r>
        <w:rPr>
          <w:rFonts w:hint="eastAsia" w:ascii="Times New Roman" w:hAnsi="Times New Roman" w:eastAsia="仿宋_GB2312" w:cs="仿宋_GB2312"/>
          <w:b w:val="0"/>
          <w:sz w:val="34"/>
        </w:rPr>
        <w:t>持续迭代升级 “自贸 i 企服” 小程序，增设政策查询、业务咨询等便民服务模块，丰富线上服务场景，进一步提升数字化服务水平</w:t>
      </w:r>
      <w:r>
        <w:rPr>
          <w:rFonts w:hint="eastAsia" w:ascii="Times New Roman" w:hAnsi="Times New Roman" w:eastAsia="仿宋_GB2312" w:cs="仿宋_GB2312"/>
          <w:b w:val="0"/>
          <w:sz w:val="34"/>
        </w:rPr>
        <w:t>。</w:t>
      </w:r>
      <w:r>
        <w:rPr>
          <w:rFonts w:hint="eastAsia" w:ascii="Times New Roman" w:hAnsi="Times New Roman" w:eastAsia="仿宋_GB2312" w:cs="仿宋_GB2312"/>
          <w:b/>
          <w:sz w:val="34"/>
        </w:rPr>
        <w:t>三是</w:t>
      </w:r>
      <w:r>
        <w:rPr>
          <w:rFonts w:hint="eastAsia" w:ascii="Times New Roman" w:hAnsi="Times New Roman" w:eastAsia="仿宋_GB2312" w:cs="仿宋_GB2312"/>
          <w:b w:val="0"/>
          <w:sz w:val="34"/>
        </w:rPr>
        <w:t>常态化组织窗口、审批人员开展业务培训，熟练掌握各项办事标准与服务规范，以过硬业务能力保障服务质量。</w:t>
      </w:r>
    </w:p>
    <w:p>
      <w:pPr>
        <w:keepNext w:val="0"/>
        <w:keepLines w:val="0"/>
        <w:pageBreakBefore w:val="0"/>
        <w:kinsoku/>
        <w:wordWrap/>
        <w:overflowPunct/>
        <w:topLinePunct w:val="0"/>
        <w:autoSpaceDE/>
        <w:autoSpaceDN/>
        <w:bidi w:val="0"/>
        <w:adjustRightInd/>
        <w:snapToGrid/>
        <w:spacing w:beforeAutospacing="0" w:afterAutospacing="0" w:line="578" w:lineRule="exact"/>
        <w:ind w:left="0" w:right="0" w:rightChars="0" w:firstLine="680" w:firstLineChars="200"/>
        <w:jc w:val="both"/>
        <w:textAlignment w:val="auto"/>
        <w:rPr>
          <w:rFonts w:hint="eastAsia" w:ascii="Times New Roman" w:hAnsi="Times New Roman" w:eastAsia="仿宋_GB2312" w:cs="仿宋_GB2312"/>
          <w:b w:val="0"/>
          <w:sz w:val="34"/>
        </w:rPr>
      </w:pP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680" w:firstLineChars="200"/>
        <w:jc w:val="both"/>
        <w:textAlignment w:val="auto"/>
        <w:rPr>
          <w:rFonts w:hint="eastAsia" w:ascii="Times New Roman" w:hAnsi="Times New Roman" w:eastAsia="仿宋_GB2312" w:cs="仿宋_GB2312"/>
          <w:b w:val="0"/>
          <w:sz w:val="34"/>
        </w:rPr>
      </w:pPr>
      <w:r>
        <w:rPr>
          <w:rFonts w:hint="eastAsia" w:ascii="Times New Roman" w:hAnsi="Times New Roman" w:eastAsia="仿宋_GB2312" w:cs="仿宋_GB2312"/>
          <w:b w:val="0"/>
          <w:sz w:val="34"/>
        </w:rPr>
        <w:t xml:space="preserve">       </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680" w:firstLineChars="200"/>
        <w:jc w:val="both"/>
        <w:textAlignment w:val="auto"/>
        <w:rPr>
          <w:rFonts w:hint="eastAsia" w:ascii="Times New Roman" w:hAnsi="Times New Roman" w:eastAsia="仿宋_GB2312" w:cs="仿宋_GB2312"/>
          <w:b w:val="0"/>
          <w:sz w:val="34"/>
        </w:rPr>
      </w:pP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680" w:firstLineChars="200"/>
        <w:jc w:val="both"/>
        <w:textAlignment w:val="auto"/>
        <w:rPr>
          <w:rFonts w:hint="eastAsia" w:ascii="Times New Roman" w:hAnsi="Times New Roman" w:eastAsia="仿宋_GB2312" w:cs="仿宋_GB2312"/>
          <w:b w:val="0"/>
          <w:sz w:val="34"/>
        </w:rPr>
      </w:pP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680" w:firstLineChars="200"/>
        <w:jc w:val="both"/>
        <w:textAlignment w:val="auto"/>
        <w:rPr>
          <w:rFonts w:hint="eastAsia" w:ascii="Times New Roman" w:hAnsi="Times New Roman" w:eastAsia="仿宋_GB2312" w:cs="仿宋_GB2312"/>
          <w:b w:val="0"/>
          <w:sz w:val="34"/>
        </w:rPr>
      </w:pP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0" w:firstLineChars="0"/>
        <w:jc w:val="left"/>
        <w:textAlignment w:val="auto"/>
        <w:rPr>
          <w:rFonts w:hint="eastAsia" w:ascii="Times New Roman" w:hAnsi="Times New Roman" w:eastAsia="仿宋_GB2312" w:cs="仿宋_GB2312"/>
          <w:b w:val="0"/>
          <w:sz w:val="34"/>
          <w:lang w:eastAsia="zh-CN"/>
        </w:rPr>
      </w:pPr>
      <w:r>
        <w:rPr>
          <w:rFonts w:hint="eastAsia" w:ascii="Times New Roman" w:hAnsi="Times New Roman" w:eastAsia="仿宋_GB2312" w:cs="仿宋_GB2312"/>
          <w:b w:val="0"/>
          <w:sz w:val="34"/>
          <w:lang w:eastAsia="zh-CN"/>
        </w:rPr>
        <w:t xml:space="preserve">                              黑河自贸区守信践诺</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0" w:firstLineChars="0"/>
        <w:jc w:val="left"/>
        <w:textAlignment w:val="auto"/>
        <w:rPr>
          <w:rFonts w:hint="eastAsia" w:ascii="Times New Roman" w:hAnsi="Times New Roman" w:eastAsia="仿宋_GB2312" w:cs="仿宋_GB2312"/>
          <w:b w:val="0"/>
          <w:sz w:val="34"/>
          <w:lang w:eastAsia="zh-CN"/>
        </w:rPr>
      </w:pPr>
      <w:r>
        <w:rPr>
          <w:rFonts w:hint="eastAsia" w:ascii="Times New Roman" w:hAnsi="Times New Roman" w:eastAsia="仿宋_GB2312" w:cs="仿宋_GB2312"/>
          <w:b w:val="0"/>
          <w:sz w:val="34"/>
          <w:lang w:eastAsia="zh-CN"/>
        </w:rPr>
        <w:t xml:space="preserve">                                  工作专班办公室</w:t>
      </w:r>
    </w:p>
    <w:p>
      <w:pPr>
        <w:keepNext w:val="0"/>
        <w:keepLines w:val="0"/>
        <w:pageBreakBefore w:val="0"/>
        <w:numPr>
          <w:numId w:val="0"/>
        </w:numPr>
        <w:kinsoku/>
        <w:wordWrap/>
        <w:overflowPunct/>
        <w:topLinePunct w:val="0"/>
        <w:autoSpaceDE/>
        <w:autoSpaceDN/>
        <w:bidi w:val="0"/>
        <w:adjustRightInd/>
        <w:snapToGrid/>
        <w:spacing w:beforeAutospacing="0" w:afterAutospacing="0" w:line="578" w:lineRule="exact"/>
        <w:ind w:left="0" w:leftChars="0" w:right="0" w:rightChars="0" w:firstLine="0" w:firstLineChars="0"/>
        <w:jc w:val="left"/>
        <w:textAlignment w:val="auto"/>
        <w:rPr>
          <w:rFonts w:hint="eastAsia" w:ascii="Times New Roman" w:hAnsi="Times New Roman" w:eastAsia="仿宋_GB2312" w:cs="仿宋_GB2312"/>
          <w:b w:val="0"/>
          <w:sz w:val="34"/>
          <w:lang w:eastAsia="zh-CN"/>
        </w:rPr>
      </w:pPr>
      <w:r>
        <w:rPr>
          <w:rFonts w:hint="eastAsia" w:ascii="Times New Roman" w:hAnsi="Times New Roman" w:eastAsia="仿宋_GB2312" w:cs="仿宋_GB2312"/>
          <w:b w:val="0"/>
          <w:sz w:val="34"/>
          <w:lang w:eastAsia="zh-CN"/>
        </w:rPr>
        <w:t xml:space="preserve">                                  2026年6月26日</w:t>
      </w:r>
    </w:p>
    <w:sectPr>
      <w:footerReference r:id="rId3" w:type="default"/>
      <w:pgSz w:w="11906" w:h="16838"/>
      <w:pgMar w:top="2098" w:right="1474" w:bottom="1984" w:left="1588" w:header="851" w:footer="1531"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楷体_GB2312">
    <w:altName w:val="楷体_GB2312"/>
    <w:panose1 w:val="02000000000000000000"/>
    <w:charset w:val="86"/>
    <w:family w:val="auto"/>
    <w:pitch w:val="default"/>
    <w:sig w:usb0="00000000" w:usb1="00000000"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eastAsia" w:ascii="宋体" w:hAnsi="宋体" w:eastAsia="宋体" w:cs="宋体"/>
        <w:sz w:val="24"/>
        <w:lang w:eastAsia="zh-CN"/>
      </w:rPr>
    </w:pPr>
    <w:r>
      <w:rPr>
        <w:rStyle w:val="7"/>
        <w:rFonts w:hint="eastAsia" w:ascii="宋体" w:hAnsi="宋体" w:eastAsia="宋体" w:cs="宋体"/>
        <w:sz w:val="24"/>
        <w:lang w:eastAsia="zh-CN"/>
      </w:rPr>
      <w:fldChar w:fldCharType="begin"/>
    </w:r>
    <w:r>
      <w:rPr>
        <w:rStyle w:val="7"/>
        <w:rFonts w:hint="eastAsia" w:ascii="宋体" w:hAnsi="宋体" w:eastAsia="宋体" w:cs="宋体"/>
        <w:sz w:val="24"/>
        <w:lang w:eastAsia="zh-CN"/>
      </w:rPr>
      <w:instrText xml:space="preserve"> PAGE </w:instrText>
    </w:r>
    <w:r>
      <w:rPr>
        <w:rStyle w:val="7"/>
        <w:rFonts w:hint="eastAsia" w:ascii="宋体" w:hAnsi="宋体" w:eastAsia="宋体" w:cs="宋体"/>
        <w:sz w:val="24"/>
        <w:lang w:eastAsia="zh-CN"/>
      </w:rPr>
      <w:fldChar w:fldCharType="separate"/>
    </w:r>
    <w:r>
      <w:rPr>
        <w:rStyle w:val="7"/>
        <w:rFonts w:hint="eastAsia" w:ascii="宋体" w:hAnsi="宋体" w:eastAsia="宋体" w:cs="宋体"/>
        <w:sz w:val="24"/>
        <w:lang w:eastAsia="zh-CN"/>
      </w:rPr>
      <w:t>- 1 -</w:t>
    </w:r>
    <w:r>
      <w:rPr>
        <w:rStyle w:val="7"/>
        <w:rFonts w:hint="eastAsia" w:ascii="宋体" w:hAnsi="宋体" w:eastAsia="宋体" w:cs="宋体"/>
        <w:sz w:val="24"/>
        <w:lang w:eastAsia="zh-CN"/>
      </w:rPr>
      <w:fldChar w:fldCharType="end"/>
    </w:r>
  </w:p>
  <w:p w14:paraId="09B5342A">
    <w:pPr>
      <w:pStyle w:val="3"/>
      <w:jc w:val="center"/>
      <w:rPr>
        <w:rFonts w:hint="eastAsia" w:ascii="宋体" w:hAnsi="宋体" w:eastAsia="宋体" w:cs="宋体"/>
        <w:sz w:val="24"/>
        <w:lang w:eastAsia="zh-C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22419"/>
    <w:rsid w:val="0ABF65E6"/>
    <w:rsid w:val="12AF5192"/>
    <w:rsid w:val="2517016A"/>
    <w:rsid w:val="26F15921"/>
    <w:rsid w:val="2B74527D"/>
    <w:rsid w:val="36FB797B"/>
    <w:rsid w:val="3D930C63"/>
    <w:rsid w:val="482F5E51"/>
    <w:rsid w:val="4B5A64CE"/>
    <w:rsid w:val="4F6D2B46"/>
    <w:rsid w:val="55515659"/>
    <w:rsid w:val="5BC8419B"/>
    <w:rsid w:val="65F01CCB"/>
    <w:rsid w:val="71920663"/>
    <w:rsid w:val="7F6D296F"/>
    <w:rsid w:val="DF5F8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2683</Words>
  <Characters>2716</Characters>
  <Lines>0</Lines>
  <Paragraphs>0</Paragraphs>
  <TotalTime>21</TotalTime>
  <ScaleCrop>false</ScaleCrop>
  <LinksUpToDate>false</LinksUpToDate>
  <CharactersWithSpaces>2767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2026-06-25T20:19:00Z</dcterms:created>
  <dc:creator>Administrator</dc:creator>
  <cp:lastModifiedBy>小明</cp:lastModifiedBy>
  <cp:lastPrinted>2026-06-26T14:13:00Z</cp:lastPrinted>
  <dcterms:modified xsi:type="dcterms:W3CDTF">2026-06-26T09:02:39Z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eyJoZGlkIjoiZGM1NGZmZWZhYWZjMzU0YTExYzViN2QxNDljODQyMzEiLCJ1c2VySWQiOiI2MjMwNTc0MTcifQ==</vt:lpwstr>
  </property>
  <property fmtid="{D5CDD505-2E9C-101B-9397-08002B2CF9AE}" pid="4" name="ICV">
    <vt:lpwstr>4E682527DC744F6E94CE0490CE6630C0_13</vt:lpwstr>
  </property>
</Properties>
</file>