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78" w:lineRule="exact"/>
        <w:ind w:left="0" w:right="0" w:rightChars="0" w:firstLine="0" w:firstLineChars="0"/>
        <w:jc w:val="center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方正小标宋简体" w:cs="方正小标宋简体"/>
          <w:b w:val="0"/>
          <w:sz w:val="44"/>
        </w:rPr>
        <w:t>中国（黑龙江）自由贸易试验区黑河片区守信践诺工作综合测试文稿</w:t>
      </w:r>
    </w:p>
    <w:p>
      <w:pPr>
        <w:spacing w:line="578" w:lineRule="exact"/>
        <w:ind w:left="0" w:right="0" w:rightChars="0" w:firstLine="680" w:firstLineChars="200"/>
        <w:jc w:val="both"/>
        <w:rPr>
          <w:rFonts w:hint="eastAsia" w:ascii="Times New Roman" w:hAnsi="Times New Roman" w:eastAsia="仿宋_GB2312" w:cs="仿宋_GB2312"/>
          <w:b w:val="0"/>
          <w:sz w:val="34"/>
        </w:rPr>
      </w:pPr>
    </w:p>
    <w:p>
      <w:pPr>
        <w:spacing w:line="578" w:lineRule="exact"/>
        <w:ind w:left="0" w:right="0" w:rightChars="0" w:firstLine="640" w:firstLineChars="200"/>
        <w:jc w:val="left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黑体" w:cs="黑体"/>
          <w:b w:val="0"/>
          <w:sz w:val="32"/>
        </w:rPr>
        <w:t>一、工作进展与成效（一级标题）</w:t>
      </w:r>
    </w:p>
    <w:p>
      <w:pPr>
        <w:spacing w:line="578" w:lineRule="exact"/>
        <w:ind w:left="0" w:right="0" w:rightChars="0" w:firstLine="640" w:firstLineChars="200"/>
        <w:jc w:val="left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楷体_GB2312" w:cs="楷体_GB2312"/>
          <w:b w:val="0"/>
          <w:sz w:val="32"/>
        </w:rPr>
        <w:t>（一）夯实信用根基，筑牢政务诚信体系（二级标题）</w:t>
      </w:r>
    </w:p>
    <w:p>
      <w:pPr>
        <w:spacing w:line="578" w:lineRule="exact"/>
        <w:ind w:left="0" w:right="0" w:rightChars="0" w:firstLine="683" w:firstLineChars="200"/>
        <w:jc w:val="both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仿宋_GB2312" w:cs="仿宋_GB2312"/>
          <w:b/>
          <w:sz w:val="34"/>
        </w:rPr>
        <w:t>一是</w:t>
      </w:r>
      <w:r>
        <w:rPr>
          <w:rFonts w:hint="eastAsia" w:ascii="Times New Roman" w:hAnsi="Times New Roman" w:eastAsia="仿宋_GB2312" w:cs="仿宋_GB2312"/>
          <w:b w:val="0"/>
          <w:sz w:val="34"/>
        </w:rPr>
        <w:t>完善信用归集机制，整合市场主体登记、行政审批、行政处罚、履约承诺等多维度信用数据，搭建片区统一信用信息共享台账，实现企业信用信息 “一次归集、多方复用、动态更新”。</w:t>
      </w:r>
      <w:r>
        <w:rPr>
          <w:rFonts w:hint="eastAsia" w:ascii="Times New Roman" w:hAnsi="Times New Roman" w:eastAsia="仿宋_GB2312" w:cs="仿宋_GB2312"/>
          <w:b w:val="0"/>
          <w:sz w:val="34"/>
        </w:rPr>
        <w:t xml:space="preserve">严格落实守信激励、失信惩戒双向机制，对 A 级守信企业开通审批绿色通道，对严重失信主体实施联合约束，构建 “守信受益、失信受限” 的良性制度框架。 </w:t>
      </w:r>
      <w:r>
        <w:rPr>
          <w:rFonts w:hint="eastAsia" w:ascii="Times New Roman" w:hAnsi="Times New Roman" w:eastAsia="仿宋_GB2312" w:cs="仿宋_GB2312"/>
          <w:b/>
          <w:sz w:val="34"/>
        </w:rPr>
        <w:t>二是</w:t>
      </w:r>
      <w:r>
        <w:rPr>
          <w:rFonts w:hint="eastAsia" w:ascii="Times New Roman" w:hAnsi="Times New Roman" w:eastAsia="仿宋_GB2312" w:cs="仿宋_GB2312"/>
          <w:b w:val="0"/>
          <w:sz w:val="34"/>
        </w:rPr>
        <w:t>推进政务承诺公开，梳理行政许可、公共服务、惠企政策三类履职承诺清单，在政务大厅、自贸 i 企服小程序、片区官方公众号全渠道公示，明确办结时限、服务标准、追责条款，倒逼政务履职规范化、透明化。</w:t>
      </w:r>
      <w:r>
        <w:rPr>
          <w:rFonts w:hint="eastAsia" w:ascii="Times New Roman" w:hAnsi="Times New Roman" w:eastAsia="仿宋_GB2312" w:cs="仿宋_GB2312"/>
          <w:b w:val="0"/>
          <w:sz w:val="34"/>
        </w:rPr>
        <w:t xml:space="preserve"> </w:t>
      </w:r>
      <w:r>
        <w:rPr>
          <w:rFonts w:hint="eastAsia" w:ascii="Times New Roman" w:hAnsi="Times New Roman" w:eastAsia="仿宋_GB2312" w:cs="仿宋_GB2312"/>
          <w:b/>
          <w:sz w:val="34"/>
        </w:rPr>
        <w:t>三是</w:t>
      </w:r>
      <w:r>
        <w:rPr>
          <w:rFonts w:hint="eastAsia" w:ascii="Times New Roman" w:hAnsi="Times New Roman" w:eastAsia="仿宋_GB2312" w:cs="仿宋_GB2312"/>
          <w:b w:val="0"/>
          <w:sz w:val="34"/>
        </w:rPr>
        <w:t>开展公职人员诚信教育，将信用建设纳入干部年度考核、岗前培训必修内容，围绕政务失信典型案例开展警示教育，杜绝推诿扯皮、超期办结、承诺不兑现等作风问题。</w:t>
      </w:r>
    </w:p>
    <w:p>
      <w:pPr>
        <w:spacing w:line="578" w:lineRule="exact"/>
        <w:ind w:left="0" w:right="0" w:rightChars="0" w:firstLine="640" w:firstLineChars="200"/>
        <w:jc w:val="left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楷体_GB2312" w:cs="楷体_GB2312"/>
          <w:b w:val="0"/>
          <w:sz w:val="32"/>
        </w:rPr>
        <w:t>（二）优化准入服务，释放市场经营活力（二级标题）</w:t>
      </w:r>
    </w:p>
    <w:p>
      <w:pPr>
        <w:numPr>
          <w:numId w:val="0"/>
        </w:numPr>
        <w:spacing w:line="578" w:lineRule="exact"/>
        <w:ind w:left="0" w:right="0" w:rightChars="0" w:firstLine="0" w:firstLineChars="0"/>
        <w:jc w:val="both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仿宋_GB2312" w:cs="仿宋_GB2312"/>
          <w:b w:val="0"/>
          <w:sz w:val="34"/>
        </w:rPr>
        <w:t>1.推行市场准入极简审批模式 对标自贸试验区改革试点任务，针对跨境贸易、保税加工、冷链物流、边民互市贸易四大特色产业，推行 “一业一证”“证照联办” 改革，压缩开办企业全流程时限，实现企业开办 “半日办结、零材料跑动”。</w:t>
      </w:r>
    </w:p>
    <w:p>
      <w:pPr>
        <w:numPr>
          <w:numId w:val="0"/>
        </w:numPr>
        <w:spacing w:line="578" w:lineRule="exact"/>
        <w:ind w:left="0" w:right="0" w:rightChars="0" w:firstLine="0" w:firstLineChars="0"/>
        <w:jc w:val="both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仿宋_GB2312" w:cs="仿宋_GB2312"/>
          <w:b w:val="0"/>
          <w:sz w:val="34"/>
        </w:rPr>
        <w:t>1.放宽新业态准入门槛 对跨境电商直播、海外仓租赁、中俄农产品精深加工等新业态实行包容审慎监管，设置容错纠错过渡期，在合规前提下简化备案流程，降低中小微初创企业准入成本。</w:t>
      </w:r>
    </w:p>
    <w:p>
      <w:pPr>
        <w:numPr>
          <w:numId w:val="0"/>
        </w:numPr>
        <w:spacing w:line="578" w:lineRule="exact"/>
        <w:ind w:left="0" w:right="0" w:rightChars="0" w:firstLine="0" w:firstLineChars="0"/>
        <w:jc w:val="both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仿宋_GB2312" w:cs="仿宋_GB2312"/>
          <w:b w:val="0"/>
          <w:sz w:val="34"/>
        </w:rPr>
        <w:t>1.落实外资准入负面清单管理 严格对接国家自贸试验区外资开放政策，缩减外资准入限制条目，吸引俄资外贸、跨境物流、金融配套服务类企业落地，提升片区对外开放能级。</w:t>
      </w:r>
    </w:p>
    <w:p>
      <w:pPr>
        <w:spacing w:line="578" w:lineRule="exact"/>
        <w:ind w:left="0" w:right="0" w:rightChars="0" w:firstLine="640" w:firstLineChars="200"/>
        <w:jc w:val="left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楷体_GB2312" w:cs="楷体_GB2312"/>
          <w:b w:val="0"/>
          <w:sz w:val="32"/>
        </w:rPr>
        <w:t>（三）精准包联助企，筑牢亲商政企纽带（二级标题）</w:t>
      </w:r>
    </w:p>
    <w:p>
      <w:pPr>
        <w:spacing w:line="578" w:lineRule="exact"/>
        <w:ind w:left="0" w:right="0" w:rightChars="0" w:firstLine="680" w:firstLineChars="200"/>
        <w:jc w:val="both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仿宋_GB2312" w:cs="仿宋_GB2312"/>
          <w:b w:val="0"/>
          <w:sz w:val="34"/>
        </w:rPr>
        <w:t>建立 “处级干部包联重点企业、科室专员对接小微企业” 分层包联机制，全覆盖走访外贸骨干企业、专精特新企业、个体工商户三类经营主体。现场收集融资、用工、通关、政策兑现四类诉求，建立诉求台账、销号管理，做到</w:t>
      </w:r>
      <w:r>
        <w:rPr>
          <w:rFonts w:hint="eastAsia" w:ascii="Times New Roman" w:hAnsi="Times New Roman" w:eastAsia="仿宋_GB2312" w:cs="仿宋_GB2312"/>
          <w:b w:val="0"/>
          <w:sz w:val="34"/>
        </w:rPr>
        <w:t>件件有回应、事事有闭环</w:t>
      </w:r>
      <w:r>
        <w:rPr>
          <w:rFonts w:hint="eastAsia" w:ascii="Times New Roman" w:hAnsi="Times New Roman" w:eastAsia="仿宋_GB2312" w:cs="仿宋_GB2312"/>
          <w:b w:val="0"/>
          <w:sz w:val="34"/>
        </w:rPr>
        <w:t>。 针对中小微企业融资难痛点，联动本地银行推出自贸专属信用贷产品，依托企业信用等级免抵押、简化授信，切实缓解企业资金周转压力。</w:t>
      </w:r>
    </w:p>
    <w:p>
      <w:pPr>
        <w:spacing w:line="578" w:lineRule="exact"/>
        <w:ind w:left="0" w:right="0" w:rightChars="0" w:firstLine="640" w:firstLineChars="200"/>
        <w:jc w:val="left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楷体_GB2312" w:cs="楷体_GB2312"/>
          <w:b w:val="0"/>
          <w:sz w:val="32"/>
        </w:rPr>
        <w:t>（四）抓实专项整治，保障企业合法权益（二级标题）</w:t>
      </w:r>
    </w:p>
    <w:p>
      <w:pPr>
        <w:spacing w:line="578" w:lineRule="exact"/>
        <w:ind w:left="0" w:right="0" w:rightChars="0" w:firstLine="680" w:firstLineChars="200"/>
        <w:jc w:val="both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仿宋_GB2312" w:cs="仿宋_GB2312"/>
          <w:b w:val="0"/>
          <w:sz w:val="34"/>
        </w:rPr>
        <w:t>聚焦拖欠中小企业账款、乱收费乱摊派、行政审批隐形壁垒三大整治重点，开展季度营商环境专项督查。畅通 12345 政务热线、企业投诉直达通道，对侵害市场主体权益行为限期整改、约谈问责，依法保护企业财产权、经营自主权、公平竞争权。</w:t>
      </w:r>
    </w:p>
    <w:p>
      <w:pPr>
        <w:spacing w:line="578" w:lineRule="exact"/>
        <w:ind w:left="0" w:right="0" w:rightChars="0" w:firstLine="640" w:firstLineChars="200"/>
        <w:jc w:val="left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楷体_GB2312" w:cs="楷体_GB2312"/>
          <w:b w:val="0"/>
          <w:sz w:val="32"/>
        </w:rPr>
        <w:t>（五）深化数字改革，赋能政务增值服务（二级标题）</w:t>
      </w:r>
    </w:p>
    <w:p>
      <w:pPr>
        <w:spacing w:line="578" w:lineRule="exact"/>
        <w:ind w:left="0" w:right="0" w:rightChars="0" w:firstLine="680" w:firstLineChars="200"/>
        <w:jc w:val="both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仿宋_GB2312" w:cs="仿宋_GB2312"/>
          <w:b w:val="0"/>
          <w:sz w:val="34"/>
        </w:rPr>
        <w:t>持续迭代升级「自贸 i 企服」小程序，增设政策智能匹配、中俄双语咨询、税费测算、项目申报、信用自查五大便民模块，打通政务数据壁垒，实现政策推送精准化、业务办理线上化、诉求反馈即时化。依托大数据分析企业经营画像，主动推送惠企补贴、税收减免、稳岗返还等红利政策，变 “企业找政策” 为 “政策找企业”。</w:t>
      </w:r>
    </w:p>
    <w:p>
      <w:pPr>
        <w:spacing w:line="578" w:lineRule="exact"/>
        <w:ind w:left="0" w:right="0" w:rightChars="0" w:firstLine="640" w:firstLineChars="200"/>
        <w:jc w:val="left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楷体_GB2312" w:cs="楷体_GB2312"/>
          <w:b w:val="0"/>
          <w:sz w:val="32"/>
        </w:rPr>
        <w:t>（六）深耕智能政务，打造掌上服务标杆（二级标题）</w:t>
      </w:r>
    </w:p>
    <w:p>
      <w:pPr>
        <w:spacing w:line="578" w:lineRule="exact"/>
        <w:ind w:left="0" w:right="0" w:rightChars="0" w:firstLine="680" w:firstLineChars="200"/>
        <w:jc w:val="both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仿宋_GB2312" w:cs="仿宋_GB2312"/>
          <w:b w:val="0"/>
          <w:sz w:val="34"/>
        </w:rPr>
        <w:t>上线 24 小时自助政务终端，覆盖证照打印、信用报告查询、备案回执下载高频事项；部署智能导办机器人，支持中俄双语交互，适配对俄贸易企业双语办事需求，打造全天候、无间断掌上政务服务场景。</w:t>
      </w:r>
    </w:p>
    <w:p>
      <w:pPr>
        <w:spacing w:line="578" w:lineRule="exact"/>
        <w:ind w:left="0" w:right="0" w:rightChars="0" w:firstLine="640" w:firstLineChars="200"/>
        <w:jc w:val="left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楷体_GB2312" w:cs="楷体_GB2312"/>
          <w:b w:val="0"/>
          <w:sz w:val="32"/>
        </w:rPr>
        <w:t>（七）深化集约整治，提升政务服务质效（二级标题）</w:t>
      </w:r>
    </w:p>
    <w:p>
      <w:pPr>
        <w:spacing w:line="578" w:lineRule="exact"/>
        <w:ind w:left="0" w:right="0" w:rightChars="0" w:firstLine="680" w:firstLineChars="200"/>
        <w:jc w:val="both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仿宋_GB2312" w:cs="仿宋_GB2312"/>
          <w:b w:val="0"/>
          <w:sz w:val="34"/>
        </w:rPr>
        <w:t>整合分散办事窗口，设立跨境贸易综合服务专区、企业开办一站式专区，推行并联审批、容缺受理、告知承诺制，压缩内部流转环节，优化窗口排班、轮岗培训机制，提升窗口整体办事效率。</w:t>
      </w:r>
    </w:p>
    <w:p>
      <w:pPr>
        <w:spacing w:line="578" w:lineRule="exact"/>
        <w:ind w:left="0" w:right="0" w:rightChars="0" w:firstLine="640" w:firstLineChars="200"/>
        <w:jc w:val="left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楷体_GB2312" w:cs="楷体_GB2312"/>
          <w:b w:val="0"/>
          <w:sz w:val="32"/>
        </w:rPr>
        <w:t>（八）厚植宣传氛围，涵养守信优商生态（二级标题）</w:t>
      </w:r>
    </w:p>
    <w:p>
      <w:pPr>
        <w:spacing w:line="578" w:lineRule="exact"/>
        <w:ind w:left="0" w:right="0" w:rightChars="0" w:firstLine="680" w:firstLineChars="200"/>
        <w:jc w:val="both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仿宋_GB2312" w:cs="仿宋_GB2312"/>
          <w:b w:val="0"/>
          <w:sz w:val="34"/>
        </w:rPr>
        <w:t>结合诚信宣传月、3・15 消费者权益日、中俄经贸洽谈会等节点，开展线下宣讲、短视频科普、企业守信典型宣传活动，选树片区诚信经营示范企业，发挥标杆引领作用，培育诚实守信、守法经营的市场氛围。</w:t>
      </w:r>
    </w:p>
    <w:p>
      <w:pPr>
        <w:spacing w:line="578" w:lineRule="exact"/>
        <w:ind w:left="0" w:right="0" w:rightChars="0" w:firstLine="640" w:firstLineChars="200"/>
        <w:jc w:val="left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黑体" w:cs="黑体"/>
          <w:b w:val="0"/>
          <w:sz w:val="32"/>
        </w:rPr>
        <w:t>二、存在的主要问题（一级标题）</w:t>
      </w:r>
    </w:p>
    <w:p>
      <w:pPr>
        <w:spacing w:line="578" w:lineRule="exact"/>
        <w:ind w:left="0" w:right="0" w:rightChars="0" w:firstLine="640" w:firstLineChars="200"/>
        <w:jc w:val="left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楷体_GB2312" w:cs="楷体_GB2312"/>
          <w:b w:val="0"/>
          <w:sz w:val="32"/>
        </w:rPr>
        <w:t>（一）信用数据互通仍有堵点</w:t>
      </w:r>
    </w:p>
    <w:p>
      <w:pPr>
        <w:spacing w:line="578" w:lineRule="exact"/>
        <w:ind w:left="0" w:right="0" w:rightChars="0" w:firstLine="680" w:firstLineChars="200"/>
        <w:jc w:val="both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仿宋_GB2312" w:cs="仿宋_GB2312"/>
          <w:b w:val="0"/>
          <w:sz w:val="34"/>
        </w:rPr>
        <w:t>跨部门、跨区域信用数据共享程度不足，部分垂直行业信用数据未能完全接入片区信用平台，信用评价精准度有待提升，跨境企业境外信用信息归集难度较大。</w:t>
      </w:r>
    </w:p>
    <w:p>
      <w:pPr>
        <w:spacing w:line="578" w:lineRule="exact"/>
        <w:ind w:left="0" w:right="0" w:rightChars="0" w:firstLine="640" w:firstLineChars="200"/>
        <w:jc w:val="left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楷体_GB2312" w:cs="楷体_GB2312"/>
          <w:b w:val="0"/>
          <w:sz w:val="32"/>
        </w:rPr>
        <w:t>（二）新业态配套服务供给不足</w:t>
      </w:r>
    </w:p>
    <w:p>
      <w:pPr>
        <w:spacing w:line="578" w:lineRule="exact"/>
        <w:ind w:left="0" w:right="0" w:rightChars="0" w:firstLine="680" w:firstLineChars="200"/>
        <w:jc w:val="both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仿宋_GB2312" w:cs="仿宋_GB2312"/>
          <w:b w:val="0"/>
          <w:sz w:val="34"/>
        </w:rPr>
        <w:t>跨境电商、保税新业态专业审批人员储备不足，双语业务骨干缺口明显，针对中俄跨境新业态的定制化服务流程仍需细化完善。</w:t>
      </w:r>
    </w:p>
    <w:p>
      <w:pPr>
        <w:spacing w:line="578" w:lineRule="exact"/>
        <w:ind w:left="0" w:right="0" w:rightChars="0" w:firstLine="640" w:firstLineChars="200"/>
        <w:jc w:val="left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楷体_GB2312" w:cs="楷体_GB2312"/>
          <w:b w:val="0"/>
          <w:sz w:val="32"/>
        </w:rPr>
        <w:t>（三）基层政策落地传导不均衡</w:t>
      </w:r>
    </w:p>
    <w:p>
      <w:pPr>
        <w:spacing w:line="578" w:lineRule="exact"/>
        <w:ind w:left="0" w:right="0" w:rightChars="0" w:firstLine="680" w:firstLineChars="200"/>
        <w:jc w:val="both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仿宋_GB2312" w:cs="仿宋_GB2312"/>
          <w:b w:val="0"/>
          <w:sz w:val="34"/>
        </w:rPr>
        <w:t>部分惠企政策下沉至小微企业、个体工商户宣传触达率不足，偏远商户线上操作能力薄弱，数字化服务普惠性有待加强。</w:t>
      </w:r>
    </w:p>
    <w:p>
      <w:pPr>
        <w:spacing w:line="578" w:lineRule="exact"/>
        <w:ind w:left="0" w:right="0" w:rightChars="0" w:firstLine="640" w:firstLineChars="200"/>
        <w:jc w:val="left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黑体" w:cs="黑体"/>
          <w:b w:val="0"/>
          <w:sz w:val="32"/>
        </w:rPr>
        <w:t>三、下一步工作打算（一级标题）</w:t>
      </w:r>
    </w:p>
    <w:p>
      <w:pPr>
        <w:spacing w:line="578" w:lineRule="exact"/>
        <w:ind w:left="0" w:right="0" w:rightChars="0" w:firstLine="640" w:firstLineChars="200"/>
        <w:jc w:val="left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楷体_GB2312" w:cs="楷体_GB2312"/>
          <w:b w:val="0"/>
          <w:sz w:val="32"/>
        </w:rPr>
        <w:t>（一）抓实政策提质增效，强化精准宣讲落地（二级标题）</w:t>
      </w:r>
    </w:p>
    <w:p>
      <w:pPr>
        <w:numPr>
          <w:numId w:val="0"/>
        </w:numPr>
        <w:spacing w:line="578" w:lineRule="exact"/>
        <w:ind w:left="0" w:right="0" w:rightChars="0" w:firstLine="0" w:firstLineChars="0"/>
        <w:jc w:val="both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仿宋_GB2312" w:cs="仿宋_GB2312"/>
          <w:b w:val="0"/>
          <w:sz w:val="34"/>
        </w:rPr>
        <w:t>1.分层分类开展政策宣讲：面向大型外贸企业开展专场对接会，面向小微商户开展社区上门宣讲，面向俄籍客商开展中俄双语政策解读会。</w:t>
      </w:r>
    </w:p>
    <w:p>
      <w:pPr>
        <w:numPr>
          <w:numId w:val="0"/>
        </w:numPr>
        <w:spacing w:line="578" w:lineRule="exact"/>
        <w:ind w:left="0" w:right="0" w:rightChars="0" w:firstLine="0" w:firstLineChars="0"/>
        <w:jc w:val="both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仿宋_GB2312" w:cs="仿宋_GB2312"/>
          <w:b w:val="0"/>
          <w:sz w:val="34"/>
        </w:rPr>
        <w:t>1.简化政策申报材料：梳理冗余申报要件，推行承诺制免材料申报，缩短政策兑现周期，确保红利直达市场主体。</w:t>
      </w:r>
    </w:p>
    <w:p>
      <w:pPr>
        <w:spacing w:line="578" w:lineRule="exact"/>
        <w:ind w:left="0" w:right="0" w:rightChars="0" w:firstLine="640" w:firstLineChars="200"/>
        <w:jc w:val="left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楷体_GB2312" w:cs="楷体_GB2312"/>
          <w:b w:val="0"/>
          <w:sz w:val="32"/>
        </w:rPr>
        <w:t>（二）升级政务服务体系，提升精细化服务能力（二级标题）</w:t>
      </w:r>
    </w:p>
    <w:p>
      <w:pPr>
        <w:spacing w:line="578" w:lineRule="exact"/>
        <w:ind w:left="0" w:right="0" w:rightChars="0" w:firstLine="683" w:firstLineChars="200"/>
        <w:jc w:val="both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仿宋_GB2312" w:cs="仿宋_GB2312"/>
          <w:b/>
          <w:sz w:val="34"/>
        </w:rPr>
        <w:t>一是</w:t>
      </w:r>
      <w:r>
        <w:rPr>
          <w:rFonts w:hint="eastAsia" w:ascii="Times New Roman" w:hAnsi="Times New Roman" w:eastAsia="仿宋_GB2312" w:cs="仿宋_GB2312"/>
          <w:b w:val="0"/>
          <w:sz w:val="34"/>
        </w:rPr>
        <w:t>聚焦跨境电商、保税加工等新业态、新模式，逐一梳理业务办理流程，新增政务服务增值服务事项，补齐新业态服务短板。</w:t>
      </w:r>
      <w:r>
        <w:rPr>
          <w:rFonts w:hint="eastAsia" w:ascii="Times New Roman" w:hAnsi="Times New Roman" w:eastAsia="仿宋_GB2312" w:cs="仿宋_GB2312"/>
          <w:b/>
          <w:sz w:val="34"/>
        </w:rPr>
        <w:t>二是</w:t>
      </w:r>
      <w:r>
        <w:rPr>
          <w:rFonts w:hint="eastAsia" w:ascii="Times New Roman" w:hAnsi="Times New Roman" w:eastAsia="仿宋_GB2312" w:cs="仿宋_GB2312"/>
          <w:b w:val="0"/>
          <w:sz w:val="34"/>
        </w:rPr>
        <w:t>持续迭代升级 “自贸 i 企服” 小程序，增设政策查询、业务咨询等便民服务模块，丰富线上服务场景，进一步提升数字化服务水平。</w:t>
      </w:r>
      <w:r>
        <w:rPr>
          <w:rFonts w:hint="eastAsia" w:ascii="Times New Roman" w:hAnsi="Times New Roman" w:eastAsia="仿宋_GB2312" w:cs="仿宋_GB2312"/>
          <w:b/>
          <w:sz w:val="34"/>
        </w:rPr>
        <w:t>三是</w:t>
      </w:r>
      <w:r>
        <w:rPr>
          <w:rFonts w:hint="eastAsia" w:ascii="Times New Roman" w:hAnsi="Times New Roman" w:eastAsia="仿宋_GB2312" w:cs="仿宋_GB2312"/>
          <w:b w:val="0"/>
          <w:sz w:val="34"/>
        </w:rPr>
        <w:t>常态化组织窗口、审批人员开展业务培训，熟练掌握各项办事标准与服务规范，以过硬业务能力保障服务质量。</w:t>
      </w:r>
    </w:p>
    <w:p>
      <w:pPr>
        <w:spacing w:line="578" w:lineRule="exact"/>
        <w:ind w:left="0" w:right="0" w:rightChars="0" w:firstLine="640" w:firstLineChars="200"/>
        <w:jc w:val="left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楷体_GB2312" w:cs="楷体_GB2312"/>
          <w:b w:val="0"/>
          <w:sz w:val="32"/>
        </w:rPr>
        <w:t>（三）完善跨境信用协同机制（二级标题）</w:t>
      </w:r>
    </w:p>
    <w:p>
      <w:pPr>
        <w:spacing w:line="578" w:lineRule="exact"/>
        <w:ind w:left="0" w:right="0" w:rightChars="0" w:firstLine="680" w:firstLineChars="200"/>
        <w:jc w:val="both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仿宋_GB2312" w:cs="仿宋_GB2312"/>
          <w:b w:val="0"/>
          <w:sz w:val="34"/>
        </w:rPr>
        <w:t>对接俄方边境口岸信用合作渠道，探索中俄企业信用互认试点，完善跨境守信激励机制，助力对俄贸易企业便捷通关、授信融资。</w:t>
      </w:r>
    </w:p>
    <w:p>
      <w:pPr>
        <w:spacing w:line="578" w:lineRule="exact"/>
        <w:ind w:left="0" w:right="0" w:rightChars="0" w:firstLine="640" w:firstLineChars="200"/>
        <w:jc w:val="left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黑体" w:cs="黑体"/>
          <w:b w:val="0"/>
          <w:sz w:val="32"/>
        </w:rPr>
        <w:t>四、补充测试段落（特殊格式、标点、加粗、斜体、引用场景）</w:t>
      </w:r>
    </w:p>
    <w:p>
      <w:pPr>
        <w:spacing w:line="578" w:lineRule="exact"/>
        <w:ind w:left="0" w:right="0" w:rightChars="0" w:firstLine="680" w:firstLineChars="200"/>
        <w:jc w:val="both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仿宋_GB2312" w:cs="仿宋_GB2312"/>
          <w:b w:val="0"/>
          <w:sz w:val="34"/>
        </w:rPr>
        <w:t xml:space="preserve">引用段落测试：诚信是营商环境的基石，政务守信是自贸区对外开放的核心软实力，唯有坚守履约承诺、规范政务行为、护航市场主体，才能持续释放自贸片区制度创新红利。 </w:t>
      </w:r>
      <w:r>
        <w:rPr>
          <w:rFonts w:hint="eastAsia" w:ascii="Times New Roman" w:hAnsi="Times New Roman" w:eastAsia="仿宋_GB2312" w:cs="仿宋_GB2312"/>
          <w:b w:val="0"/>
          <w:sz w:val="34"/>
        </w:rPr>
        <w:t>加粗重点测试</w:t>
      </w:r>
      <w:r>
        <w:rPr>
          <w:rFonts w:hint="eastAsia" w:ascii="Times New Roman" w:hAnsi="Times New Roman" w:eastAsia="仿宋_GB2312" w:cs="仿宋_GB2312"/>
          <w:b w:val="0"/>
          <w:sz w:val="34"/>
        </w:rPr>
        <w:t xml:space="preserve">：严守政务履约底线、杜绝形式主义、优化闭环管理是下半年核心工作硬性要求。 </w:t>
      </w:r>
      <w:r>
        <w:rPr>
          <w:rFonts w:hint="eastAsia" w:ascii="Times New Roman" w:hAnsi="Times New Roman" w:eastAsia="仿宋_GB2312" w:cs="仿宋_GB2312"/>
          <w:b w:val="0"/>
          <w:sz w:val="34"/>
        </w:rPr>
        <w:t>斜体注释测试</w:t>
      </w:r>
      <w:r>
        <w:rPr>
          <w:rFonts w:hint="eastAsia" w:ascii="Times New Roman" w:hAnsi="Times New Roman" w:eastAsia="仿宋_GB2312" w:cs="仿宋_GB2312"/>
          <w:b w:val="0"/>
          <w:sz w:val="34"/>
        </w:rPr>
        <w:t>：本阶段性数据统计周期为 2026 年 1 月 —6 月，统计范围涵盖黑河自贸片区全域注册市场主体。 特殊符号测试：【重点任务】★、△、→、①②③、（一）（二）、1.2.3、A.B.C、中英混排：“自贸 i 企服” APP、GDP 增速、5G 数字化政务、RCEP 经贸规则落地。</w:t>
      </w:r>
    </w:p>
    <w:p>
      <w:pPr>
        <w:spacing w:line="578" w:lineRule="exact"/>
        <w:ind w:left="0" w:right="0" w:rightChars="0" w:firstLine="680" w:firstLineChars="200"/>
        <w:jc w:val="both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仿宋_GB2312" w:cs="仿宋_GB2312"/>
          <w:b w:val="0"/>
          <w:sz w:val="34"/>
        </w:rPr>
        <w:t>落款区</w:t>
      </w:r>
    </w:p>
    <w:p>
      <w:pPr>
        <w:spacing w:line="578" w:lineRule="exact"/>
        <w:ind w:left="0" w:right="0" w:rightChars="0" w:firstLine="680" w:firstLineChars="200"/>
        <w:jc w:val="both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仿宋_GB2312" w:cs="仿宋_GB2312"/>
          <w:b w:val="0"/>
          <w:sz w:val="34"/>
        </w:rPr>
        <w:t>中国（黑龙江）自由贸易试验区黑河片区守信践诺工作专班</w:t>
      </w:r>
      <w:bookmarkStart w:id="0" w:name="_GoBack"/>
      <w:bookmarkEnd w:id="0"/>
    </w:p>
    <w:p>
      <w:pPr>
        <w:spacing w:line="578" w:lineRule="exact"/>
        <w:ind w:left="0" w:right="0" w:rightChars="0" w:firstLine="680" w:firstLineChars="200"/>
        <w:jc w:val="both"/>
        <w:rPr>
          <w:rFonts w:hint="eastAsia" w:ascii="Times New Roman" w:hAnsi="Times New Roman" w:eastAsia="仿宋_GB2312" w:cs="仿宋_GB2312"/>
          <w:b w:val="0"/>
          <w:sz w:val="34"/>
        </w:rPr>
      </w:pPr>
      <w:r>
        <w:rPr>
          <w:rFonts w:hint="eastAsia" w:ascii="Times New Roman" w:hAnsi="Times New Roman" w:eastAsia="仿宋_GB2312" w:cs="仿宋_GB2312"/>
          <w:b w:val="0"/>
          <w:sz w:val="34"/>
        </w:rPr>
        <w:t xml:space="preserve"> 2026 年 6 月 26 日</w:t>
      </w:r>
    </w:p>
    <w:p>
      <w:pPr>
        <w:spacing w:line="578" w:lineRule="exact"/>
        <w:ind w:left="0" w:right="0" w:rightChars="0" w:firstLine="680" w:firstLineChars="200"/>
        <w:jc w:val="both"/>
        <w:rPr>
          <w:rFonts w:hint="eastAsia" w:ascii="Times New Roman" w:hAnsi="Times New Roman" w:eastAsia="仿宋_GB2312" w:cs="仿宋_GB2312"/>
          <w:b w:val="0"/>
          <w:sz w:val="34"/>
        </w:rPr>
      </w:pPr>
    </w:p>
    <w:sectPr>
      <w:headerReference r:id="rId3" w:type="default"/>
      <w:footerReference r:id="rId4" w:type="default"/>
      <w:pgSz w:w="11906" w:h="16838"/>
      <w:pgMar w:top="2098" w:right="1474" w:bottom="1984" w:left="1588" w:header="851" w:footer="1531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8" w:space="0"/>
      </w:pBdr>
      <w:spacing w:after="0" w:afterLines="0"/>
      <w:rPr>
        <w:rFonts w:hint="eastAsia" w:ascii="宋体" w:hAnsi="宋体" w:eastAsia="宋体" w:cs="宋体"/>
        <w:sz w:val="24"/>
        <w:lang w:eastAsia="zh-CN"/>
      </w:rPr>
    </w:pPr>
    <w:r>
      <w:rPr>
        <w:rStyle w:val="10"/>
        <w:rFonts w:hint="eastAsia" w:ascii="宋体" w:hAnsi="宋体" w:eastAsia="宋体" w:cs="宋体"/>
        <w:sz w:val="24"/>
        <w:lang w:eastAsia="zh-CN"/>
      </w:rPr>
      <w:fldChar w:fldCharType="begin"/>
    </w:r>
    <w:r>
      <w:rPr>
        <w:rStyle w:val="10"/>
        <w:rFonts w:hint="eastAsia" w:ascii="宋体" w:hAnsi="宋体" w:eastAsia="宋体" w:cs="宋体"/>
        <w:sz w:val="24"/>
        <w:lang w:eastAsia="zh-CN"/>
      </w:rPr>
      <w:instrText xml:space="preserve"> PAGE </w:instrText>
    </w:r>
    <w:r>
      <w:rPr>
        <w:rStyle w:val="10"/>
        <w:rFonts w:hint="eastAsia" w:ascii="宋体" w:hAnsi="宋体" w:eastAsia="宋体" w:cs="宋体"/>
        <w:sz w:val="24"/>
        <w:lang w:eastAsia="zh-CN"/>
      </w:rPr>
      <w:fldChar w:fldCharType="separate"/>
    </w:r>
    <w:r>
      <w:rPr>
        <w:rStyle w:val="10"/>
        <w:rFonts w:hint="eastAsia" w:ascii="宋体" w:hAnsi="宋体" w:eastAsia="宋体" w:cs="宋体"/>
        <w:sz w:val="24"/>
        <w:lang w:eastAsia="zh-CN"/>
      </w:rPr>
      <w:t>- 1 -</w:t>
    </w:r>
    <w:r>
      <w:rPr>
        <w:rStyle w:val="10"/>
        <w:rFonts w:hint="eastAsia" w:ascii="宋体" w:hAnsi="宋体" w:eastAsia="宋体" w:cs="宋体"/>
        <w:sz w:val="24"/>
        <w:lang w:eastAsia="zh-CN"/>
      </w:rPr>
      <w:fldChar w:fldCharType="end"/>
    </w:r>
  </w:p>
  <w:p w14:paraId="494DA70C">
    <w:pPr>
      <w:pStyle w:val="5"/>
      <w:jc w:val="center"/>
      <w:rPr>
        <w:rFonts w:hint="eastAsia" w:ascii="宋体" w:hAnsi="宋体" w:eastAsia="宋体" w:cs="宋体"/>
        <w:sz w:val="24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D36045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356A4D"/>
    <w:rsid w:val="2B35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page number"/>
    <w:basedOn w:val="8"/>
    <w:uiPriority w:val="0"/>
  </w:style>
  <w:style w:type="character" w:styleId="11">
    <w:name w:val="Emphasis"/>
    <w:basedOn w:val="8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2026-06-26T07:25:00Z</dcterms:created>
  <dc:creator>小明</dc:creator>
  <cp:lastModifiedBy>小明</cp:lastModifiedBy>
  <dcterms:modified xsi:type="dcterms:W3CDTF">2026-06-26T08:37:56Z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19B66A0C80E04F59B76C6771187ABAE9_11</vt:lpwstr>
  </property>
  <property fmtid="{D5CDD505-2E9C-101B-9397-08002B2CF9AE}" pid="4" name="KSOTemplateDocerSaveRecord">
    <vt:lpwstr>eyJoZGlkIjoiZGM1NGZmZWZhYWZjMzU0YTExYzViN2QxNDljODQyMzEiLCJ1c2VySWQiOiI2MjMwNTc0MTcifQ==</vt:lpwstr>
  </property>
</Properties>
</file>