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60" w:before="160"/>
      </w:pPr>
      <w:r>
        <w:t>Anexos — KAN-REC</w:t>
      </w:r>
    </w:p>
    <w:p>
      <w:pPr>
        <w:spacing w:after="80" w:before="0" w:line="240" w:lineRule="auto"/>
        <w:jc w:val="both"/>
      </w:pPr>
      <w:r>
        <w:rPr>
          <w:b/>
          <w:sz w:val="21"/>
        </w:rPr>
        <w:t>Trabajo Fin de Máster · Máster en Big Data &amp; Data Engineering</w:t>
      </w:r>
    </w:p>
    <w:p>
      <w:pPr>
        <w:spacing w:after="80" w:before="0" w:line="240" w:lineRule="auto"/>
        <w:jc w:val="both"/>
      </w:pPr>
      <w:r>
        <w:rPr>
          <w:sz w:val="21"/>
        </w:rPr>
        <w:t>Pedro Antonio Martínez Sánchez · Tutores: Jorge Centeno y Alberto González</w:t>
      </w:r>
    </w:p>
    <w:p>
      <w:pPr>
        <w:pStyle w:val="Heading1"/>
        <w:spacing w:after="60" w:before="160"/>
      </w:pPr>
      <w:r>
        <w:t>Anexo A. Cobertura de asignaturas del máster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Asignatura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Aplicación en el proyecto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Artefacto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Fundamentos de Big Data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Dataset de 10 M de filas y 2,26 GB que excede el procesamiento en una sola máquina; decisiones de particionado y materialización.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fabric/01_spark_ingest_mlllib.py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Procesamiento distribuido (Spark)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Ingesta y normalización distribuidas: esquema explícito, </w:t>
            </w:r>
            <w:r>
              <w:rPr>
                <w:rFonts w:ascii="Consolas" w:hAnsi="Consolas"/>
                <w:sz w:val="16"/>
              </w:rPr>
              <w:t>randomSplit</w:t>
            </w:r>
            <w:r>
              <w:rPr>
                <w:sz w:val="16"/>
              </w:rPr>
              <w:t xml:space="preserve">, agregaciones para estadísticos de escalado, ventanas y </w:t>
            </w:r>
            <w:r>
              <w:rPr>
                <w:rFonts w:ascii="Consolas" w:hAnsi="Consolas"/>
                <w:sz w:val="16"/>
              </w:rPr>
              <w:t>join</w:t>
            </w:r>
            <w:r>
              <w:rPr>
                <w:sz w:val="16"/>
              </w:rPr>
              <w:t xml:space="preserve"> en difusión para el indexado de 26 variables categóricas (hasta 409.063 categorías). Materialización por bloques para acotar el plan de ejecución.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fabric/01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kanrec/spark_utils.py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Arquitecturas de datos / Lakehouse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Lakehouse en OneLake con tablas Delta gestionadas, transaccionalidad ACID, versionado e historial de escrituras. Separación </w:t>
            </w:r>
            <w:r>
              <w:rPr>
                <w:rFonts w:ascii="Consolas" w:hAnsi="Consolas"/>
                <w:sz w:val="16"/>
              </w:rPr>
              <w:t>Files</w:t>
            </w:r>
            <w:r>
              <w:rPr>
                <w:sz w:val="16"/>
              </w:rPr>
              <w:t xml:space="preserve"> (artefactos) / </w:t>
            </w:r>
            <w:r>
              <w:rPr>
                <w:rFonts w:ascii="Consolas" w:hAnsi="Consolas"/>
                <w:sz w:val="16"/>
              </w:rPr>
              <w:t>Tables</w:t>
            </w:r>
            <w:r>
              <w:rPr>
                <w:sz w:val="16"/>
              </w:rPr>
              <w:t xml:space="preserve"> (datos consultables).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Lakehouse </w:t>
            </w:r>
            <w:r>
              <w:rPr>
                <w:rFonts w:ascii="Consolas" w:hAnsi="Consolas"/>
                <w:sz w:val="16"/>
              </w:rPr>
              <w:t>kanrec_lakehouse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Streaming y tiempo real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Productor Kafka a Confluent Cloud (GCP), ingesta con Eventstream de Fabric, escritura simultánea a Delta y base de datos KQL, métricas agregadas y alertas con Data Activator. Consistencia batch/stream mediante estadísticos persistidos.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data/kafka_producer_confluent.py</w:t>
            </w:r>
            <w:r>
              <w:rPr>
                <w:sz w:val="16"/>
              </w:rPr>
              <w:t xml:space="preserve">, Eventstream, </w:t>
            </w:r>
            <w:r>
              <w:rPr>
                <w:rFonts w:ascii="Consolas" w:hAnsi="Consolas"/>
                <w:sz w:val="16"/>
              </w:rPr>
              <w:t>fabric/06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Bases de datos NoSQL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MongoDB Atlas para resultados simbólicos (documentos de esquema variable), </w:t>
            </w:r>
            <w:r>
              <w:rPr>
                <w:i/>
                <w:sz w:val="16"/>
              </w:rPr>
              <w:t>aggregation pipelines</w:t>
            </w:r>
            <w:r>
              <w:rPr>
                <w:sz w:val="16"/>
              </w:rPr>
              <w:t xml:space="preserve"> para el informe de estabilidad, e índice vectorial para búsqueda por similitud de embeddings.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kanrec/mongo_store.py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fabric/09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Integración de datos / APIs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Servicio FastAPI de metadatos, ingesta paginada y enriquecimiento por unión con la tabla principal.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fabric/03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data/mock_api_server.py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Machine Learning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Encoder KAN sobre splines B-spline, baselines </w:t>
            </w:r>
            <w:r>
              <w:rPr>
                <w:rFonts w:ascii="Consolas" w:hAnsi="Consolas"/>
                <w:sz w:val="16"/>
              </w:rPr>
              <w:t>raw</w:t>
            </w:r>
            <w:r>
              <w:rPr>
                <w:sz w:val="16"/>
              </w:rPr>
              <w:t xml:space="preserve"> y AutoDis, protocolo de evaluación con tres semillas y análisis de significancia, ablación de hiperparámetros.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kanrec/encoder.py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kanrec/baselines.py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MLOps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Seguimiento con MLflow, versionado de checkpoints, CI con GitHub Actions (escaneo de secretos y 86 tests), paquete instalable, gestión de secretos con Key Vault y variables de entorno.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.github/workflows/ci.yml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kanrec/config.py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Visualización y BI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Panel en Power BI sobre Delta con Direct Lake: comparativa de encoders, curvas φ y CTR del flujo de streaming.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Informe Power BI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Ingeniería de software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Paquete estructurado, 86 tests unitarios y de integración, tipado, documentación y trazabilidad de cada corrección a su test de regresión.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tests/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sz w:val="16"/>
              </w:rPr>
              <w:t>README.md</w:t>
            </w:r>
          </w:p>
        </w:tc>
      </w:tr>
    </w:tbl>
    <w:p>
      <w:pPr>
        <w:pStyle w:val="Heading1"/>
        <w:spacing w:after="60" w:before="160"/>
      </w:pPr>
      <w:r>
        <w:t>Anexo B. Diagrama de arquitectura detallado</w:t>
      </w:r>
    </w:p>
    <w:p>
      <w:pPr>
        <w:pStyle w:val="Heading2"/>
        <w:spacing w:after="60" w:before="160"/>
      </w:pPr>
      <w:r>
        <w:t>B.1. Flujo de datos completo</w:t>
      </w:r>
    </w:p>
    <w:p>
      <w:pPr>
        <w:spacing w:after="80" w:before="0" w:line="240" w:lineRule="auto"/>
      </w:pPr>
      <w:r>
        <w:rPr>
          <w:rFonts w:ascii="Consolas" w:hAnsi="Consolas"/>
          <w:sz w:val="16"/>
        </w:rPr>
        <w:t>┌─────────────────────┐     ┌──────────────────────────┐     ┌────────────────────┐</w:t>
        <w:br/>
        <w:t>│ FUENTES             │     │ INGESTA Y PROCESO        │     │ ALMACENAMIENTO     │</w:t>
        <w:br/>
        <w:t>├─────────────────────┤     ├──────────────────────────┤     ├────────────────────┤</w:t>
        <w:br/>
        <w:t>│ Criteo TSV          │────►│ 01_spark_ingest          │────►│ Tables/train       │</w:t>
        <w:br/>
        <w:t>│ 10.000.001 filas    │     │  · esquema explícito     │     │ Tables/val         │</w:t>
        <w:br/>
        <w:t>│ 2,26 GB             │     │  · nulos → 0, abs()      │     │ Tables/test        │</w:t>
        <w:br/>
        <w:t>│ 13 num + 26 cat     │     │  · split 80/10/10        │     │ Files/config/      │</w:t>
        <w:br/>
        <w:t>│                     │     │  · log1p  I1–I5          │     │  scaler_stats.json │</w:t>
        <w:br/>
        <w:t>│                     │     │  · StdScaler I6–I13      │     │ Tables/            │</w:t>
        <w:br/>
        <w:t>│                     │     │  · indexado categórico   │     │  cat_index_maps    │</w:t>
        <w:br/>
        <w:t>├─────────────────────┤     ├──────────────────────────┤     ├────────────────────┤</w:t>
        <w:br/>
        <w:t>│ Confluent Cloud     │────►│ Eventstream              │────►│ Tables/            │</w:t>
        <w:br/>
        <w:t>│ tópico              │     │  ↓                       │     │  streaming_kfk     │</w:t>
        <w:br/>
        <w:t>│ ad_impressions      │     │ 06_stream_processing     │────►│  streaming_        │</w:t>
        <w:br/>
        <w:t>│ (Kafka, GCP)        │     │  (mismos estadísticos)   │     │   processed        │</w:t>
        <w:br/>
        <w:t>│                     │     │                          │     │ KQL Database       │</w:t>
        <w:br/>
        <w:t>├─────────────────────┤     ├──────────────────────────┤     ├────────────────────┤</w:t>
        <w:br/>
        <w:t>│ Mock API REST       │────►│ 03_api_ingest            │────►│ Tables/            │</w:t>
        <w:br/>
        <w:t>│ FastAPI             │     │  (paginado + join)       │     │  train_enriched    │</w:t>
        <w:br/>
        <w:t>└─────────────────────┘     └──────────────────────────┘     └────────────────────┘</w:t>
        <w:br/>
        <w:t xml:space="preserve">                                        │</w:t>
        <w:br/>
        <w:t xml:space="preserve">                                        ▼</w:t>
        <w:br/>
        <w:t xml:space="preserve">                            ┌──────────────────────────┐</w:t>
        <w:br/>
        <w:t xml:space="preserve">                            │ 04_model_comparison      │</w:t>
        <w:br/>
        <w:t xml:space="preserve">                            │  raw │ AutoDis │ KAN-REC │</w:t>
        <w:br/>
        <w:t xml:space="preserve">                            │  3 semillas · MLflow     │</w:t>
        <w:br/>
        <w:t xml:space="preserve">                            └──────────────────────────┘</w:t>
        <w:br/>
        <w:t xml:space="preserve">                                        │</w:t>
        <w:br/>
        <w:t xml:space="preserve">                            ┌───────────┴───────────┐</w:t>
        <w:br/>
        <w:t xml:space="preserve">                            ▼                       ▼</w:t>
        <w:br/>
        <w:t xml:space="preserve">                ┌──────────────────────┐  ┌──────────────────────┐</w:t>
        <w:br/>
        <w:t xml:space="preserve">                │ 05_symbolic          │  │ Power BI             │</w:t>
        <w:br/>
        <w:t xml:space="preserve">                │  · poda L1           │  │  (Direct Lake)       │</w:t>
        <w:br/>
        <w:t xml:space="preserve">                │  · ajuste 16 dims    │  │  · comparativa       │</w:t>
        <w:br/>
        <w:t xml:space="preserve">                │  · fidelidad         │  │  · curvas φ          │</w:t>
        <w:br/>
        <w:t xml:space="preserve">                │  · monotonía         │  │  · CTR streaming     │</w:t>
        <w:br/>
        <w:t xml:space="preserve">                └──────────┬───────────┘  └──────────────────────┘</w:t>
        <w:br/>
        <w:t xml:space="preserve">                           ▼</w:t>
        <w:br/>
        <w:t xml:space="preserve">                ┌──────────────────────┐</w:t>
        <w:br/>
        <w:t xml:space="preserve">                │ MongoDB Atlas        │</w:t>
        <w:br/>
        <w:t xml:space="preserve">                │  symbolic_results    │</w:t>
        <w:br/>
        <w:t xml:space="preserve">                │  item_embeddings     │</w:t>
        <w:br/>
        <w:t xml:space="preserve">                │  (+ vector search)   │</w:t>
        <w:br/>
        <w:t xml:space="preserve">                └──────────────────────┘</w:t>
      </w:r>
    </w:p>
    <w:p>
      <w:pPr>
        <w:pStyle w:val="Heading2"/>
        <w:spacing w:after="60" w:before="160"/>
      </w:pPr>
      <w:r>
        <w:t>B.2. Arquitectura del modelo</w:t>
      </w:r>
    </w:p>
    <w:p>
      <w:pPr>
        <w:spacing w:after="80" w:before="0" w:line="240" w:lineRule="auto"/>
      </w:pPr>
      <w:r>
        <w:rPr>
          <w:rFonts w:ascii="Consolas" w:hAnsi="Consolas"/>
          <w:sz w:val="16"/>
        </w:rPr>
        <w:t>x_num [B, 13]                              x_cat [B, 26]</w:t>
        <w:br/>
        <w:t xml:space="preserve">     │                                          │</w:t>
        <w:br/>
        <w:t xml:space="preserve">     ▼                                          ▼</w:t>
        <w:br/>
        <w:t>┌─────────────────────────┐          ┌─────────────────────┐</w:t>
        <w:br/>
        <w:t>│ ENCODER NUMÉRICO        │          │ 26 × nn.Embedding   │</w:t>
        <w:br/>
        <w:t>│ (la variable del        │          │ (card+1, 16)        │</w:t>
        <w:br/>
        <w:t>│  experimento)           │          └─────────┬───────────┘</w:t>
        <w:br/>
        <w:t>│                         │                    │</w:t>
        <w:br/>
        <w:t>│ raw:     Linear(1→16)   │                    │</w:t>
        <w:br/>
        <w:t>│ AutoDis: meta-emb + att │                    │</w:t>
        <w:br/>
        <w:t>│ KAN:     φⱼ spline      │                    │</w:t>
        <w:br/>
        <w:t>│   · clamp ±10σ          │                    │</w:t>
        <w:br/>
        <w:t>│   · SiLU(x)·w_base      │                    │</w:t>
        <w:br/>
        <w:t>│   · B-spline(G=10,k=3)  │                    │</w:t>
        <w:br/>
        <w:t>└───────────┬─────────────┘                    │</w:t>
        <w:br/>
        <w:t xml:space="preserve">            │ [B, 13, 16]                      │ [B, 26, 16]</w:t>
        <w:br/>
        <w:t xml:space="preserve">            └──────────────┬───────────────────┘</w:t>
        <w:br/>
        <w:t xml:space="preserve">                           ▼</w:t>
        <w:br/>
        <w:t xml:space="preserve">                    concat [B, 39, 16] → flatten [B, 624]</w:t>
        <w:br/>
        <w:t xml:space="preserve">                           │</w:t>
        <w:br/>
        <w:t xml:space="preserve">                           ▼</w:t>
        <w:br/>
        <w:t xml:space="preserve">              ┌────────────────────────────┐</w:t>
        <w:br/>
        <w:t xml:space="preserve">              │ INTERACCIÓN (compartida)   │</w:t>
        <w:br/>
        <w:t xml:space="preserve">              │ Linear(624→256) → ReLU     │</w:t>
        <w:br/>
        <w:t xml:space="preserve">              │ Dropout(0,1)               │</w:t>
        <w:br/>
        <w:t xml:space="preserve">              │ Linear(256→64)  → ReLU     │</w:t>
        <w:br/>
        <w:t xml:space="preserve">              └────────────┬───────────────┘</w:t>
        <w:br/>
        <w:t xml:space="preserve">                           ▼</w:t>
        <w:br/>
        <w:t xml:space="preserve">                    Linear(64→1) → logits [B, 1]</w:t>
        <w:br/>
        <w:t xml:space="preserve">                           │</w:t>
        <w:br/>
        <w:t xml:space="preserve">                    BCEWithLogitsLoss (entrenamiento)</w:t>
        <w:br/>
        <w:t xml:space="preserve">                    sigmoid (inferencia)</w:t>
      </w:r>
    </w:p>
    <w:p>
      <w:pPr>
        <w:pStyle w:val="Heading2"/>
        <w:spacing w:after="60" w:before="160"/>
      </w:pPr>
      <w:r>
        <w:t>B.3. Vectorización del encoder</w:t>
      </w:r>
    </w:p>
    <w:p>
      <w:pPr>
        <w:spacing w:after="80" w:before="0" w:line="240" w:lineRule="auto"/>
      </w:pPr>
      <w:r>
        <w:rPr>
          <w:rFonts w:ascii="Consolas" w:hAnsi="Consolas"/>
          <w:sz w:val="16"/>
        </w:rPr>
        <w:t>ANTES (bucle: 13 lanzamientos de kernel)     DESPUÉS (1 kernel)</w:t>
        <w:br/>
        <w:t>─────────────────────────────────────        ──────────────────────────────</w:t>
        <w:br/>
        <w:t>for j in range(13):                          bases = b_splines(x)</w:t>
        <w:br/>
        <w:t xml:space="preserve">    xj = x[:, j:j+1]                             → [B, 13, n_coef]</w:t>
        <w:br/>
        <w:t xml:space="preserve">    ej = field_kans[j](xj)                   out = bmm(bases.T, W)</w:t>
        <w:br/>
        <w:t xml:space="preserve">    out.append(ej)                               W: [13, n_coef, 16]</w:t>
        <w:br/>
        <w:t xml:space="preserve">                                                 → [13, B, 16] → [B, 13, 16]</w:t>
        <w:br/>
        <w:t>8,83 ms/lote (84,5 % del total)              0,95 ms/lote (35,5 %)</w:t>
        <w:br/>
        <w:t xml:space="preserve">                                             Salida idéntica bit a bit</w:t>
      </w:r>
    </w:p>
    <w:p>
      <w:pPr>
        <w:pStyle w:val="Heading1"/>
        <w:spacing w:after="60" w:before="160"/>
      </w:pPr>
      <w:r>
        <w:t>Anexo C. Configuración experimental detallada</w:t>
      </w:r>
    </w:p>
    <w:p>
      <w:pPr>
        <w:pStyle w:val="Heading2"/>
        <w:spacing w:after="60" w:before="160"/>
      </w:pPr>
      <w:r>
        <w:t>C.1. Hiperparámetros del modelo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Parámetro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Valor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Justificación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embedding_dim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16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Compartido por encoders numéricos y categóricos.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grid_size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Óptimo medido; 5 pierde 0,0078 de AUC, 20 diverge.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spline_order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B-splines cúbicas, estándar en la literatura KAN.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input_clip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 σ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Winsorizado; preserva el 99,99 % de los datos.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Interacción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624 → 256 → 64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Capa compartida por los tres encoders.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dropout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En la capa de interacción.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AutoDis </w:t>
            </w:r>
            <w:r>
              <w:rPr>
                <w:rFonts w:ascii="Consolas" w:hAnsi="Consolas"/>
                <w:sz w:val="16"/>
              </w:rPr>
              <w:t>n_buckets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Meta-embeddings por campo.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AutoDis </w:t>
            </w:r>
            <w:r>
              <w:rPr>
                <w:rFonts w:ascii="Consolas" w:hAnsi="Consolas"/>
                <w:sz w:val="16"/>
              </w:rPr>
              <w:t>temperature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aprendida (softplus)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Parametrizada para garantizar positividad.</w:t>
            </w:r>
          </w:p>
        </w:tc>
      </w:tr>
    </w:tbl>
    <w:p>
      <w:pPr>
        <w:pStyle w:val="Heading2"/>
        <w:spacing w:after="60" w:before="160"/>
      </w:pPr>
      <w:r>
        <w:t>C.2. Configuración de entrenamiento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Parámetro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Optimizador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Adam, </w:t>
            </w:r>
            <w:r>
              <w:rPr>
                <w:rFonts w:ascii="Consolas" w:hAnsi="Consolas"/>
                <w:sz w:val="16"/>
              </w:rPr>
              <w:t>weight_decay</w:t>
            </w:r>
            <w:r>
              <w:rPr>
                <w:sz w:val="16"/>
              </w:rPr>
              <w:t xml:space="preserve"> = 1e-5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Learning rate base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1e-3 (</w:t>
            </w:r>
            <w:r>
              <w:rPr>
                <w:rFonts w:ascii="Consolas" w:hAnsi="Consolas"/>
                <w:sz w:val="16"/>
              </w:rPr>
              <w:t>raw</w:t>
            </w:r>
            <w:r>
              <w:rPr>
                <w:sz w:val="16"/>
              </w:rPr>
              <w:t>, KAN) · 1e-2 (AutoDis)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Multiplicador lr del spline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25×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entropy_reg_weight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1e-5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Función de pérdida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BCEWithLogitsLoss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Recorte de gradiente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norma máxima 1,0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Batch size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2048 (entrenamiento) · 4096 (latencia)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Épocas máximas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Parada temprana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paciencia 3 sobre AUC de validación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Planificador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ReduceLROnPlateau</w:t>
            </w:r>
            <w:r>
              <w:rPr>
                <w:sz w:val="16"/>
              </w:rPr>
              <w:t>, factor 0,5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Calibración del grid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50.000 filas, en CPU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Semillas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42, 123, 256</w:t>
            </w:r>
          </w:p>
        </w:tc>
      </w:tr>
    </w:tbl>
    <w:p>
      <w:pPr>
        <w:pStyle w:val="Heading2"/>
        <w:spacing w:after="60" w:before="160"/>
      </w:pPr>
      <w:r>
        <w:t>C.3. Configuración de datos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Parámetro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Valor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Filas totales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10.000.001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Partición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80 / 10 / 10 con semilla 42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Tamaños resultantes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7.998.378 / 1.000.109 / 1.001.514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Muestra para la comparativa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1.500.000 filas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Muestra para fidelidad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300.000 filas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Transformación I1–I5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log1p(max(x, 0))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Transformación I6–I13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Estandarización (ajustada solo en train)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Indexado categórico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Frecuencia descendente, desempate alfabético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Categorías no vistas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Índice reservado </w:t>
            </w:r>
            <w:r>
              <w:rPr>
                <w:rFonts w:ascii="Consolas" w:hAnsi="Consolas"/>
                <w:sz w:val="16"/>
              </w:rPr>
              <w:t>len(categorías)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CTR del conjunto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≈ 25 %</w:t>
            </w:r>
          </w:p>
        </w:tc>
      </w:tr>
    </w:tbl>
    <w:p>
      <w:pPr>
        <w:pStyle w:val="Heading2"/>
        <w:spacing w:after="60" w:before="160"/>
      </w:pPr>
      <w:r>
        <w:t>C.4. Entorno de ejecución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Componente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Especificación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Fabric — pool Spark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Small (4 vCores), capacidad de prueba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Colab — GPU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NVIDIA T4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Python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3.11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PyTorch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i/>
                <w:sz w:val="16"/>
              </w:rPr>
              <w:t>(completar con la versión del entorno)</w:t>
            </w:r>
          </w:p>
        </w:tc>
      </w:tr>
      <w:tr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Paquete </w:t>
            </w:r>
            <w:r>
              <w:rPr>
                <w:rFonts w:ascii="Consolas" w:hAnsi="Consolas"/>
                <w:sz w:val="16"/>
              </w:rPr>
              <w:t>kanrec</w:t>
            </w:r>
          </w:p>
        </w:tc>
        <w:tc>
          <w:tcPr>
            <w:tcW w:type="dxa" w:w="4252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0.3.2</w:t>
            </w:r>
          </w:p>
        </w:tc>
      </w:tr>
    </w:tbl>
    <w:p>
      <w:pPr>
        <w:spacing w:after="80" w:before="0" w:line="240" w:lineRule="auto"/>
        <w:jc w:val="both"/>
      </w:pPr>
      <w:r>
        <w:rPr>
          <w:sz w:val="21"/>
        </w:rPr>
        <w:t xml:space="preserve">&gt; Las versiones exactas de las librerías se obtienen con </w:t>
      </w:r>
      <w:r>
        <w:rPr>
          <w:rFonts w:ascii="Consolas" w:hAnsi="Consolas"/>
          <w:sz w:val="18"/>
        </w:rPr>
        <w:t>pip freeze</w:t>
      </w:r>
      <w:r>
        <w:rPr>
          <w:sz w:val="21"/>
        </w:rPr>
        <w:t xml:space="preserve"> en el entorno de ejecución y se recogen en </w:t>
      </w:r>
      <w:r>
        <w:rPr>
          <w:rFonts w:ascii="Consolas" w:hAnsi="Consolas"/>
          <w:sz w:val="18"/>
        </w:rPr>
        <w:t>requirements.lock</w:t>
      </w:r>
      <w:r>
        <w:rPr>
          <w:sz w:val="21"/>
        </w:rPr>
        <w:t xml:space="preserve"> del repositorio.</w:t>
      </w:r>
    </w:p>
    <w:p>
      <w:pPr>
        <w:pStyle w:val="Heading2"/>
        <w:spacing w:after="60" w:before="160"/>
      </w:pPr>
      <w:r>
        <w:t>C.5. Reproducción de los experimentos</w:t>
      </w:r>
    </w:p>
    <w:p>
      <w:pPr>
        <w:spacing w:after="80" w:before="0" w:line="240" w:lineRule="auto"/>
      </w:pPr>
      <w:r>
        <w:rPr>
          <w:rFonts w:ascii="Consolas" w:hAnsi="Consolas"/>
          <w:sz w:val="16"/>
        </w:rPr>
        <w:t># Instalación</w:t>
        <w:br/>
        <w:t>git clone https://github.com/bdm-lab-cap/kanrec.git &amp;&amp; cd kanrec</w:t>
        <w:br/>
        <w:t>python -m venv .venv &amp;&amp; source .venv/bin/activate</w:t>
        <w:br/>
        <w:t>pip install -e ".[dev,train]"</w:t>
        <w:br/>
        <w:br/>
        <w:t># Tests</w:t>
        <w:br/>
        <w:t>pytest tests/ -q                       # 86 tests</w:t>
        <w:br/>
        <w:br/>
        <w:t># Comparativa completa (3 encoders × 3 semillas)</w:t>
        <w:br/>
        <w:t>bash experiments/run_all.sh</w:t>
        <w:br/>
        <w:br/>
        <w:t># Extracción simbólica</w:t>
        <w:br/>
        <w:t>python experiments/symbolic_extraction.py</w:t>
        <w:br/>
        <w:br/>
        <w:t># Figura de validación con formas conocidas</w:t>
        <w:br/>
        <w:t>PYTHONPATH=. python experiments/figura_validacion_simbolica.py</w:t>
      </w:r>
    </w:p>
    <w:p>
      <w:pPr>
        <w:spacing w:after="80" w:before="0" w:line="240" w:lineRule="auto"/>
        <w:jc w:val="both"/>
      </w:pPr>
      <w:r>
        <w:rPr>
          <w:sz w:val="21"/>
        </w:rPr>
        <w:t xml:space="preserve">En Fabric, el orden lo impone el pipeline </w:t>
      </w:r>
      <w:r>
        <w:rPr>
          <w:rFonts w:ascii="Consolas" w:hAnsi="Consolas"/>
          <w:sz w:val="18"/>
        </w:rPr>
        <w:t>kanrec_end_to_end</w:t>
      </w:r>
      <w:r>
        <w:rPr>
          <w:sz w:val="21"/>
        </w:rPr>
        <w:t xml:space="preserve">: </w:t>
      </w:r>
      <w:r>
        <w:rPr>
          <w:rFonts w:ascii="Consolas" w:hAnsi="Consolas"/>
          <w:sz w:val="18"/>
        </w:rPr>
        <w:t>01</w:t>
      </w:r>
      <w:r>
        <w:rPr>
          <w:sz w:val="21"/>
        </w:rPr>
        <w:t xml:space="preserve"> → (</w:t>
      </w:r>
      <w:r>
        <w:rPr>
          <w:rFonts w:ascii="Consolas" w:hAnsi="Consolas"/>
          <w:sz w:val="18"/>
        </w:rPr>
        <w:t>03</w:t>
      </w:r>
      <w:r>
        <w:rPr>
          <w:sz w:val="21"/>
        </w:rPr>
        <w:t xml:space="preserve">, </w:t>
      </w:r>
      <w:r>
        <w:rPr>
          <w:rFonts w:ascii="Consolas" w:hAnsi="Consolas"/>
          <w:sz w:val="18"/>
        </w:rPr>
        <w:t>04</w:t>
      </w:r>
      <w:r>
        <w:rPr>
          <w:sz w:val="21"/>
        </w:rPr>
        <w:t xml:space="preserve">, </w:t>
      </w:r>
      <w:r>
        <w:rPr>
          <w:rFonts w:ascii="Consolas" w:hAnsi="Consolas"/>
          <w:sz w:val="18"/>
        </w:rPr>
        <w:t>06</w:t>
      </w:r>
      <w:r>
        <w:rPr>
          <w:sz w:val="21"/>
        </w:rPr>
        <w:t xml:space="preserve"> en paralelo) → </w:t>
      </w:r>
      <w:r>
        <w:rPr>
          <w:rFonts w:ascii="Consolas" w:hAnsi="Consolas"/>
          <w:sz w:val="18"/>
        </w:rPr>
        <w:t>05</w:t>
      </w:r>
      <w:r>
        <w:rPr>
          <w:sz w:val="21"/>
        </w:rPr>
        <w:t xml:space="preserve"> → </w:t>
      </w:r>
      <w:r>
        <w:rPr>
          <w:rFonts w:ascii="Consolas" w:hAnsi="Consolas"/>
          <w:sz w:val="18"/>
        </w:rPr>
        <w:t>09</w:t>
      </w:r>
      <w:r>
        <w:rPr>
          <w:sz w:val="21"/>
        </w:rPr>
        <w:t>. El streaming lo alimenta Eventstream de forma continua desde Confluent, al margen de esa secuencia.</w:t>
      </w:r>
    </w:p>
    <w:p>
      <w:pPr>
        <w:spacing w:after="80" w:before="0" w:line="240" w:lineRule="auto"/>
        <w:jc w:val="both"/>
      </w:pPr>
      <w:r>
        <w:rPr>
          <w:sz w:val="21"/>
        </w:rPr>
        <w:t xml:space="preserve">En Colab: </w:t>
      </w:r>
      <w:r>
        <w:rPr>
          <w:rFonts w:ascii="Consolas" w:hAnsi="Consolas"/>
          <w:sz w:val="18"/>
        </w:rPr>
        <w:t>kanrec_full_comparison.ipynb</w:t>
      </w:r>
      <w:r>
        <w:rPr>
          <w:sz w:val="21"/>
        </w:rPr>
        <w:t xml:space="preserve"> → </w:t>
      </w:r>
      <w:r>
        <w:rPr>
          <w:rFonts w:ascii="Consolas" w:hAnsi="Consolas"/>
          <w:sz w:val="18"/>
        </w:rPr>
        <w:t>kanrec_analisis_cierre.ipynb</w:t>
      </w:r>
      <w:r>
        <w:rPr>
          <w:sz w:val="21"/>
        </w:rPr>
        <w:t>.</w:t>
      </w:r>
    </w:p>
    <w:p>
      <w:pPr>
        <w:pStyle w:val="Heading1"/>
        <w:spacing w:after="60" w:before="160"/>
      </w:pPr>
      <w:r>
        <w:t>Anexo D. Evidencias de ejecución</w:t>
      </w:r>
    </w:p>
    <w:p>
      <w:pPr>
        <w:pStyle w:val="Heading2"/>
        <w:spacing w:after="60" w:before="160"/>
      </w:pPr>
      <w:r>
        <w:t>D.1. Verificación de la normalización (notebook 01, Fabric)</w:t>
      </w:r>
    </w:p>
    <w:p>
      <w:pPr>
        <w:spacing w:after="80" w:before="0" w:line="240" w:lineRule="auto"/>
        <w:jc w:val="both"/>
      </w:pPr>
      <w:r>
        <w:rPr>
          <w:sz w:val="21"/>
        </w:rPr>
        <w:t>Salida sobre las 7.998.378 filas de entrenamiento: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Columna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Media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Desviación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Mínimo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Máximo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I6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3,65·10⁻¹⁶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1,0000000000000009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−0,272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700,20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8,18·10⁻¹⁷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0,9999999999999992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−0,237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424,62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−1,11·10⁻¹⁶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1,000000000000002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−0,595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240,12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−8,41·10⁻¹⁷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1,0000000000000004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−0,466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113,23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9,82·10⁻¹⁵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0,999999999999999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−0,570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14,74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−2,14·10⁻¹⁶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0,9999999999999998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−0,503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36,42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6,40·10⁻¹⁷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0,9999999999999994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−0,085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701,35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−1,89·10⁻¹⁶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−0,327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353,02</w:t>
            </w:r>
          </w:p>
        </w:tc>
      </w:tr>
    </w:tbl>
    <w:p>
      <w:pPr>
        <w:spacing w:after="80" w:before="0" w:line="240" w:lineRule="auto"/>
        <w:jc w:val="both"/>
      </w:pPr>
      <w:r>
        <w:rPr>
          <w:sz w:val="21"/>
        </w:rPr>
        <w:t>Los máximos de 700 desviaciones típicas en I6 e I12 son los que motivan el winsorizado descrito en 5.2.</w:t>
      </w:r>
    </w:p>
    <w:p>
      <w:pPr>
        <w:pStyle w:val="Heading2"/>
        <w:spacing w:after="60" w:before="160"/>
      </w:pPr>
      <w:r>
        <w:t>D.2. Comparativa de encoders (Colab, 3 semillas)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Encoder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Semilla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AUC test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Log-loss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Épocas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Tiempo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raw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0,7830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0,4637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136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raw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123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0,7848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0,4609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148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raw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0,7846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0,4645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147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autodis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0,7806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0,4684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207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autodis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123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0,7829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0,4629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180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autodis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0,7813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0,4641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198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kan-bspline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0,7843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0,4620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257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kan-bspline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123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0,7842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0,4646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259 s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kan-bspline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0,7868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0,4607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257 s</w:t>
            </w:r>
          </w:p>
        </w:tc>
      </w:tr>
    </w:tbl>
    <w:p>
      <w:pPr>
        <w:pStyle w:val="Heading2"/>
        <w:spacing w:after="60" w:before="160"/>
      </w:pPr>
      <w:r>
        <w:t>D.3. Extracción simbólica (semilla 42)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Campo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Operador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R² medio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Acuerdo entre dims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Fórmula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I2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0,9973 ± 0,0018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0,1269·x − 0,0085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0,9973 ± 0,0018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−0,7210·x + 0,0319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0,9828 ± 0,0329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94 %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0,2898·x − 0,0483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0,9794 ± 0,0403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94 %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−0,5175·x − 0,0223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I6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0,9193 ± 0,2131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88 %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0,1307·x + 0,0720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I7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0,9971 ± 0,0021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0,6246·x + 0,5612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0,9977 ± 0,0000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0,3635·x + 0,4371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I9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0,9972 ± 0,0005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0,6891·x + 0,3927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0,9965 ± 0,0043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0,7315·x + 0,5387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linear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0,9978 ± 0,0006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100 %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−0,4651·x − 0,6063</w:t>
            </w:r>
          </w:p>
        </w:tc>
      </w:tr>
    </w:tbl>
    <w:p>
      <w:pPr>
        <w:pStyle w:val="Heading2"/>
        <w:spacing w:after="60" w:before="160"/>
      </w:pPr>
      <w:r>
        <w:t>D.4. Auditoría de monotonía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Campo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Dirección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Violación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Veredicto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0,02 % ± 0,08 %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I2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2,74 % ± 10,61 %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I3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0,88 % ± 3,40 %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I4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2,95 % ± 11,41 %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I5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1,55 % ± 4,96 %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I6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4,54 % ± 2,40 %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I7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3,45 % ± 2,07 %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I8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2,88 % ± 1,33 %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I9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6,10 % ± 5,45 %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casi 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I10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1,05 % ± 3,20 %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I11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5,18 % ± 2,45 %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casi 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I12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1,94 % ± 1,16 %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  <w:tr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I13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decreciente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3,60 % ± 0,78 %</w:t>
            </w:r>
          </w:p>
        </w:tc>
        <w:tc>
          <w:tcPr>
            <w:tcW w:type="dxa" w:w="2126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monótona</w:t>
            </w:r>
          </w:p>
        </w:tc>
      </w:tr>
    </w:tbl>
    <w:p>
      <w:pPr>
        <w:pStyle w:val="Heading2"/>
        <w:spacing w:after="60" w:before="160"/>
      </w:pPr>
      <w:r>
        <w:t>D.5. Fidelidad por sustitución (3 semillas)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</w:tblGrid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Semilla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AUC original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AUC sustituido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Δ AUC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Error de curva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Máximo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42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0,7249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0,6891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+0,0358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0,0698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0,117 (I4)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123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0,7211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0,6920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+0,0291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0,0629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0,140 (I4)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256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0,7259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0,6907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+0,0353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0,0658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0,112 (I11)</w:t>
            </w:r>
          </w:p>
        </w:tc>
      </w:tr>
      <w:tr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Media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0,7240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0,6906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+0,0334 ± 0,0037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0,0662 ± 0,0035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—</w:t>
            </w:r>
          </w:p>
        </w:tc>
      </w:tr>
    </w:tbl>
    <w:p>
      <w:pPr>
        <w:pStyle w:val="Heading2"/>
        <w:spacing w:after="60" w:before="160"/>
      </w:pPr>
      <w:r>
        <w:t>D.6. Latencia antes y después de vectorizar (T4, lote 4096, 100 ejecuciones)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Configuración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Modelo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Encoder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% encoder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Filas/s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raw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2,58 ± 0,27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0,71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27,5 %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1.589.091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autodis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4,44 ± 0,13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3,61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81,4 %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923.550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kan-bspline (original)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11,08 ± 1,50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9,05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81,7 %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369.805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kan-bspline (vectorizado)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2,68 ± 0,41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0,95 ms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35,5 %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1.525.526</w:t>
            </w:r>
          </w:p>
        </w:tc>
      </w:tr>
    </w:tbl>
    <w:p>
      <w:pPr>
        <w:spacing w:after="80" w:before="0" w:line="240" w:lineRule="auto"/>
        <w:jc w:val="both"/>
      </w:pPr>
      <w:r>
        <w:rPr>
          <w:sz w:val="21"/>
        </w:rPr>
        <w:t xml:space="preserve">Equivalencia entre original y vectorizado: diferencia máxima </w:t>
      </w:r>
      <w:r>
        <w:rPr>
          <w:b/>
          <w:sz w:val="21"/>
        </w:rPr>
        <w:t>0,00·10⁰</w:t>
      </w:r>
      <w:r>
        <w:rPr>
          <w:sz w:val="21"/>
        </w:rPr>
        <w:t xml:space="preserve"> (bit a bit).</w:t>
      </w:r>
    </w:p>
    <w:p>
      <w:pPr>
        <w:pStyle w:val="Heading1"/>
        <w:spacing w:after="60" w:before="160"/>
      </w:pPr>
      <w:r>
        <w:t>Anexo E. Revisión de literatura</w:t>
      </w:r>
    </w:p>
    <w:tbl>
      <w:tblPr>
        <w:tblStyle w:val="Listaclara-nfasis11"/>
        <w:tblW w:type="auto" w:w="0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Trabajo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Publicación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Relación con KAN-REC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AutoDis</w:t>
            </w:r>
            <w:r>
              <w:rPr>
                <w:sz w:val="16"/>
              </w:rPr>
              <w:t xml:space="preserve"> — Guo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KDD 2021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Baseline directo. Discretización suave mediante meta-embeddings y atención. KAN-REC lo sustituye por una spline continua.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KAN</w:t>
            </w:r>
            <w:r>
              <w:rPr>
                <w:sz w:val="16"/>
              </w:rPr>
              <w:t xml:space="preserve"> — Liu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arXiv 2404.19756 (2024)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Formulación original de las Kolmogorov-Arnold Networks. Base teórica del encoder.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KAN 2.0</w:t>
            </w:r>
            <w:r>
              <w:rPr>
                <w:sz w:val="16"/>
              </w:rPr>
              <w:t xml:space="preserve"> — Liu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arXiv 2408.10205 (2024)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API de ajuste simbólico y regularización por entropía. Referencia procedimental de la extracción.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EfficientKAN</w:t>
            </w:r>
            <w:r>
              <w:rPr>
                <w:sz w:val="16"/>
              </w:rPr>
              <w:t xml:space="preserve"> — Blealtan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GitHub (2024)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Implementación con evaluación vectorizada de B-splines. Vendorizada en el paquete por no estar publicada en PyPI.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KarSein</w:t>
            </w:r>
            <w:r>
              <w:rPr>
                <w:sz w:val="16"/>
              </w:rPr>
              <w:t xml:space="preserve"> — Shi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arXiv 2408.08713 (2024)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Aplica KAN a la capa de </w:t>
            </w:r>
            <w:r>
              <w:rPr>
                <w:i/>
                <w:sz w:val="16"/>
              </w:rPr>
              <w:t>interacción</w:t>
            </w:r>
            <w:r>
              <w:rPr>
                <w:sz w:val="16"/>
              </w:rPr>
              <w:t xml:space="preserve"> en CTR, no a la codificación. Ortogonal a este trabajo.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CF-KAN</w:t>
            </w:r>
            <w:r>
              <w:rPr>
                <w:sz w:val="16"/>
              </w:rPr>
              <w:t xml:space="preserve"> — Yang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arXiv 2409.05633 (2024)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Autoencoder KAN para filtrado colaborativo. Sin variables numéricas ni extracción simbólica.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TabKANet</w:t>
            </w:r>
            <w:r>
              <w:rPr>
                <w:sz w:val="16"/>
              </w:rPr>
              <w:t xml:space="preserve"> — Liu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ScienceDirect (2025)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Encoder KAN para datos tabulares genéricos. No aborda recomendación ni extracción.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CoxKAN</w:t>
            </w:r>
            <w:r>
              <w:rPr>
                <w:sz w:val="16"/>
              </w:rPr>
              <w:t xml:space="preserve"> — Zhou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PMC (2025)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Extracción simbólica de KAN en análisis de supervivencia. Inspiración metodológica del pipeline de extracción.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ShapKAN</w:t>
            </w:r>
            <w:r>
              <w:rPr>
                <w:sz w:val="16"/>
              </w:rPr>
              <w:t xml:space="preserve"> — Yang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arXiv 2510.01663 (2025)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Poda por importancia basada en valores de Shapley. Alternativa al criterio por percentil, propuesta como línea futura.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b/>
                <w:sz w:val="16"/>
              </w:rPr>
              <w:t>DeepFM</w:t>
            </w:r>
            <w:r>
              <w:rPr>
                <w:sz w:val="16"/>
              </w:rPr>
              <w:t xml:space="preserve"> — Guo et al.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IJCAI 2017</w:t>
            </w:r>
          </w:p>
        </w:tc>
        <w:tc>
          <w:tcPr>
            <w:tcW w:type="dxa" w:w="2835"/>
          </w:tcPr>
          <w:p>
            <w:pPr>
              <w:spacing w:after="20" w:before="20" w:line="240" w:lineRule="auto"/>
            </w:pPr>
            <w:r>
              <w:rPr>
                <w:sz w:val="16"/>
              </w:rPr>
            </w:r>
            <w:r>
              <w:rPr>
                <w:sz w:val="16"/>
              </w:rPr>
              <w:t>Arquitectura de referencia para CTR; inspira el backbone empleado.</w:t>
            </w:r>
          </w:p>
        </w:tc>
      </w:tr>
    </w:tbl>
    <w:p>
      <w:pPr>
        <w:spacing w:after="80" w:before="0" w:line="240" w:lineRule="auto"/>
        <w:jc w:val="both"/>
      </w:pPr>
      <w:r>
        <w:rPr>
          <w:b/>
          <w:sz w:val="21"/>
        </w:rPr>
        <w:t>Posicionamiento.</w:t>
      </w:r>
      <w:r>
        <w:rPr>
          <w:sz w:val="21"/>
        </w:rPr>
        <w:t xml:space="preserve"> La combinación de encoder numérico continuo basado en KAN con extracción simbólica de la codificación, aplicada a sistemas de recomendación, no aparece en la literatura consultada. Los trabajos con KAN en recomendación (KarSein, CF-KAN) actúan sobre la interacción o el filtrado colaborativo; los que aplican extracción simbólica (CoxKAN) lo hacen en otros dominios.</w:t>
      </w:r>
    </w:p>
    <w:p>
      <w:pPr>
        <w:pStyle w:val="Heading1"/>
        <w:spacing w:after="60" w:before="160"/>
      </w:pPr>
      <w:r>
        <w:t>Anexo F. Bibliografía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Guo, H., Chen, B., Tang, R., Zhang, W., Li, Z. y He, X. (2021). </w:t>
      </w:r>
      <w:r>
        <w:rPr>
          <w:i/>
          <w:sz w:val="21"/>
        </w:rPr>
        <w:t>AutoDis: Automatic Discretization for Embedding Numerical Features in CTR Prediction.</w:t>
      </w:r>
      <w:r>
        <w:rPr>
          <w:sz w:val="21"/>
        </w:rPr>
        <w:t xml:space="preserve"> KDD 2021. arXiv:2012.08986.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Guo, H., Tang, R., Ye, Y., Li, Z. y He, X. (2017). </w:t>
      </w:r>
      <w:r>
        <w:rPr>
          <w:i/>
          <w:sz w:val="21"/>
        </w:rPr>
        <w:t>DeepFM: A Factorization-Machine based Neural Network for CTR Prediction.</w:t>
      </w:r>
      <w:r>
        <w:rPr>
          <w:sz w:val="21"/>
        </w:rPr>
        <w:t xml:space="preserve"> IJCAI 2017. arXiv:1703.04247.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Liu, Z., Wang, Y., Vaidya, S., Ruehle, F., Halverson, J., Soljačić, M., Hou, T. Y. y Tegmark, M. (2024). </w:t>
      </w:r>
      <w:r>
        <w:rPr>
          <w:i/>
          <w:sz w:val="21"/>
        </w:rPr>
        <w:t>KAN: Kolmogorov-Arnold Networks.</w:t>
      </w:r>
      <w:r>
        <w:rPr>
          <w:sz w:val="21"/>
        </w:rPr>
        <w:t xml:space="preserve"> arXiv:2404.19756.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Liu, Z., Ma, P., Wang, Y., Matusik, W. y Tegmark, M. (2024). </w:t>
      </w:r>
      <w:r>
        <w:rPr>
          <w:i/>
          <w:sz w:val="21"/>
        </w:rPr>
        <w:t>KAN 2.0: Kolmogorov-Arnold Networks Meet Science.</w:t>
      </w:r>
      <w:r>
        <w:rPr>
          <w:sz w:val="21"/>
        </w:rPr>
        <w:t xml:space="preserve"> arXiv:2408.10205.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Kolmogorov, A. N. (1957). </w:t>
      </w:r>
      <w:r>
        <w:rPr>
          <w:i/>
          <w:sz w:val="21"/>
        </w:rPr>
        <w:t>On the representation of continuous functions of many variables by superposition of continuous functions of one variable and addition.</w:t>
      </w:r>
      <w:r>
        <w:rPr>
          <w:sz w:val="21"/>
        </w:rPr>
        <w:t xml:space="preserve"> Doklady Akademii Nauk SSSR, 114, 953–956.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Blealtan (2024). </w:t>
      </w:r>
      <w:r>
        <w:rPr>
          <w:i/>
          <w:sz w:val="21"/>
        </w:rPr>
        <w:t>efficient-kan: An efficient pure-PyTorch implementation of Kolmogorov-Arnold Network.</w:t>
      </w:r>
      <w:r>
        <w:rPr>
          <w:sz w:val="21"/>
        </w:rPr>
        <w:t xml:space="preserve"> GitHub: blealtan/efficient-kan.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Shi, X. et al. (2024). </w:t>
      </w:r>
      <w:r>
        <w:rPr>
          <w:i/>
          <w:sz w:val="21"/>
        </w:rPr>
        <w:t>KarSein: Kolmogorov-Arnold Regularized Self-Interaction Network for CTR Prediction.</w:t>
      </w:r>
      <w:r>
        <w:rPr>
          <w:sz w:val="21"/>
        </w:rPr>
        <w:t xml:space="preserve"> arXiv:2408.08713.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Yang, S. et al. (2024). </w:t>
      </w:r>
      <w:r>
        <w:rPr>
          <w:i/>
          <w:sz w:val="21"/>
        </w:rPr>
        <w:t>CF-KAN: Kolmogorov-Arnold Network-based Collaborative Filtering.</w:t>
      </w:r>
      <w:r>
        <w:rPr>
          <w:sz w:val="21"/>
        </w:rPr>
        <w:t xml:space="preserve"> arXiv:2409.05633.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Yang, M. et al. (2025). </w:t>
      </w:r>
      <w:r>
        <w:rPr>
          <w:i/>
          <w:sz w:val="21"/>
        </w:rPr>
        <w:t>ShapKAN: Shapley-value based Pruning for Stable Symbolic Extraction from KANs.</w:t>
      </w:r>
      <w:r>
        <w:rPr>
          <w:sz w:val="21"/>
        </w:rPr>
        <w:t xml:space="preserve"> arXiv:2510.01663.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Zhou, C. et al. (2025). </w:t>
      </w:r>
      <w:r>
        <w:rPr>
          <w:i/>
          <w:sz w:val="21"/>
        </w:rPr>
        <w:t>CoxKAN: Kolmogorov-Arnold Networks for Interpretable, High-Performance Survival Analysis.</w:t>
      </w:r>
      <w:r>
        <w:rPr>
          <w:sz w:val="21"/>
        </w:rPr>
        <w:t xml:space="preserve"> PMC 2025.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Liu, T. et al. (2025). </w:t>
      </w:r>
      <w:r>
        <w:rPr>
          <w:i/>
          <w:sz w:val="21"/>
        </w:rPr>
        <w:t>TabKANet: Tabular Data Modelling with Kolmogorov-Arnold Networks.</w:t>
      </w:r>
      <w:r>
        <w:rPr>
          <w:sz w:val="21"/>
        </w:rPr>
        <w:t xml:space="preserve"> ScienceDirect.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Parlamento Europeo y Consejo de la Unión Europea (2024). </w:t>
      </w:r>
      <w:r>
        <w:rPr>
          <w:i/>
          <w:sz w:val="21"/>
        </w:rPr>
        <w:t>Reglamento (UE) 2024/1689 por el que se establecen normas armonizadas en materia de inteligencia artificial (Reglamento de Inteligencia Artificial).</w:t>
      </w:r>
      <w:r>
        <w:rPr>
          <w:sz w:val="21"/>
        </w:rPr>
        <w:t xml:space="preserve"> DOUE.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Criteo Labs (2014). </w:t>
      </w:r>
      <w:r>
        <w:rPr>
          <w:i/>
          <w:sz w:val="21"/>
        </w:rPr>
        <w:t>Criteo Display Advertising Challenge Dataset.</w:t>
      </w:r>
      <w:r>
        <w:rPr>
          <w:sz w:val="21"/>
        </w:rPr>
        <w:t xml:space="preserve"> Kaggle.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Lundberg, S. M. y Lee, S.-I. (2017). </w:t>
      </w:r>
      <w:r>
        <w:rPr>
          <w:i/>
          <w:sz w:val="21"/>
        </w:rPr>
        <w:t>A Unified Approach to Interpreting Model Predictions.</w:t>
      </w:r>
      <w:r>
        <w:rPr>
          <w:sz w:val="21"/>
        </w:rPr>
        <w:t xml:space="preserve"> NeurIPS 2017. (Referencia de contraste para explicabilidad post-hoc.)</w:t>
      </w:r>
    </w:p>
    <w:p>
      <w:pPr>
        <w:pStyle w:val="ListParagraph"/>
        <w:spacing w:after="80" w:before="0" w:line="240" w:lineRule="auto"/>
        <w:ind w:left="504"/>
      </w:pPr>
      <w:r>
        <w:rPr>
          <w:sz w:val="21"/>
        </w:rPr>
        <w:t xml:space="preserve">•  Ribeiro, M. T., Singh, S. y Guestrin, C. (2016). </w:t>
      </w:r>
      <w:r>
        <w:rPr>
          <w:i/>
          <w:sz w:val="21"/>
        </w:rPr>
        <w:t>"Why Should I Trust You?": Explaining the Predictions of Any Classifier.</w:t>
      </w:r>
      <w:r>
        <w:rPr>
          <w:sz w:val="21"/>
        </w:rPr>
        <w:t xml:space="preserve"> KDD 2016. (Ídem.)</w:t>
      </w:r>
    </w:p>
    <w:sectPr w:rsidR="00580A25">
      <w:headerReference w:type="default" r:id="rId12"/>
      <w:footerReference w:type="default" r:id="rId13"/>
      <w:pgSz w:w="11906" w:h="16838"/>
      <w:pgMar w:top="1134" w:right="1247" w:bottom="1134" w:left="1247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1006" w:rsidRDefault="00AF1006">
      <w:pPr>
        <w:spacing w:after="0" w:line="240" w:lineRule="auto"/>
      </w:pPr>
      <w:r>
        <w:separator/>
      </w:r>
    </w:p>
  </w:endnote>
  <w:endnote w:type="continuationSeparator" w:id="0">
    <w:p w:rsidR="00AF1006" w:rsidRDefault="00AF1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A25" w:rsidRDefault="00580A25">
    <w:pPr>
      <w:widowControl w:val="0"/>
      <w:spacing w:after="0"/>
      <w:jc w:val="left"/>
    </w:pPr>
  </w:p>
  <w:tbl>
    <w:tblPr>
      <w:tblStyle w:val="a6"/>
      <w:tblW w:w="8730" w:type="dxa"/>
      <w:tblInd w:w="-108" w:type="dxa"/>
      <w:tblBorders>
        <w:top w:val="single" w:sz="18" w:space="0" w:color="808080"/>
        <w:left w:val="nil"/>
        <w:bottom w:val="nil"/>
        <w:right w:val="nil"/>
        <w:insideH w:val="nil"/>
        <w:insideV w:val="single" w:sz="18" w:space="0" w:color="808080"/>
      </w:tblBorders>
      <w:tblLayout w:type="fixed"/>
      <w:tblLook w:val="0000" w:firstRow="0" w:lastRow="0" w:firstColumn="0" w:lastColumn="0" w:noHBand="0" w:noVBand="0"/>
    </w:tblPr>
    <w:tblGrid>
      <w:gridCol w:w="1455"/>
      <w:gridCol w:w="7275"/>
    </w:tblGrid>
    <w:sdt>
      <w:sdtPr>
        <w:rPr>
          <w:color w:val="auto"/>
        </w:rPr>
        <w:tag w:val="goog_rdk_0"/>
        <w:id w:val="-3211628"/>
        <w:lock w:val="contentLocked"/>
      </w:sdtPr>
      <w:sdtEndPr/>
      <w:sdtContent>
        <w:tr w:rsidR="00580A25">
          <w:trPr>
            <w:trHeight w:val="903"/>
          </w:trPr>
          <w:tc>
            <w:tcPr>
              <w:tcW w:w="1455" w:type="dxa"/>
              <w:tcBorders>
                <w:top w:val="single" w:sz="4" w:space="0" w:color="000000"/>
                <w:right w:val="single" w:sz="18" w:space="0" w:color="FFFFFF"/>
              </w:tcBorders>
            </w:tcPr>
            <w:p w:rsidR="00580A25" w:rsidRDefault="00AF1006">
              <w:pPr>
                <w:jc w:val="left"/>
                <w:rPr>
                  <w:color w:val="4F81BD"/>
                  <w:sz w:val="32"/>
                  <w:szCs w:val="32"/>
                </w:rPr>
              </w:pPr>
              <w:r>
                <w:rPr>
                  <w:noProof/>
                  <w:lang w:eastAsia="es-ES"/>
                </w:rPr>
                <w:drawing>
                  <wp:inline distT="0" distB="0" distL="114300" distR="114300">
                    <wp:extent cx="947004" cy="461665"/>
                    <wp:effectExtent l="25400" t="25400" r="25400" b="25400"/>
                    <wp:docPr id="1217661470" name="image1.png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age1.png"/>
                            <pic:cNvPicPr preferRelativeResize="0"/>
                          </pic:nvPicPr>
                          <pic:blipFill>
                            <a:blip r:embed="rId1"/>
                            <a:srcRect t="15323" b="13528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47004" cy="461665"/>
                            </a:xfrm>
                            <a:prstGeom prst="rect">
                              <a:avLst/>
                            </a:prstGeom>
                            <a:ln w="25400">
                              <a:solidFill>
                                <a:srgbClr val="FFFFFF"/>
                              </a:solidFill>
                              <a:prstDash val="solid"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tc>
          <w:tc>
            <w:tcPr>
              <w:tcW w:w="7275" w:type="dxa"/>
              <w:tcBorders>
                <w:top w:val="single" w:sz="4" w:space="0" w:color="000000"/>
                <w:left w:val="single" w:sz="18" w:space="0" w:color="FFFFFF"/>
              </w:tcBorders>
            </w:tcPr>
            <w:p w:rsidR="00580A25" w:rsidRDefault="00580A25">
              <w:pPr>
                <w:jc w:val="right"/>
              </w:pPr>
            </w:p>
            <w:p w:rsidR="00580A25" w:rsidRDefault="00AF1006">
              <w:pPr>
                <w:jc w:val="right"/>
              </w:pPr>
              <w:r>
                <w:fldChar w:fldCharType="begin"/>
              </w:r>
              <w:r>
                <w:instrText>PAGE</w:instrText>
              </w:r>
              <w:r>
                <w:fldChar w:fldCharType="end"/>
              </w:r>
            </w:p>
          </w:tc>
        </w:tr>
      </w:sdtContent>
    </w:sdt>
  </w:tbl>
  <w:p w:rsidR="00580A25" w:rsidRDefault="00580A25">
    <w:pPr>
      <w:spacing w:after="0" w:line="240" w:lineRule="auto"/>
    </w:pPr>
  </w:p>
  <w:p w:rsidR="00580A25" w:rsidRDefault="00580A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1006" w:rsidRDefault="00AF1006">
      <w:pPr>
        <w:spacing w:after="0" w:line="240" w:lineRule="auto"/>
      </w:pPr>
      <w:r>
        <w:separator/>
      </w:r>
    </w:p>
  </w:footnote>
  <w:footnote w:type="continuationSeparator" w:id="0">
    <w:p w:rsidR="00AF1006" w:rsidRDefault="00AF10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A25" w:rsidRDefault="00AF1006">
    <w:pPr>
      <w:spacing w:after="0" w:line="240" w:lineRule="auto"/>
      <w:jc w:val="left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page">
            <wp:posOffset>1099185</wp:posOffset>
          </wp:positionH>
          <wp:positionV relativeFrom="page">
            <wp:posOffset>467870</wp:posOffset>
          </wp:positionV>
          <wp:extent cx="1572577" cy="407114"/>
          <wp:effectExtent l="0" t="0" r="0" b="0"/>
          <wp:wrapSquare wrapText="bothSides" distT="0" distB="0" distL="114300" distR="114300"/>
          <wp:docPr id="1217661468" name="image2.jpg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ext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72577" cy="40711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5"/>
      <w:tblW w:w="8505" w:type="dxa"/>
      <w:jc w:val="right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8505"/>
    </w:tblGrid>
    <w:tr w:rsidR="00580A25">
      <w:trPr>
        <w:trHeight w:val="495"/>
        <w:jc w:val="right"/>
      </w:trPr>
      <w:tc>
        <w:tcPr>
          <w:tcW w:w="8505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:rsidR="00580A25" w:rsidRDefault="00AF1006">
          <w:pPr>
            <w:jc w:val="right"/>
          </w:pPr>
          <w:r>
            <w:rPr>
              <w:sz w:val="16"/>
            </w:rPr>
            <w:t>KAN-REC · Anexos TFM · Pedro A. Martínez Sánchez</w:t>
          </w:r>
        </w:p>
      </w:tc>
    </w:tr>
  </w:tbl>
  <w:p w:rsidR="00580A25" w:rsidRDefault="00580A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580A25" w:rsidRDefault="00580A2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B6315F"/>
    <w:multiLevelType w:val="multilevel"/>
    <w:tmpl w:val="71C86B7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</w:lvl>
    <w:lvl w:ilvl="2">
      <w:start w:val="1"/>
      <w:numFmt w:val="decimal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right"/>
      <w:pPr>
        <w:ind w:left="2880" w:hanging="360"/>
      </w:pPr>
    </w:lvl>
    <w:lvl w:ilvl="4">
      <w:start w:val="1"/>
      <w:numFmt w:val="decimal"/>
      <w:lvlText w:val="%1.%2.%3.%4.%5."/>
      <w:lvlJc w:val="right"/>
      <w:pPr>
        <w:ind w:left="3600" w:hanging="360"/>
      </w:pPr>
    </w:lvl>
    <w:lvl w:ilvl="5">
      <w:start w:val="1"/>
      <w:numFmt w:val="decimal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right"/>
      <w:pPr>
        <w:ind w:left="5040" w:hanging="360"/>
      </w:pPr>
    </w:lvl>
    <w:lvl w:ilvl="7">
      <w:start w:val="1"/>
      <w:numFmt w:val="decimal"/>
      <w:lvlText w:val="%1.%2.%3.%4.%5.%6.%7.%8."/>
      <w:lvlJc w:val="right"/>
      <w:pPr>
        <w:ind w:left="5760" w:hanging="360"/>
      </w:pPr>
    </w:lvl>
    <w:lvl w:ilvl="8">
      <w:start w:val="1"/>
      <w:numFmt w:val="decimal"/>
      <w:lvlText w:val="%1.%2.%3.%4.%5.%6.%7.%8.%9."/>
      <w:lvlJc w:val="right"/>
      <w:pPr>
        <w:ind w:left="6480" w:hanging="180"/>
      </w:pPr>
    </w:lvl>
  </w:abstractNum>
  <w:abstractNum w:abstractNumId="1">
    <w:nsid w:val="7D381B9B"/>
    <w:multiLevelType w:val="multilevel"/>
    <w:tmpl w:val="7C12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80A25"/>
    <w:rsid w:val="00580A25"/>
    <w:rsid w:val="00AF1006"/>
    <w:rsid w:val="00E0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ebuchet MS" w:eastAsia="Trebuchet MS" w:hAnsi="Trebuchet MS" w:cs="Trebuchet MS"/>
        <w:sz w:val="22"/>
        <w:szCs w:val="22"/>
        <w:lang w:val="es-ES" w:eastAsia="es-E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2E4"/>
    <w:rPr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4D37"/>
    <w:pPr>
      <w:keepNext/>
      <w:keepLines/>
      <w:pageBreakBefore/>
      <w:tabs>
        <w:tab w:val="num" w:pos="720"/>
      </w:tabs>
      <w:spacing w:before="480" w:after="240"/>
      <w:ind w:left="720" w:hanging="720"/>
      <w:jc w:val="left"/>
      <w:outlineLvl w:val="0"/>
    </w:pPr>
    <w:rPr>
      <w:rFonts w:eastAsia="Times New Roman"/>
      <w:b/>
      <w:bCs/>
      <w:color w:val="FF860D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11AD8"/>
    <w:pPr>
      <w:keepNext/>
      <w:keepLines/>
      <w:spacing w:before="240" w:after="120"/>
      <w:outlineLvl w:val="1"/>
    </w:pPr>
    <w:rPr>
      <w:rFonts w:eastAsia="Times New Roman"/>
      <w:b/>
      <w:bCs/>
      <w:cap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771EC"/>
    <w:pPr>
      <w:keepNext/>
      <w:keepLines/>
      <w:spacing w:before="32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350C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3603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6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03C"/>
  </w:style>
  <w:style w:type="paragraph" w:styleId="Footer">
    <w:name w:val="footer"/>
    <w:basedOn w:val="Normal"/>
    <w:link w:val="FooterChar"/>
    <w:uiPriority w:val="99"/>
    <w:unhideWhenUsed/>
    <w:rsid w:val="00636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03C"/>
  </w:style>
  <w:style w:type="character" w:styleId="PlaceholderText">
    <w:name w:val="Placeholder Text"/>
    <w:uiPriority w:val="99"/>
    <w:semiHidden/>
    <w:rsid w:val="005F4936"/>
    <w:rPr>
      <w:color w:val="808080"/>
    </w:rPr>
  </w:style>
  <w:style w:type="character" w:customStyle="1" w:styleId="Heading1Char">
    <w:name w:val="Heading 1 Char"/>
    <w:link w:val="Heading1"/>
    <w:uiPriority w:val="9"/>
    <w:rsid w:val="00A94D37"/>
    <w:rPr>
      <w:rFonts w:eastAsia="Times New Roman"/>
      <w:b/>
      <w:bCs/>
      <w:color w:val="FF860D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846E5"/>
    <w:pPr>
      <w:outlineLvl w:val="9"/>
    </w:pPr>
  </w:style>
  <w:style w:type="character" w:customStyle="1" w:styleId="Heading2Char">
    <w:name w:val="Heading 2 Char"/>
    <w:link w:val="Heading2"/>
    <w:uiPriority w:val="9"/>
    <w:rsid w:val="00611AD8"/>
    <w:rPr>
      <w:rFonts w:ascii="Trebuchet MS" w:eastAsia="Times New Roman" w:hAnsi="Trebuchet MS" w:cs="Times New Roman"/>
      <w:b/>
      <w:bCs/>
      <w:caps/>
      <w:color w:val="1F497D"/>
      <w:sz w:val="26"/>
      <w:szCs w:val="26"/>
    </w:rPr>
  </w:style>
  <w:style w:type="character" w:customStyle="1" w:styleId="Heading3Char">
    <w:name w:val="Heading 3 Char"/>
    <w:link w:val="Heading3"/>
    <w:uiPriority w:val="9"/>
    <w:rsid w:val="00C771EC"/>
    <w:rPr>
      <w:rFonts w:ascii="Trebuchet MS" w:eastAsia="Times New Roman" w:hAnsi="Trebuchet MS" w:cs="Times New Roman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4502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02E4"/>
    <w:pPr>
      <w:spacing w:after="100"/>
      <w:ind w:left="220"/>
    </w:pPr>
  </w:style>
  <w:style w:type="character" w:styleId="Hyperlink">
    <w:name w:val="Hyperlink"/>
    <w:uiPriority w:val="99"/>
    <w:unhideWhenUsed/>
    <w:rsid w:val="004502E4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2B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712BD9"/>
    <w:rPr>
      <w:rFonts w:ascii="Trebuchet MS" w:hAnsi="Trebuchet MS"/>
      <w:sz w:val="20"/>
      <w:szCs w:val="20"/>
    </w:rPr>
  </w:style>
  <w:style w:type="character" w:styleId="EndnoteReference">
    <w:name w:val="endnote reference"/>
    <w:uiPriority w:val="99"/>
    <w:semiHidden/>
    <w:unhideWhenUsed/>
    <w:rsid w:val="00712BD9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712BD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712BD9"/>
    <w:rPr>
      <w:rFonts w:ascii="Trebuchet MS" w:hAnsi="Trebuchet MS"/>
      <w:sz w:val="20"/>
      <w:szCs w:val="20"/>
    </w:rPr>
  </w:style>
  <w:style w:type="character" w:styleId="FootnoteReference">
    <w:name w:val="footnote reference"/>
    <w:semiHidden/>
    <w:unhideWhenUsed/>
    <w:rsid w:val="00712BD9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B91D79"/>
    <w:pPr>
      <w:spacing w:line="240" w:lineRule="auto"/>
      <w:jc w:val="center"/>
    </w:pPr>
    <w:rPr>
      <w:bCs/>
      <w:color w:val="4F81BD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12BD9"/>
    <w:pPr>
      <w:spacing w:after="0"/>
    </w:pPr>
  </w:style>
  <w:style w:type="paragraph" w:styleId="ListParagraph">
    <w:name w:val="List Paragraph"/>
    <w:basedOn w:val="Normal"/>
    <w:link w:val="ListParagraphChar"/>
    <w:uiPriority w:val="1"/>
    <w:qFormat/>
    <w:rsid w:val="00712BD9"/>
    <w:pPr>
      <w:ind w:left="720"/>
      <w:contextualSpacing/>
    </w:pPr>
  </w:style>
  <w:style w:type="table" w:styleId="TableGrid">
    <w:name w:val="Table Grid"/>
    <w:basedOn w:val="TableNormal"/>
    <w:uiPriority w:val="59"/>
    <w:rsid w:val="00B0735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Vietanmero">
    <w:name w:val="Viñeta número"/>
    <w:basedOn w:val="ListParagraph"/>
    <w:link w:val="VietanmeroCar1"/>
    <w:autoRedefine/>
    <w:qFormat/>
    <w:rsid w:val="00C771EC"/>
    <w:pPr>
      <w:spacing w:before="200"/>
      <w:ind w:hanging="360"/>
      <w:contextualSpacing w:val="0"/>
    </w:pPr>
  </w:style>
  <w:style w:type="table" w:customStyle="1" w:styleId="Listaclara-nfasis11">
    <w:name w:val="Lista clara - Énfasis 11"/>
    <w:basedOn w:val="TableNormal"/>
    <w:uiPriority w:val="61"/>
    <w:rsid w:val="0048325E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3325A8"/>
    <w:rPr>
      <w:rFonts w:ascii="Trebuchet MS" w:hAnsi="Trebuchet MS"/>
    </w:rPr>
  </w:style>
  <w:style w:type="character" w:customStyle="1" w:styleId="VietanmeroCar">
    <w:name w:val="Viñeta número Car"/>
    <w:rsid w:val="003325A8"/>
    <w:rPr>
      <w:rFonts w:ascii="Trebuchet MS" w:hAnsi="Trebuchet MS"/>
    </w:rPr>
  </w:style>
  <w:style w:type="table" w:styleId="ColorfulShading-Accent1">
    <w:name w:val="Colorful Shading Accent 1"/>
    <w:basedOn w:val="TableNormal"/>
    <w:uiPriority w:val="71"/>
    <w:rsid w:val="007452C8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customStyle="1" w:styleId="VietanmeroCar1">
    <w:name w:val="Viñeta número Car1"/>
    <w:basedOn w:val="ListParagraphChar"/>
    <w:link w:val="Vietanmero"/>
    <w:rsid w:val="00C771EC"/>
    <w:rPr>
      <w:rFonts w:ascii="Trebuchet MS" w:hAnsi="Trebuchet MS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C771EC"/>
    <w:pPr>
      <w:spacing w:after="100"/>
      <w:ind w:left="440"/>
    </w:pPr>
  </w:style>
  <w:style w:type="table" w:styleId="MediumGrid1-Accent3">
    <w:name w:val="Medium Grid 1 Accent 3"/>
    <w:basedOn w:val="TableNormal"/>
    <w:uiPriority w:val="67"/>
    <w:rsid w:val="00E903E4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1">
    <w:name w:val="Medium Grid 1 Accent 1"/>
    <w:basedOn w:val="TableNormal"/>
    <w:uiPriority w:val="67"/>
    <w:rsid w:val="00B5676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Sombreadomedio1-nfasis11">
    <w:name w:val="Sombreado medio 1 - Énfasis 11"/>
    <w:basedOn w:val="TableNormal"/>
    <w:uiPriority w:val="63"/>
    <w:rsid w:val="00B5676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staclara-nfasis12">
    <w:name w:val="Lista clara - Énfasis 12"/>
    <w:basedOn w:val="TableNormal"/>
    <w:uiPriority w:val="61"/>
    <w:rsid w:val="000F13F7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180D51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B84310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Emphasis">
    <w:name w:val="Emphasis"/>
    <w:uiPriority w:val="20"/>
    <w:qFormat/>
    <w:rsid w:val="0071288C"/>
    <w:rPr>
      <w:i/>
      <w:iCs/>
    </w:rPr>
  </w:style>
  <w:style w:type="character" w:customStyle="1" w:styleId="apple-converted-space">
    <w:name w:val="apple-converted-space"/>
    <w:basedOn w:val="DefaultParagraphFont"/>
    <w:rsid w:val="002B6ABD"/>
  </w:style>
  <w:style w:type="paragraph" w:styleId="NormalWeb">
    <w:name w:val="Normal (Web)"/>
    <w:basedOn w:val="Normal"/>
    <w:uiPriority w:val="99"/>
    <w:unhideWhenUsed/>
    <w:rsid w:val="00474CD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Strong">
    <w:name w:val="Strong"/>
    <w:uiPriority w:val="22"/>
    <w:qFormat/>
    <w:rsid w:val="004F075B"/>
    <w:rPr>
      <w:b/>
      <w:bCs/>
    </w:rPr>
  </w:style>
  <w:style w:type="character" w:styleId="FollowedHyperlink">
    <w:name w:val="FollowedHyperlink"/>
    <w:uiPriority w:val="99"/>
    <w:semiHidden/>
    <w:unhideWhenUsed/>
    <w:rsid w:val="00BE5175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B0456E"/>
    <w:rPr>
      <w:rFonts w:eastAsia="Times New Roman"/>
      <w:lang w:val="en-US" w:eastAsia="en-US"/>
    </w:rPr>
  </w:style>
  <w:style w:type="character" w:customStyle="1" w:styleId="NoSpacingChar">
    <w:name w:val="No Spacing Char"/>
    <w:link w:val="NoSpacing"/>
    <w:uiPriority w:val="1"/>
    <w:rsid w:val="00B0456E"/>
    <w:rPr>
      <w:rFonts w:eastAsia="Times New Roman"/>
      <w:lang w:val="en-US"/>
    </w:rPr>
  </w:style>
  <w:style w:type="character" w:customStyle="1" w:styleId="UnresolvedMention">
    <w:name w:val="Unresolved Mention"/>
    <w:uiPriority w:val="99"/>
    <w:semiHidden/>
    <w:unhideWhenUsed/>
    <w:rsid w:val="0010030E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0C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AF350C"/>
    <w:rPr>
      <w:rFonts w:ascii="Trebuchet MS" w:hAnsi="Trebuchet MS"/>
      <w:i/>
      <w:iCs/>
      <w:color w:val="4472C4"/>
      <w:sz w:val="22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AF350C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AF350C"/>
    <w:rPr>
      <w:rFonts w:ascii="Trebuchet MS" w:hAnsi="Trebuchet MS"/>
      <w:i/>
      <w:iCs/>
      <w:color w:val="404040"/>
      <w:sz w:val="22"/>
      <w:szCs w:val="22"/>
      <w:lang w:eastAsia="en-US"/>
    </w:rPr>
  </w:style>
  <w:style w:type="character" w:styleId="IntenseEmphasis">
    <w:name w:val="Intense Emphasis"/>
    <w:uiPriority w:val="21"/>
    <w:qFormat/>
    <w:rsid w:val="00AF350C"/>
    <w:rPr>
      <w:i/>
      <w:iCs/>
      <w:color w:val="4472C4"/>
    </w:rPr>
  </w:style>
  <w:style w:type="character" w:customStyle="1" w:styleId="TitleChar">
    <w:name w:val="Title Char"/>
    <w:link w:val="Title"/>
    <w:uiPriority w:val="10"/>
    <w:rsid w:val="00AF350C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A94D37"/>
    <w:pPr>
      <w:widowControl w:val="0"/>
      <w:autoSpaceDE w:val="0"/>
      <w:autoSpaceDN w:val="0"/>
      <w:spacing w:after="0" w:line="240" w:lineRule="auto"/>
      <w:ind w:left="2261"/>
    </w:pPr>
    <w:rPr>
      <w:rFonts w:ascii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4D37"/>
    <w:rPr>
      <w:rFonts w:cs="Calibri"/>
      <w:sz w:val="24"/>
      <w:szCs w:val="24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rebuchet MS" w:eastAsia="Trebuchet MS" w:hAnsi="Trebuchet MS" w:cs="Trebuchet MS"/>
        <w:sz w:val="22"/>
        <w:szCs w:val="22"/>
        <w:lang w:val="es-ES" w:eastAsia="es-E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02E4"/>
    <w:rPr>
      <w:lang w:eastAsia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4D37"/>
    <w:pPr>
      <w:keepNext/>
      <w:keepLines/>
      <w:pageBreakBefore/>
      <w:tabs>
        <w:tab w:val="num" w:pos="720"/>
      </w:tabs>
      <w:spacing w:before="480" w:after="240"/>
      <w:ind w:left="720" w:hanging="720"/>
      <w:jc w:val="left"/>
      <w:outlineLvl w:val="0"/>
    </w:pPr>
    <w:rPr>
      <w:rFonts w:eastAsia="Times New Roman"/>
      <w:b/>
      <w:bCs/>
      <w:color w:val="FF860D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11AD8"/>
    <w:pPr>
      <w:keepNext/>
      <w:keepLines/>
      <w:spacing w:before="240" w:after="120"/>
      <w:outlineLvl w:val="1"/>
    </w:pPr>
    <w:rPr>
      <w:rFonts w:eastAsia="Times New Roman"/>
      <w:b/>
      <w:bCs/>
      <w:caps/>
      <w:color w:val="1F497D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771EC"/>
    <w:pPr>
      <w:keepNext/>
      <w:keepLines/>
      <w:spacing w:before="320"/>
      <w:outlineLvl w:val="2"/>
    </w:pPr>
    <w:rPr>
      <w:rFonts w:eastAsia="Times New Roman"/>
      <w:b/>
      <w:bCs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F350C"/>
    <w:pPr>
      <w:spacing w:before="240" w:after="60"/>
      <w:jc w:val="center"/>
      <w:outlineLvl w:val="0"/>
    </w:pPr>
    <w:rPr>
      <w:rFonts w:ascii="Calibri Light" w:eastAsia="Times New Roman" w:hAnsi="Calibri Light"/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3603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6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03C"/>
  </w:style>
  <w:style w:type="paragraph" w:styleId="Footer">
    <w:name w:val="footer"/>
    <w:basedOn w:val="Normal"/>
    <w:link w:val="FooterChar"/>
    <w:uiPriority w:val="99"/>
    <w:unhideWhenUsed/>
    <w:rsid w:val="006360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03C"/>
  </w:style>
  <w:style w:type="character" w:styleId="PlaceholderText">
    <w:name w:val="Placeholder Text"/>
    <w:uiPriority w:val="99"/>
    <w:semiHidden/>
    <w:rsid w:val="005F4936"/>
    <w:rPr>
      <w:color w:val="808080"/>
    </w:rPr>
  </w:style>
  <w:style w:type="character" w:customStyle="1" w:styleId="Heading1Char">
    <w:name w:val="Heading 1 Char"/>
    <w:link w:val="Heading1"/>
    <w:uiPriority w:val="9"/>
    <w:rsid w:val="00A94D37"/>
    <w:rPr>
      <w:rFonts w:eastAsia="Times New Roman"/>
      <w:b/>
      <w:bCs/>
      <w:color w:val="FF860D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846E5"/>
    <w:pPr>
      <w:outlineLvl w:val="9"/>
    </w:pPr>
  </w:style>
  <w:style w:type="character" w:customStyle="1" w:styleId="Heading2Char">
    <w:name w:val="Heading 2 Char"/>
    <w:link w:val="Heading2"/>
    <w:uiPriority w:val="9"/>
    <w:rsid w:val="00611AD8"/>
    <w:rPr>
      <w:rFonts w:ascii="Trebuchet MS" w:eastAsia="Times New Roman" w:hAnsi="Trebuchet MS" w:cs="Times New Roman"/>
      <w:b/>
      <w:bCs/>
      <w:caps/>
      <w:color w:val="1F497D"/>
      <w:sz w:val="26"/>
      <w:szCs w:val="26"/>
    </w:rPr>
  </w:style>
  <w:style w:type="character" w:customStyle="1" w:styleId="Heading3Char">
    <w:name w:val="Heading 3 Char"/>
    <w:link w:val="Heading3"/>
    <w:uiPriority w:val="9"/>
    <w:rsid w:val="00C771EC"/>
    <w:rPr>
      <w:rFonts w:ascii="Trebuchet MS" w:eastAsia="Times New Roman" w:hAnsi="Trebuchet MS" w:cs="Times New Roman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4502E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02E4"/>
    <w:pPr>
      <w:spacing w:after="100"/>
      <w:ind w:left="220"/>
    </w:pPr>
  </w:style>
  <w:style w:type="character" w:styleId="Hyperlink">
    <w:name w:val="Hyperlink"/>
    <w:uiPriority w:val="99"/>
    <w:unhideWhenUsed/>
    <w:rsid w:val="004502E4"/>
    <w:rPr>
      <w:color w:val="0000FF"/>
      <w:u w:val="single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12BD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712BD9"/>
    <w:rPr>
      <w:rFonts w:ascii="Trebuchet MS" w:hAnsi="Trebuchet MS"/>
      <w:sz w:val="20"/>
      <w:szCs w:val="20"/>
    </w:rPr>
  </w:style>
  <w:style w:type="character" w:styleId="EndnoteReference">
    <w:name w:val="endnote reference"/>
    <w:uiPriority w:val="99"/>
    <w:semiHidden/>
    <w:unhideWhenUsed/>
    <w:rsid w:val="00712BD9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712BD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712BD9"/>
    <w:rPr>
      <w:rFonts w:ascii="Trebuchet MS" w:hAnsi="Trebuchet MS"/>
      <w:sz w:val="20"/>
      <w:szCs w:val="20"/>
    </w:rPr>
  </w:style>
  <w:style w:type="character" w:styleId="FootnoteReference">
    <w:name w:val="footnote reference"/>
    <w:semiHidden/>
    <w:unhideWhenUsed/>
    <w:rsid w:val="00712BD9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B91D79"/>
    <w:pPr>
      <w:spacing w:line="240" w:lineRule="auto"/>
      <w:jc w:val="center"/>
    </w:pPr>
    <w:rPr>
      <w:bCs/>
      <w:color w:val="4F81BD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712BD9"/>
    <w:pPr>
      <w:spacing w:after="0"/>
    </w:pPr>
  </w:style>
  <w:style w:type="paragraph" w:styleId="ListParagraph">
    <w:name w:val="List Paragraph"/>
    <w:basedOn w:val="Normal"/>
    <w:link w:val="ListParagraphChar"/>
    <w:uiPriority w:val="1"/>
    <w:qFormat/>
    <w:rsid w:val="00712BD9"/>
    <w:pPr>
      <w:ind w:left="720"/>
      <w:contextualSpacing/>
    </w:pPr>
  </w:style>
  <w:style w:type="table" w:styleId="TableGrid">
    <w:name w:val="Table Grid"/>
    <w:basedOn w:val="TableNormal"/>
    <w:uiPriority w:val="59"/>
    <w:rsid w:val="00B0735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Vietanmero">
    <w:name w:val="Viñeta número"/>
    <w:basedOn w:val="ListParagraph"/>
    <w:link w:val="VietanmeroCar1"/>
    <w:autoRedefine/>
    <w:qFormat/>
    <w:rsid w:val="00C771EC"/>
    <w:pPr>
      <w:spacing w:before="200"/>
      <w:ind w:hanging="360"/>
      <w:contextualSpacing w:val="0"/>
    </w:pPr>
  </w:style>
  <w:style w:type="table" w:customStyle="1" w:styleId="Listaclara-nfasis11">
    <w:name w:val="Lista clara - Énfasis 11"/>
    <w:basedOn w:val="TableNormal"/>
    <w:uiPriority w:val="61"/>
    <w:rsid w:val="0048325E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ListParagraphChar">
    <w:name w:val="List Paragraph Char"/>
    <w:link w:val="ListParagraph"/>
    <w:uiPriority w:val="34"/>
    <w:rsid w:val="003325A8"/>
    <w:rPr>
      <w:rFonts w:ascii="Trebuchet MS" w:hAnsi="Trebuchet MS"/>
    </w:rPr>
  </w:style>
  <w:style w:type="character" w:customStyle="1" w:styleId="VietanmeroCar">
    <w:name w:val="Viñeta número Car"/>
    <w:rsid w:val="003325A8"/>
    <w:rPr>
      <w:rFonts w:ascii="Trebuchet MS" w:hAnsi="Trebuchet MS"/>
    </w:rPr>
  </w:style>
  <w:style w:type="table" w:styleId="ColorfulShading-Accent1">
    <w:name w:val="Colorful Shading Accent 1"/>
    <w:basedOn w:val="TableNormal"/>
    <w:uiPriority w:val="71"/>
    <w:rsid w:val="007452C8"/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character" w:customStyle="1" w:styleId="VietanmeroCar1">
    <w:name w:val="Viñeta número Car1"/>
    <w:basedOn w:val="ListParagraphChar"/>
    <w:link w:val="Vietanmero"/>
    <w:rsid w:val="00C771EC"/>
    <w:rPr>
      <w:rFonts w:ascii="Trebuchet MS" w:hAnsi="Trebuchet MS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C771EC"/>
    <w:pPr>
      <w:spacing w:after="100"/>
      <w:ind w:left="440"/>
    </w:pPr>
  </w:style>
  <w:style w:type="table" w:styleId="MediumGrid1-Accent3">
    <w:name w:val="Medium Grid 1 Accent 3"/>
    <w:basedOn w:val="TableNormal"/>
    <w:uiPriority w:val="67"/>
    <w:rsid w:val="00E903E4"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1">
    <w:name w:val="Medium Grid 1 Accent 1"/>
    <w:basedOn w:val="TableNormal"/>
    <w:uiPriority w:val="67"/>
    <w:rsid w:val="00B5676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Sombreadomedio1-nfasis11">
    <w:name w:val="Sombreado medio 1 - Énfasis 11"/>
    <w:basedOn w:val="TableNormal"/>
    <w:uiPriority w:val="63"/>
    <w:rsid w:val="00B56762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staclara-nfasis12">
    <w:name w:val="Lista clara - Énfasis 12"/>
    <w:basedOn w:val="TableNormal"/>
    <w:uiPriority w:val="61"/>
    <w:rsid w:val="000F13F7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180D51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2">
    <w:name w:val="Light List Accent 2"/>
    <w:basedOn w:val="TableNormal"/>
    <w:uiPriority w:val="61"/>
    <w:rsid w:val="00B84310"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Emphasis">
    <w:name w:val="Emphasis"/>
    <w:uiPriority w:val="20"/>
    <w:qFormat/>
    <w:rsid w:val="0071288C"/>
    <w:rPr>
      <w:i/>
      <w:iCs/>
    </w:rPr>
  </w:style>
  <w:style w:type="character" w:customStyle="1" w:styleId="apple-converted-space">
    <w:name w:val="apple-converted-space"/>
    <w:basedOn w:val="DefaultParagraphFont"/>
    <w:rsid w:val="002B6ABD"/>
  </w:style>
  <w:style w:type="paragraph" w:styleId="NormalWeb">
    <w:name w:val="Normal (Web)"/>
    <w:basedOn w:val="Normal"/>
    <w:uiPriority w:val="99"/>
    <w:unhideWhenUsed/>
    <w:rsid w:val="00474CD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Strong">
    <w:name w:val="Strong"/>
    <w:uiPriority w:val="22"/>
    <w:qFormat/>
    <w:rsid w:val="004F075B"/>
    <w:rPr>
      <w:b/>
      <w:bCs/>
    </w:rPr>
  </w:style>
  <w:style w:type="character" w:styleId="FollowedHyperlink">
    <w:name w:val="FollowedHyperlink"/>
    <w:uiPriority w:val="99"/>
    <w:semiHidden/>
    <w:unhideWhenUsed/>
    <w:rsid w:val="00BE5175"/>
    <w:rPr>
      <w:color w:val="800080"/>
      <w:u w:val="single"/>
    </w:rPr>
  </w:style>
  <w:style w:type="paragraph" w:styleId="NoSpacing">
    <w:name w:val="No Spacing"/>
    <w:link w:val="NoSpacingChar"/>
    <w:uiPriority w:val="1"/>
    <w:qFormat/>
    <w:rsid w:val="00B0456E"/>
    <w:rPr>
      <w:rFonts w:eastAsia="Times New Roman"/>
      <w:lang w:val="en-US" w:eastAsia="en-US"/>
    </w:rPr>
  </w:style>
  <w:style w:type="character" w:customStyle="1" w:styleId="NoSpacingChar">
    <w:name w:val="No Spacing Char"/>
    <w:link w:val="NoSpacing"/>
    <w:uiPriority w:val="1"/>
    <w:rsid w:val="00B0456E"/>
    <w:rPr>
      <w:rFonts w:eastAsia="Times New Roman"/>
      <w:lang w:val="en-US"/>
    </w:rPr>
  </w:style>
  <w:style w:type="character" w:customStyle="1" w:styleId="UnresolvedMention">
    <w:name w:val="Unresolved Mention"/>
    <w:uiPriority w:val="99"/>
    <w:semiHidden/>
    <w:unhideWhenUsed/>
    <w:rsid w:val="0010030E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50C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eQuoteChar">
    <w:name w:val="Intense Quote Char"/>
    <w:link w:val="IntenseQuote"/>
    <w:uiPriority w:val="30"/>
    <w:rsid w:val="00AF350C"/>
    <w:rPr>
      <w:rFonts w:ascii="Trebuchet MS" w:hAnsi="Trebuchet MS"/>
      <w:i/>
      <w:iCs/>
      <w:color w:val="4472C4"/>
      <w:sz w:val="22"/>
      <w:szCs w:val="22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AF350C"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AF350C"/>
    <w:rPr>
      <w:rFonts w:ascii="Trebuchet MS" w:hAnsi="Trebuchet MS"/>
      <w:i/>
      <w:iCs/>
      <w:color w:val="404040"/>
      <w:sz w:val="22"/>
      <w:szCs w:val="22"/>
      <w:lang w:eastAsia="en-US"/>
    </w:rPr>
  </w:style>
  <w:style w:type="character" w:styleId="IntenseEmphasis">
    <w:name w:val="Intense Emphasis"/>
    <w:uiPriority w:val="21"/>
    <w:qFormat/>
    <w:rsid w:val="00AF350C"/>
    <w:rPr>
      <w:i/>
      <w:iCs/>
      <w:color w:val="4472C4"/>
    </w:rPr>
  </w:style>
  <w:style w:type="character" w:customStyle="1" w:styleId="TitleChar">
    <w:name w:val="Title Char"/>
    <w:link w:val="Title"/>
    <w:uiPriority w:val="10"/>
    <w:rsid w:val="00AF350C"/>
    <w:rPr>
      <w:rFonts w:ascii="Calibri Light" w:eastAsia="Times New Roman" w:hAnsi="Calibri Light" w:cs="Times New Roman"/>
      <w:b/>
      <w:bCs/>
      <w:kern w:val="28"/>
      <w:sz w:val="32"/>
      <w:szCs w:val="32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A94D37"/>
    <w:pPr>
      <w:widowControl w:val="0"/>
      <w:autoSpaceDE w:val="0"/>
      <w:autoSpaceDN w:val="0"/>
      <w:spacing w:after="0" w:line="240" w:lineRule="auto"/>
      <w:ind w:left="2261"/>
    </w:pPr>
    <w:rPr>
      <w:rFonts w:ascii="Calibri" w:hAnsi="Calibri" w:cs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4D37"/>
    <w:rPr>
      <w:rFonts w:cs="Calibri"/>
      <w:sz w:val="24"/>
      <w:szCs w:val="24"/>
      <w:lang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microsoft.com/office/2007/relationships/stylesWithEffects" Target="stylesWithEffects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gPKfiYiYvzeceQ1XAR8hDcCv7A==">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685</Words>
  <Characters>3769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Ntic Master</dc:creator>
  <cp:lastModifiedBy>Cristóbal Martínez</cp:lastModifiedBy>
  <cp:revision>2</cp:revision>
  <dcterms:created xsi:type="dcterms:W3CDTF">2025-09-11T17:39:00Z</dcterms:created>
  <dcterms:modified xsi:type="dcterms:W3CDTF">2025-09-11T17:39:00Z</dcterms:modified>
</cp:coreProperties>
</file>