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 VII (b): Árboles de decisión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es un árbol de decisión?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¿Cuáles son los requerimientos para utilizar árboles de decisión?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funciona ID3? ¿Cuáles son sus limitaciones?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¿Por qué en el ejemplo de Play Tennis la variable Outlook accede a la raíz del árbol?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ocurre en ID3 con las variables con muchas etiquetas?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 ¿Cuáles son las mejoras que se incorporan en C4.5?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 es la relación entre overfitting y la altura del árbol? ¿Cómo se resuelve?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ocurre si mi conjunto de datos está muy desbalanceado, es decir tiene 85% de los casos etiquetado como A y un 15% etiquetado como 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Mitchell, T. M. (1997). Machine learning. 1997. McGraw Hill, 45(37), 870-877.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Cap 3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. [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Larose, D. T., &amp; Larose, C. D. (2014).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Discovering knowledge in data: an introduction to data mining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(Vol. 4). John Wiley &amp; Sons.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Cap 8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[ </w:t>
      </w:r>
      <w:hyperlink r:id="rId8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Century" w:cs="Century" w:eastAsia="Century" w:hAnsi="Century"/>
          <w:rtl w:val="0"/>
        </w:rPr>
        <w:t xml:space="preserve"> ]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2280465</wp:posOffset>
          </wp:positionH>
          <wp:positionV relativeFrom="paragraph">
            <wp:posOffset>-306700</wp:posOffset>
          </wp:positionV>
          <wp:extent cx="1051200" cy="1080000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2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sz w:val="18"/>
        <w:szCs w:val="18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Bases de Datos Masivas (11088)</w:t>
    </w: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Departamento de Ciencias Básicas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0B_M_OiPKbozedWs2XzV6N2JPaDA/view?usp=sharing&amp;resourcekey=0-c2Ojv34B1BqNi7SHlfbUlQ" TargetMode="External"/><Relationship Id="rId8" Type="http://schemas.openxmlformats.org/officeDocument/2006/relationships/hyperlink" Target="https://drive.google.com/file/d/0B5RFUdXfMb1iZXFhQlpqV014OUk/view?usp=sharing&amp;resourcekey=0-2WUqBmWAWgz06vYAjSHLF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tpcsS4xJgFhJr645KISCn9LZw==">AMUW2mX4wrXGYLPBmVYyZtYj8mVSyj/xRshl7mJ3zHNgM1/UgWTICTS/WMY6CzuFCS5eZ29MFkDkfvDpo8SkrjdbR0ezbU6ZNy92FEJl1aMM9KcWZk5Q73o=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