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entury" w:cs="Century" w:eastAsia="Century" w:hAnsi="Century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GUÍA DE LECTURA VII (c): Selección y evaluación de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es una matriz contingencia?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tipo de modelos se pueden evaluar con una matriz de contingencia?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2160" w:hanging="36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medidas puedo obtener?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216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¿Cómo puedo calcular la exactitud general de un modelo a partir de la información de la matriz de contingencia? ¿Qué ocurre cuando las clases están muy desbalanceadas?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216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diferencias existen en las medidas de exactitud general y las tasas de falsos/verdaderos positivos o negativos? ¿Qué evalúan cada una de ellas?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216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¿En qué situaciones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utilizaría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la curva ROC para evaluar modelos? ¿Qué mide la sensibilidad y la especificidad? ¿Cuáles son las ventajas y desventajas de utilizar la curva ROC?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216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¿Cómo se interpreta el AUC?</w:t>
      </w:r>
    </w:p>
    <w:p w:rsidR="00000000" w:rsidDel="00000000" w:rsidP="00000000" w:rsidRDefault="00000000" w:rsidRPr="00000000" w14:paraId="0000000B">
      <w:pPr>
        <w:spacing w:after="0" w:line="360" w:lineRule="auto"/>
        <w:ind w:left="216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108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Bibliografía sugerida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Mitchell, T. M. (1997). Machine learning. 1997. McGraw Hill, 45(37), 870-877.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Cap 3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. [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Larose, D. T., &amp; Larose, C. D. (2014).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highlight w:val="white"/>
          <w:rtl w:val="0"/>
        </w:rPr>
        <w:t xml:space="preserve">Discovering knowledge in data: an introduction to data mining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 (Vol. 4). John Wiley &amp; Sons.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Cap 8 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[ </w:t>
      </w:r>
      <w:hyperlink r:id="rId8">
        <w:r w:rsidDel="00000000" w:rsidR="00000000" w:rsidRPr="00000000">
          <w:rPr>
            <w:rFonts w:ascii="Century" w:cs="Century" w:eastAsia="Century" w:hAnsi="Century"/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Century" w:cs="Century" w:eastAsia="Century" w:hAnsi="Century"/>
          <w:rtl w:val="0"/>
        </w:rPr>
        <w:t xml:space="preserve"> ]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2° Cuatrimestre 20</w:t>
    </w:r>
    <w:r w:rsidDel="00000000" w:rsidR="00000000" w:rsidRPr="00000000">
      <w:rPr>
        <w:rFonts w:ascii="Century" w:cs="Century" w:eastAsia="Century" w:hAnsi="Century"/>
        <w:rtl w:val="0"/>
      </w:rPr>
      <w:t xml:space="preserve">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Luján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2280465</wp:posOffset>
          </wp:positionH>
          <wp:positionV relativeFrom="paragraph">
            <wp:posOffset>-306699</wp:posOffset>
          </wp:positionV>
          <wp:extent cx="1051200" cy="1080000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1200" cy="1080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sz w:val="18"/>
        <w:szCs w:val="18"/>
      </w:rPr>
    </w:pP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Bases de Datos Masivas (11088)</w:t>
    </w: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Departamento de Ciencias Básicas</w: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Century" w:cs="Century" w:eastAsia="Century" w:hAnsi="Century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5927"/>
  </w:style>
  <w:style w:type="paragraph" w:styleId="Piedepgina">
    <w:name w:val="footer"/>
    <w:basedOn w:val="Normal"/>
    <w:link w:val="Piedepgina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5927"/>
  </w:style>
  <w:style w:type="paragraph" w:styleId="Prrafodelista">
    <w:name w:val="List Paragraph"/>
    <w:basedOn w:val="Normal"/>
    <w:uiPriority w:val="34"/>
    <w:qFormat w:val="1"/>
    <w:rsid w:val="007E5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0B_M_OiPKbozedWs2XzV6N2JPaDA/view?usp=sharing&amp;resourcekey=0-c2Ojv34B1BqNi7SHlfbUlQ" TargetMode="External"/><Relationship Id="rId8" Type="http://schemas.openxmlformats.org/officeDocument/2006/relationships/hyperlink" Target="https://drive.google.com/file/d/0B5RFUdXfMb1iZXFhQlpqV014OUk/view?usp=sharing&amp;resourcekey=0-2WUqBmWAWgz06vYAjSHLF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lCAtUvV4fp3fZmfehABEe+cpuQ==">AMUW2mXWp+Wi/yEihyrChLq+J2aOveldD+m5aaqmftGTQYlsvwUse3sA5q6xJm9JVgwz6PWkP+L+1bTctfN5Mmg2ZZgCEOCvLSC23U2zvSyoBYceSC+fDZ4=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2015-06-12T19:27:00Z</dcterms:created>
  <dc:creator>UNLu</dc:creator>
</cp:coreProperties>
</file>