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UNIVERSITY OF CALIFORNIA AT BERKELEY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College of Engineering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Department of Electrical Engineering and Computer Sciences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EE105 Lab Experiments</w:t>
      </w:r>
    </w:p>
    <w:p>
      <w:pPr>
        <w:pStyle w:val="Normal"/>
        <w:jc w:val="center"/>
        <w:rPr>
          <w:rFonts w:ascii="Atkinson Hyperlegible" w:hAnsi="Atkinson Hyperlegible"/>
          <w:w w:val="122"/>
          <w:sz w:val="34"/>
          <w:szCs w:val="34"/>
        </w:rPr>
      </w:pPr>
      <w:r>
        <w:rPr>
          <w:rFonts w:ascii="Atkinson Hyperlegible" w:hAnsi="Atkinson Hyperlegible"/>
          <w:w w:val="122"/>
          <w:sz w:val="34"/>
          <w:szCs w:val="34"/>
        </w:rPr>
      </w:r>
    </w:p>
    <w:p>
      <w:pPr>
        <w:pStyle w:val="Normal"/>
        <w:ind w:left="810" w:right="870" w:hanging="0"/>
        <w:jc w:val="center"/>
        <w:rPr>
          <w:sz w:val="36"/>
          <w:szCs w:val="36"/>
        </w:rPr>
      </w:pPr>
      <w:r>
        <w:rPr>
          <w:rFonts w:ascii="Atkinson Hyperlegible" w:hAnsi="Atkinson Hyperlegible"/>
          <w:sz w:val="36"/>
          <w:szCs w:val="36"/>
        </w:rPr>
        <w:t>Lab 2: Non-Ideal Op-Amps, Pre-Lab Worksheet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Student 1 name: </w:t>
      </w:r>
      <w:r>
        <w:rPr>
          <w:rFonts w:ascii="Atkinson Hyperlegible" w:hAnsi="Atkinson Hyperlegible"/>
          <w:color w:val="2A6099"/>
        </w:rPr>
        <w:t>Bryan Ngo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Student 2 name: </w:t>
      </w:r>
      <w:r>
        <w:rPr>
          <w:rFonts w:ascii="Atkinson Hyperlegible" w:hAnsi="Atkinson Hyperlegible"/>
          <w:color w:val="2A6099"/>
        </w:rPr>
        <w:t>Kyle Lui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Lab group: Tuesday 8-11 / Tuesday 5-8 / </w:t>
      </w:r>
      <w:r>
        <w:rPr>
          <w:rFonts w:ascii="Atkinson Hyperlegible" w:hAnsi="Atkinson Hyperlegible"/>
          <w:color w:val="2A6099"/>
        </w:rPr>
        <w:t>Thursday 8-11</w:t>
      </w:r>
      <w:r>
        <w:rPr>
          <w:rFonts w:ascii="Atkinson Hyperlegible" w:hAnsi="Atkinson Hyperlegible"/>
        </w:rPr>
        <w:t xml:space="preserve"> / Thursday 5-8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Heading1"/>
        <w:numPr>
          <w:ilvl w:val="0"/>
          <w:numId w:val="1"/>
        </w:numPr>
        <w:rPr>
          <w:rFonts w:ascii="Atkinson Hyperlegible" w:hAnsi="Atkinson Hyperlegible"/>
        </w:rPr>
      </w:pPr>
      <w:bookmarkStart w:id="0" w:name="_Toc460346761"/>
      <w:r>
        <w:rPr>
          <w:rFonts w:ascii="Atkinson Hyperlegible" w:hAnsi="Atkinson Hyperlegible"/>
        </w:rPr>
        <w:t>Pre-Lab</w:t>
      </w:r>
      <w:bookmarkEnd w:id="0"/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Intro to LTSpice</w:t>
      </w:r>
    </w:p>
    <w:p>
      <w:pPr>
        <w:pStyle w:val="Normal"/>
        <w:ind w:left="72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What Resistor value did you use to get a gain of 10? Please attach the plot.</w:t>
      </w:r>
    </w:p>
    <w:p>
      <w:pPr>
        <w:pStyle w:val="Normal"/>
        <w:ind w:left="720" w:hanging="0"/>
        <w:rPr>
          <w:color w:val="2A6099"/>
        </w:rPr>
      </w:pPr>
      <w:r>
        <w:rPr>
          <w:rFonts w:ascii="Atkinson Hyperlegible" w:hAnsi="Atkinson Hyperlegible"/>
          <w:color w:val="2A6099"/>
        </w:rPr>
        <w:t>100 kΩ</w:t>
      </w:r>
    </w:p>
    <w:p>
      <w:pPr>
        <w:pStyle w:val="Normal"/>
        <w:ind w:left="720" w:hanging="0"/>
        <w:rPr>
          <w:rFonts w:ascii="Atkinson Hyperlegible" w:hAnsi="Atkinson Hyperlegible"/>
          <w:color w:val="2A6099"/>
        </w:rPr>
      </w:pPr>
      <w:r>
        <w:rPr>
          <w:rFonts w:ascii="Atkinson Hyperlegible" w:hAnsi="Atkinson Hyperlegible"/>
          <w:color w:val="2A609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1139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1" w:name="_Toc460346762"/>
      <w:r>
        <w:rPr>
          <w:rFonts w:ascii="Atkinson Hyperlegible" w:hAnsi="Atkinson Hyperlegible"/>
          <w:sz w:val="26"/>
          <w:szCs w:val="26"/>
        </w:rPr>
        <w:t>DC current consumption</w:t>
      </w:r>
      <w:bookmarkEnd w:id="1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Simulated DC current consumption: </w:t>
      </w:r>
      <w:r>
        <w:rPr>
          <w:rFonts w:ascii="Atkinson Hyperlegible" w:hAnsi="Atkinson Hyperlegible"/>
          <w:color w:val="2A6099"/>
        </w:rPr>
        <w:t xml:space="preserve">79.625 </w:t>
      </w:r>
      <w:r>
        <w:rPr>
          <w:rFonts w:ascii="Atkinson Hyperlegible" w:hAnsi="Atkinson Hyperlegible"/>
          <w:color w:val="2A6099"/>
        </w:rPr>
        <w:t>nA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Is it in the range defined in the datasheet? </w:t>
      </w:r>
      <w:r>
        <w:rPr>
          <w:rFonts w:ascii="Atkinson Hyperlegible" w:hAnsi="Atkinson Hyperlegible"/>
          <w:color w:val="2A6099"/>
        </w:rPr>
        <w:t>Yes</w:t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2" w:name="_Toc460346763"/>
      <w:r>
        <w:rPr>
          <w:rFonts w:ascii="Atkinson Hyperlegible" w:hAnsi="Atkinson Hyperlegible"/>
          <w:sz w:val="26"/>
          <w:szCs w:val="26"/>
        </w:rPr>
        <w:t>DC Open Loop Transfer Characteristic</w:t>
      </w:r>
      <w:bookmarkEnd w:id="2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Open loop gain A0: </w:t>
      </w:r>
      <w:r>
        <w:rPr>
          <w:rFonts w:ascii="Atkinson Hyperlegible" w:hAnsi="Atkinson Hyperlegible"/>
          <w:color w:val="2A6099"/>
        </w:rPr>
        <w:t>-200 058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Voltage offset Voffset ≡ −Vshift: </w:t>
      </w:r>
      <w:r>
        <w:rPr>
          <w:rFonts w:ascii="Atkinson Hyperlegible" w:hAnsi="Atkinson Hyperlegible"/>
          <w:color w:val="2A6099"/>
        </w:rPr>
        <w:t>1 mV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 of the DC Open Loop Transfer Characteristic: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2560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5097780</wp:posOffset>
            </wp:positionH>
            <wp:positionV relativeFrom="paragraph">
              <wp:posOffset>1326515</wp:posOffset>
            </wp:positionV>
            <wp:extent cx="786130" cy="116903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3" w:name="_Toc460346764"/>
      <w:r>
        <w:rPr>
          <w:rFonts w:ascii="Atkinson Hyperlegible" w:hAnsi="Atkinson Hyperlegible"/>
          <w:sz w:val="26"/>
          <w:szCs w:val="26"/>
        </w:rPr>
        <w:t>Nulling the Offset Voltage</w:t>
      </w:r>
      <w:bookmarkEnd w:id="3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Draw the circuit used to null the offset voltage connected to the pinout diagram below: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jc w:val="center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Why do we use a potentiometer to null the offset voltage? </w:t>
      </w:r>
      <w:r>
        <w:rPr>
          <w:rFonts w:ascii="Atkinson Hyperlegible" w:hAnsi="Atkinson Hyperlegible"/>
          <w:color w:val="2A6099"/>
        </w:rPr>
        <w:t>So we can easily adjust our offset voltage to an arbitrary value.</w:t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4" w:name="_Toc460346765"/>
      <w:r>
        <w:rPr>
          <w:rFonts w:ascii="Atkinson Hyperlegible" w:hAnsi="Atkinson Hyperlegible"/>
          <w:sz w:val="26"/>
          <w:szCs w:val="26"/>
        </w:rPr>
        <w:t>Slew Rate in Unity Gain Configuration</w:t>
      </w:r>
      <w:bookmarkEnd w:id="4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Slew Rate: </w:t>
      </w:r>
      <w:r>
        <w:rPr>
          <w:rFonts w:ascii="Atkinson Hyperlegible" w:hAnsi="Atkinson Hyperlegible"/>
          <w:color w:val="2A6099"/>
        </w:rPr>
        <w:t>0.33 V/µs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Is it reasonable based on the datasheet? </w:t>
      </w:r>
      <w:r>
        <w:rPr>
          <w:rFonts w:ascii="Atkinson Hyperlegible" w:hAnsi="Atkinson Hyperlegible"/>
          <w:color w:val="2A6099"/>
        </w:rPr>
        <w:t>Yes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 of Vout and Vin versus time: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4382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Is the slew rate different for rising and falling voltages? </w:t>
      </w:r>
      <w:r>
        <w:rPr>
          <w:rFonts w:ascii="Atkinson Hyperlegible" w:hAnsi="Atkinson Hyperlegible"/>
          <w:color w:val="2A6099"/>
        </w:rPr>
        <w:t>No</w:t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5" w:name="_Toc460346766"/>
      <w:bookmarkStart w:id="6" w:name="_Ref460346730"/>
      <w:r>
        <w:rPr>
          <w:rFonts w:ascii="Atkinson Hyperlegible" w:hAnsi="Atkinson Hyperlegible"/>
          <w:sz w:val="26"/>
          <w:szCs w:val="26"/>
        </w:rPr>
        <w:t>Gain and Bandwidth in Unity Gain Configuration</w:t>
      </w:r>
      <w:bookmarkEnd w:id="5"/>
      <w:bookmarkEnd w:id="6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Gain A0: </w:t>
      </w:r>
      <w:r>
        <w:rPr>
          <w:rFonts w:ascii="Atkinson Hyperlegible" w:hAnsi="Atkinson Hyperlegible"/>
          <w:color w:val="2A6099"/>
        </w:rPr>
        <w:t>1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Bandwidth f3dB: </w:t>
      </w:r>
      <w:r>
        <w:rPr>
          <w:rFonts w:ascii="Atkinson Hyperlegible" w:hAnsi="Atkinson Hyperlegible"/>
          <w:color w:val="2A6099"/>
        </w:rPr>
        <w:t>1.54 MHz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 of the gain vs frequency (log-log scale):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4382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For 100KHz input at what amplitude the amplifier will start slewing?</w:t>
      </w:r>
      <w:r>
        <w:rPr>
          <w:rFonts w:ascii="Atkinson Hyperlegible" w:hAnsi="Atkinson Hyperlegible"/>
          <w:color w:val="FF0000"/>
        </w:rPr>
        <w:t xml:space="preserve"> </w:t>
      </w:r>
      <w:r>
        <w:rPr>
          <w:rFonts w:ascii="Atkinson Hyperlegible" w:hAnsi="Atkinson Hyperlegible"/>
          <w:color w:val="2A6099"/>
        </w:rPr>
        <w:t>0.5 V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 of the input and the output for this amplitude, and for twice this amplitude, at the same plot: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4382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7" w:name="_Toc460346767"/>
      <w:r>
        <w:rPr>
          <w:rFonts w:ascii="Atkinson Hyperlegible" w:hAnsi="Atkinson Hyperlegible"/>
          <w:sz w:val="26"/>
          <w:szCs w:val="26"/>
        </w:rPr>
        <w:t>Gain and Bandwidth in Non-Inverting Amplifier Configuration</w:t>
      </w:r>
      <w:bookmarkEnd w:id="7"/>
    </w:p>
    <w:tbl>
      <w:tblPr>
        <w:tblStyle w:val="TableGrid"/>
        <w:tblW w:w="3798" w:type="dxa"/>
        <w:jc w:val="left"/>
        <w:tblInd w:w="5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2699"/>
      </w:tblGrid>
      <w:tr>
        <w:trPr/>
        <w:tc>
          <w:tcPr>
            <w:tcW w:w="109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>R=10kΩ</w:t>
            </w:r>
          </w:p>
        </w:tc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/>
                <w:sz w:val="20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Gain A0: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0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/>
                <w:sz w:val="20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Bandwidth f3dB: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110 kHz</w:t>
            </w:r>
          </w:p>
        </w:tc>
      </w:tr>
      <w:tr>
        <w:trPr/>
        <w:tc>
          <w:tcPr>
            <w:tcW w:w="109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>R=100kΩ</w:t>
            </w:r>
          </w:p>
        </w:tc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/>
                <w:sz w:val="20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Gain A0: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</w:tr>
      <w:tr>
        <w:trPr/>
        <w:tc>
          <w:tcPr>
            <w:tcW w:w="109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6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/>
                <w:sz w:val="20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Bandwidth f3dB: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10 kHz</w:t>
            </w:r>
          </w:p>
        </w:tc>
      </w:tr>
    </w:tbl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 of magnitude response of the voltage gain in log-log scale for the two non-inverting amplifier circuits and the circuit from Problem 2.6 on the same plot: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4382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40" w:hanging="0"/>
        <w:jc w:val="center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At approximately what frequency and gain do the three curves intersect on the plot? What does this mean? </w:t>
      </w:r>
      <w:r>
        <w:rPr>
          <w:rFonts w:ascii="Atkinson Hyperlegible" w:hAnsi="Atkinson Hyperlegible"/>
          <w:color w:val="2A6099"/>
        </w:rPr>
        <w:t xml:space="preserve">10 MHz. </w:t>
      </w:r>
      <w:r>
        <w:rPr>
          <w:rFonts w:ascii="Atkinson Hyperlegible" w:hAnsi="Atkinson Hyperlegible"/>
          <w:color w:val="2A6099"/>
        </w:rPr>
        <w:t>This point can be interpreted as the point at which all the circuits have the same signal energy/power, since the magnitude of the signals are all equal here.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With R=10kΩ, for 10KHz input at what amplitude the amplifier will start slewing? </w:t>
      </w:r>
      <w:r>
        <w:rPr>
          <w:rFonts w:ascii="Atkinson Hyperlegible" w:hAnsi="Atkinson Hyperlegible"/>
          <w:color w:val="2A6099"/>
        </w:rPr>
        <w:t>0.5 V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 of the input and the output for this amplitude, and for twice this amplitude, at the same plot: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4382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20" w:right="1320" w:gutter="0" w:header="0" w:top="980" w:footer="0" w:bottom="2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tkinson Hyperlegible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4738"/>
    <w:pPr>
      <w:widowControl/>
      <w:suppressAutoHyphens w:val="true"/>
      <w:bidi w:val="0"/>
      <w:spacing w:lineRule="auto" w:line="288" w:before="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c6e"/>
    <w:pPr>
      <w:keepNext w:val="true"/>
      <w:spacing w:lineRule="auto" w:line="360" w:before="240" w:after="60"/>
      <w:outlineLvl w:val="0"/>
    </w:pPr>
    <w:rPr>
      <w:rFonts w:ascii="Times New Roman" w:hAnsi="Times New Roman" w:eastAsia="" w:cs="Times New Roman" w:asciiTheme="majorBidi" w:cstheme="majorBidi" w:eastAsiaTheme="majorEastAsia" w:hAnsiTheme="majorBidi"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c6e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6e"/>
    <w:pPr>
      <w:keepNext w:val="true"/>
      <w:spacing w:before="240" w:after="6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6e"/>
    <w:pPr>
      <w:keepNext w:val="true"/>
      <w:spacing w:before="240" w:after="60"/>
      <w:outlineLvl w:val="3"/>
    </w:pPr>
    <w:rPr>
      <w:rFonts w:ascii="Calibri" w:hAnsi="Calibri" w:eastAsia="" w:cs="Arial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6e"/>
    <w:pPr>
      <w:spacing w:before="240" w:after="60"/>
      <w:outlineLvl w:val="4"/>
    </w:pPr>
    <w:rPr>
      <w:rFonts w:ascii="Calibri" w:hAnsi="Calibri" w:eastAsia="" w:cs="Arial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1c6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6e"/>
    <w:pPr>
      <w:spacing w:before="240" w:after="60"/>
      <w:outlineLvl w:val="6"/>
    </w:pPr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6e"/>
    <w:pPr>
      <w:spacing w:before="240" w:after="60"/>
      <w:outlineLvl w:val="7"/>
    </w:pPr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6e"/>
    <w:pPr>
      <w:spacing w:before="240" w:after="60"/>
      <w:outlineLvl w:val="8"/>
    </w:pPr>
    <w:rPr>
      <w:rFonts w:ascii="Cambria" w:hAnsi="Cambria" w:eastAsia="" w:cs="Times New Roman" w:asciiTheme="majorHAnsi" w:cstheme="majorBid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c6e"/>
    <w:rPr>
      <w:rFonts w:ascii="Times New Roman" w:hAnsi="Times New Roman" w:eastAsia="" w:cs="Times New Roman" w:asciiTheme="majorBidi" w:cstheme="majorBidi" w:eastAsiaTheme="majorEastAsia" w:hAnsiTheme="majorBidi"/>
      <w:bCs/>
      <w:kern w:val="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11c6e"/>
    <w:rPr>
      <w:rFonts w:ascii="Times New Roman" w:hAnsi="Times New Roman" w:eastAsia="" w:cs="Times New Roman" w:asciiTheme="majorBidi" w:cstheme="majorBidi" w:eastAsiaTheme="majorEastAsia" w:hAnsiTheme="majorBidi"/>
      <w:iCs/>
      <w:kern w:val="2"/>
      <w:sz w:val="24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11c6e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d11c6e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c6e"/>
    <w:rPr>
      <w:rFonts w:ascii="Cambria" w:hAnsi="Cambria" w:eastAsia="" w:cs="Times New Roman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787c7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87c77"/>
    <w:rPr>
      <w:rFonts w:ascii="Lucida Grande" w:hAnsi="Lucida Grande" w:cs="Lucida Grande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c4021c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256f4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256f4"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7c77"/>
    <w:pPr/>
    <w:rPr>
      <w:rFonts w:ascii="Lucida Grande" w:hAnsi="Lucida Grande" w:cs="Lucida Grande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11c6e"/>
    <w:pPr>
      <w:keepLines/>
      <w:spacing w:lineRule="auto" w:line="276" w:before="480" w:after="0"/>
      <w:outlineLvl w:val="9"/>
    </w:pPr>
    <w:rPr>
      <w:color w:val="365F91" w:themeColor="accent1" w:themeShade="bf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c4021c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256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256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b7475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a26dc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2a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2FDD68-C07C-449D-BB28-53259D867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Application>LibreOffice/7.4.5.1$Linux_X86_64 LibreOffice_project/40$Build-1</Application>
  <AppVersion>15.0000</AppVersion>
  <Pages>3</Pages>
  <Words>386</Words>
  <Characters>1849</Characters>
  <CharactersWithSpaces>2183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2015-09-09T04:44:00Z</dcterms:created>
  <dc:creator/>
  <dc:description/>
  <dc:language>en-US</dc:language>
  <cp:lastModifiedBy/>
  <dcterms:modified xsi:type="dcterms:W3CDTF">2023-02-16T02:16:50Z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