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UNIVERSITY OF CALIFORNIA AT BERKELEY</w:t>
      </w:r>
    </w:p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College of Engineering</w:t>
      </w:r>
    </w:p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Department of Electrical Engineering and Computer Sciences</w:t>
      </w:r>
    </w:p>
    <w:p>
      <w:pPr>
        <w:pStyle w:val="Normal"/>
        <w:jc w:val="center"/>
        <w:rPr>
          <w:sz w:val="24"/>
          <w:szCs w:val="22"/>
        </w:rPr>
      </w:pPr>
      <w:r>
        <w:rPr>
          <w:rFonts w:ascii="Atkinson Hyperlegible" w:hAnsi="Atkinson Hyperlegible"/>
          <w:sz w:val="24"/>
          <w:szCs w:val="22"/>
        </w:rPr>
        <w:t>EE105 Lab Experiments</w:t>
      </w:r>
    </w:p>
    <w:p>
      <w:pPr>
        <w:pStyle w:val="Normal"/>
        <w:jc w:val="center"/>
        <w:rPr>
          <w:rFonts w:ascii="Atkinson Hyperlegible" w:hAnsi="Atkinson Hyperlegible"/>
          <w:w w:val="122"/>
          <w:sz w:val="34"/>
          <w:szCs w:val="34"/>
        </w:rPr>
      </w:pPr>
      <w:r>
        <w:rPr>
          <w:rFonts w:ascii="Atkinson Hyperlegible" w:hAnsi="Atkinson Hyperlegible"/>
          <w:w w:val="122"/>
          <w:sz w:val="34"/>
          <w:szCs w:val="34"/>
        </w:rPr>
      </w:r>
    </w:p>
    <w:p>
      <w:pPr>
        <w:pStyle w:val="Normal"/>
        <w:ind w:left="810" w:right="870" w:hanging="0"/>
        <w:jc w:val="center"/>
        <w:rPr>
          <w:sz w:val="36"/>
          <w:szCs w:val="36"/>
        </w:rPr>
      </w:pPr>
      <w:r>
        <w:rPr>
          <w:rFonts w:ascii="Atkinson Hyperlegible" w:hAnsi="Atkinson Hyperlegible"/>
          <w:sz w:val="36"/>
          <w:szCs w:val="36"/>
        </w:rPr>
        <w:t>Experiment 1: Non-Ideal Op-Amps, Lab Report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Student 1 name: </w:t>
      </w:r>
      <w:r>
        <w:rPr>
          <w:rFonts w:ascii="Atkinson Hyperlegible" w:hAnsi="Atkinson Hyperlegible"/>
          <w:color w:val="2A6099"/>
        </w:rPr>
        <w:t>Bryan Ngo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Student 2 name: </w:t>
      </w:r>
      <w:r>
        <w:rPr>
          <w:rFonts w:ascii="Atkinson Hyperlegible" w:hAnsi="Atkinson Hyperlegible"/>
          <w:color w:val="2A6099"/>
        </w:rPr>
        <w:t>Kyle Lui</w:t>
      </w:r>
    </w:p>
    <w:p>
      <w:pPr>
        <w:pStyle w:val="Normal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Lab group: Monday 11-2 / Monday 2-5 / Monday 5-8 / Wednesday 9-12 / </w:t>
      </w:r>
      <w:r>
        <w:rPr>
          <w:rFonts w:ascii="Atkinson Hyperlegible" w:hAnsi="Atkinson Hyperlegible"/>
          <w:color w:val="2A6099"/>
        </w:rPr>
        <w:t>Thursday 8-11</w:t>
      </w:r>
    </w:p>
    <w:p>
      <w:pPr>
        <w:pStyle w:val="Heading1"/>
        <w:numPr>
          <w:ilvl w:val="0"/>
          <w:numId w:val="1"/>
        </w:numPr>
        <w:rPr>
          <w:rFonts w:ascii="Atkinson Hyperlegible" w:hAnsi="Atkinson Hyperlegible"/>
        </w:rPr>
      </w:pPr>
      <w:bookmarkStart w:id="0" w:name="_Toc460346761"/>
      <w:r>
        <w:rPr>
          <w:rFonts w:ascii="Atkinson Hyperlegible" w:hAnsi="Atkinson Hyperlegible"/>
        </w:rPr>
        <w:t>Lab</w:t>
      </w:r>
      <w:bookmarkEnd w:id="0"/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bookmarkStart w:id="1" w:name="_Toc460346762"/>
      <w:r>
        <w:rPr>
          <w:rFonts w:ascii="Atkinson Hyperlegible" w:hAnsi="Atkinson Hyperlegible"/>
          <w:sz w:val="26"/>
          <w:szCs w:val="26"/>
        </w:rPr>
        <w:t>DC current consumption</w:t>
      </w:r>
      <w:bookmarkEnd w:id="1"/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Measured DC current consumption: </w:t>
      </w:r>
      <w:r>
        <w:rPr>
          <w:rFonts w:ascii="Atkinson Hyperlegible" w:hAnsi="Atkinson Hyperlegible"/>
          <w:color w:val="2A6099"/>
        </w:rPr>
        <w:t>1.3 mA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Is it in the range defined in the datasheet? </w:t>
      </w:r>
      <w:r>
        <w:rPr>
          <w:rFonts w:ascii="Atkinson Hyperlegible" w:hAnsi="Atkinson Hyperlegible"/>
          <w:color w:val="2A6099"/>
        </w:rPr>
        <w:t>No</w:t>
      </w:r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bookmarkStart w:id="2" w:name="_Toc460346763"/>
      <w:r>
        <w:rPr>
          <w:rFonts w:ascii="Atkinson Hyperlegible" w:hAnsi="Atkinson Hyperlegible"/>
          <w:sz w:val="26"/>
          <w:szCs w:val="26"/>
        </w:rPr>
        <w:t>DC Open Loop Transfer Characteristic</w:t>
      </w:r>
      <w:bookmarkEnd w:id="2"/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Measured values of attenuator resistors: </w:t>
      </w:r>
      <w:r>
        <w:rPr>
          <w:rFonts w:ascii="Atkinson Hyperlegible" w:hAnsi="Atkinson Hyperlegible"/>
          <w:color w:val="2A6099"/>
        </w:rPr>
        <w:t>100.2 kΩ, 98.2 Ω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Open loop gain A0: </w:t>
      </w:r>
      <w:r>
        <w:rPr>
          <w:rFonts w:ascii="Atkinson Hyperlegible" w:hAnsi="Atkinson Hyperlegible"/>
          <w:color w:val="2A6099"/>
        </w:rPr>
        <w:t>11 672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Voltage offset Voffset ≡ −Vshift: </w:t>
      </w:r>
      <w:r>
        <w:rPr>
          <w:rFonts w:ascii="Atkinson Hyperlegible" w:hAnsi="Atkinson Hyperlegible"/>
          <w:color w:val="2A6099"/>
        </w:rPr>
        <w:t>0.83 V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Plot of the DC Open Loop Transfer Characteristic: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45148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bookmarkStart w:id="3" w:name="_Toc460346764"/>
      <w:r>
        <w:rPr>
          <w:rFonts w:ascii="Atkinson Hyperlegible" w:hAnsi="Atkinson Hyperlegible"/>
          <w:sz w:val="26"/>
          <w:szCs w:val="26"/>
        </w:rPr>
        <w:t>Nulling the Offset Voltage</w:t>
      </w:r>
      <w:bookmarkEnd w:id="3"/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The resistance from -15V to pin1 of the opamp: </w:t>
      </w:r>
      <w:r>
        <w:rPr>
          <w:rFonts w:ascii="Atkinson Hyperlegible" w:hAnsi="Atkinson Hyperlegible"/>
          <w:color w:val="2A6099"/>
        </w:rPr>
        <w:t>4.1 kΩ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The resistance from -15V to pin5 of the opamp: </w:t>
      </w:r>
      <w:r>
        <w:rPr>
          <w:rFonts w:ascii="Atkinson Hyperlegible" w:hAnsi="Atkinson Hyperlegible"/>
          <w:color w:val="2A6099"/>
        </w:rPr>
        <w:t>6.5 kΩ</w:t>
      </w:r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bookmarkStart w:id="4" w:name="_Toc460346765"/>
      <w:r>
        <w:rPr>
          <w:rFonts w:ascii="Atkinson Hyperlegible" w:hAnsi="Atkinson Hyperlegible"/>
          <w:sz w:val="26"/>
          <w:szCs w:val="26"/>
        </w:rPr>
        <w:t>Slew Rate in Unity Gain Configuration</w:t>
      </w:r>
      <w:bookmarkEnd w:id="4"/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Rising Slew Rate: </w:t>
      </w:r>
      <w:r>
        <w:rPr>
          <w:rFonts w:ascii="Atkinson Hyperlegible" w:hAnsi="Atkinson Hyperlegible"/>
          <w:color w:val="2A6099"/>
        </w:rPr>
        <w:t>0.75 V/µs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Falling Slew Rate: </w:t>
      </w:r>
      <w:r>
        <w:rPr>
          <w:rFonts w:ascii="Atkinson Hyperlegible" w:hAnsi="Atkinson Hyperlegible"/>
          <w:color w:val="2A6099"/>
        </w:rPr>
        <w:t>0.65 V/µs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Is it reasonable based on the datasheet? </w:t>
      </w:r>
      <w:r>
        <w:rPr>
          <w:rFonts w:ascii="Atkinson Hyperlegible" w:hAnsi="Atkinson Hyperlegible"/>
          <w:color w:val="2A6099"/>
        </w:rPr>
        <w:t>Yes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Oscilloscope trace(s) of the slew rate measurements: </w:t>
      </w:r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bookmarkStart w:id="5" w:name="_Ref460346730"/>
      <w:bookmarkStart w:id="6" w:name="_Toc460346766"/>
      <w:r>
        <w:rPr>
          <w:rFonts w:ascii="Atkinson Hyperlegible" w:hAnsi="Atkinson Hyperlegible"/>
          <w:sz w:val="26"/>
          <w:szCs w:val="26"/>
        </w:rPr>
        <w:t>Gain and Bandwidth in Unity Gain Configuration</w:t>
      </w:r>
      <w:bookmarkEnd w:id="5"/>
      <w:bookmarkEnd w:id="6"/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Based on your slew rate measurements, for 100KHz input at what amplitude the amplifier will start slewing? </w:t>
      </w:r>
      <w:r>
        <w:rPr>
          <w:rFonts w:ascii="Atkinson Hyperlegible" w:hAnsi="Atkinson Hyperlegible"/>
          <w:color w:val="2A6099"/>
        </w:rPr>
        <w:t>1.2 V rising, 1 V falling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>Oscilloscope trace of the slewing output sine signal when doubling this amplitude: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-128270</wp:posOffset>
            </wp:positionH>
            <wp:positionV relativeFrom="paragraph">
              <wp:posOffset>135890</wp:posOffset>
            </wp:positionV>
            <wp:extent cx="2118995" cy="17157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2084705</wp:posOffset>
            </wp:positionH>
            <wp:positionV relativeFrom="paragraph">
              <wp:posOffset>163830</wp:posOffset>
            </wp:positionV>
            <wp:extent cx="2051685" cy="16605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4279900</wp:posOffset>
            </wp:positionH>
            <wp:positionV relativeFrom="paragraph">
              <wp:posOffset>153035</wp:posOffset>
            </wp:positionV>
            <wp:extent cx="2093595" cy="16948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tkinson Hyperlegible" w:hAnsi="Atkinson Hyperlegible"/>
        </w:rPr>
        <w:t xml:space="preserve">Gain A0: </w:t>
      </w:r>
      <w:r>
        <w:rPr>
          <w:rFonts w:ascii="Atkinson Hyperlegible" w:hAnsi="Atkinson Hyperlegible"/>
          <w:color w:val="2A6099"/>
        </w:rPr>
        <w:t>1.06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Bandwidth f3dB: </w:t>
      </w:r>
      <w:r>
        <w:rPr>
          <w:rFonts w:ascii="Atkinson Hyperlegible" w:hAnsi="Atkinson Hyperlegible"/>
          <w:color w:val="2A6099"/>
        </w:rPr>
        <w:t>8</w:t>
      </w:r>
      <w:r>
        <w:rPr>
          <w:rFonts w:ascii="Atkinson Hyperlegible" w:hAnsi="Atkinson Hyperlegible"/>
          <w:color w:val="2A6099"/>
        </w:rPr>
        <w:t>00 kHz</w:t>
      </w:r>
      <w:bookmarkStart w:id="7" w:name="_Toc460346767"/>
      <w:r>
        <w:br w:type="page"/>
      </w:r>
    </w:p>
    <w:p>
      <w:pPr>
        <w:pStyle w:val="Heading1"/>
        <w:numPr>
          <w:ilvl w:val="1"/>
          <w:numId w:val="1"/>
        </w:numPr>
        <w:ind w:left="900" w:hanging="540"/>
        <w:rPr>
          <w:sz w:val="26"/>
          <w:szCs w:val="26"/>
        </w:rPr>
      </w:pPr>
      <w:r>
        <w:rPr>
          <w:rFonts w:ascii="Atkinson Hyperlegible" w:hAnsi="Atkinson Hyperlegible"/>
          <w:sz w:val="26"/>
          <w:szCs w:val="26"/>
        </w:rPr>
        <w:t>Gain and Bandwidth in Non-Inverting Amplifier Configuration</w:t>
      </w:r>
      <w:bookmarkEnd w:id="7"/>
    </w:p>
    <w:tbl>
      <w:tblPr>
        <w:tblStyle w:val="TableGrid"/>
        <w:tblW w:w="3888" w:type="dxa"/>
        <w:jc w:val="left"/>
        <w:tblInd w:w="5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97"/>
        <w:gridCol w:w="2790"/>
      </w:tblGrid>
      <w:tr>
        <w:trPr/>
        <w:tc>
          <w:tcPr>
            <w:tcW w:w="109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>R=10kΩ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 xml:space="preserve">Gain A0: 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109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 xml:space="preserve">Bandwidth f3dB: 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>75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 xml:space="preserve"> kHz</w:t>
            </w:r>
          </w:p>
        </w:tc>
      </w:tr>
      <w:tr>
        <w:trPr/>
        <w:tc>
          <w:tcPr>
            <w:tcW w:w="109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>R=100kΩ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 xml:space="preserve">Gain A0: 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>109</w:t>
            </w:r>
          </w:p>
        </w:tc>
      </w:tr>
      <w:tr>
        <w:trPr/>
        <w:tc>
          <w:tcPr>
            <w:tcW w:w="109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tkinson Hyperlegible" w:hAnsi="Atkinson Hyperlegible" w:eastAsia="Times New Roman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Atkinson Hyperlegible" w:hAnsi="Atkinson Hyperlegible"/>
                <w:kern w:val="0"/>
                <w:sz w:val="20"/>
                <w:szCs w:val="20"/>
                <w:lang w:val="en-US" w:eastAsia="en-US" w:bidi="ar-SA"/>
              </w:rPr>
              <w:t xml:space="preserve">Bandwidth f3dB: </w:t>
            </w:r>
            <w:r>
              <w:rPr>
                <w:rFonts w:eastAsia="Times New Roman" w:cs="Times New Roman" w:ascii="Atkinson Hyperlegible" w:hAnsi="Atkinson Hyperlegible"/>
                <w:color w:val="2A6099"/>
                <w:kern w:val="0"/>
                <w:sz w:val="20"/>
                <w:szCs w:val="20"/>
                <w:lang w:val="en-US" w:eastAsia="en-US" w:bidi="ar-SA"/>
              </w:rPr>
              <w:t>10 kHz</w:t>
            </w:r>
          </w:p>
        </w:tc>
      </w:tr>
    </w:tbl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>
          <w:rFonts w:ascii="Atkinson Hyperlegible" w:hAnsi="Atkinson Hyperlegible"/>
        </w:rPr>
        <w:t xml:space="preserve">Plot of magnitude response of the voltage gain in dB for the two non-inverting amplifier circuits and the circuit from Problem </w:t>
      </w:r>
      <w:r>
        <w:rPr>
          <w:rFonts w:ascii="Atkinson Hyperlegible" w:hAnsi="Atkinson Hyperlegible"/>
        </w:rPr>
        <w:fldChar w:fldCharType="begin"/>
      </w:r>
      <w:r>
        <w:rPr>
          <w:rFonts w:ascii="Atkinson Hyperlegible" w:hAnsi="Atkinson Hyperlegible"/>
        </w:rPr>
        <w:instrText xml:space="preserve"> REF _Ref460346730 \r \h </w:instrText>
      </w:r>
      <w:r>
        <w:rPr>
          <w:rFonts w:ascii="Atkinson Hyperlegible" w:hAnsi="Atkinson Hyperlegible"/>
        </w:rPr>
        <w:fldChar w:fldCharType="separate"/>
      </w:r>
      <w:r>
        <w:rPr>
          <w:rFonts w:ascii="Atkinson Hyperlegible" w:hAnsi="Atkinson Hyperlegible"/>
        </w:rPr>
        <w:t>3.5</w:t>
      </w:r>
      <w:r>
        <w:rPr>
          <w:rFonts w:ascii="Atkinson Hyperlegible" w:hAnsi="Atkinson Hyperlegible"/>
        </w:rPr>
        <w:fldChar w:fldCharType="end"/>
      </w:r>
      <w:r>
        <w:rPr>
          <w:rFonts w:ascii="Atkinson Hyperlegible" w:hAnsi="Atkinson Hyperlegible"/>
        </w:rPr>
        <w:t xml:space="preserve"> on the same plot:</w:t>
      </w:r>
    </w:p>
    <w:p>
      <w:pPr>
        <w:pStyle w:val="Normal"/>
        <w:ind w:left="540" w:hanging="0"/>
        <w:rPr>
          <w:rFonts w:ascii="Atkinson Hyperlegible" w:hAnsi="Atkinson Hyperlegib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5337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20" w:right="1320" w:gutter="0" w:header="0" w:top="980" w:footer="0" w:bottom="28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tkinson Hyperlegibl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4738"/>
    <w:pPr>
      <w:widowControl/>
      <w:suppressAutoHyphens w:val="true"/>
      <w:bidi w:val="0"/>
      <w:spacing w:lineRule="auto" w:line="288" w:before="0" w:after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c6e"/>
    <w:pPr>
      <w:keepNext w:val="true"/>
      <w:spacing w:lineRule="auto" w:line="360" w:before="240" w:after="60"/>
      <w:outlineLvl w:val="0"/>
    </w:pPr>
    <w:rPr>
      <w:rFonts w:ascii="Times New Roman" w:hAnsi="Times New Roman" w:eastAsia="" w:cs="Times New Roman" w:asciiTheme="majorBidi" w:cstheme="majorBidi" w:eastAsiaTheme="majorEastAsia" w:hAnsiTheme="majorBidi"/>
      <w:bCs/>
      <w:kern w:val="2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1c6e"/>
    <w:pPr>
      <w:outlineLvl w:val="1"/>
    </w:pPr>
    <w:rPr>
      <w:bCs w:val="false"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6e"/>
    <w:pPr>
      <w:keepNext w:val="true"/>
      <w:spacing w:before="240" w:after="6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6e"/>
    <w:pPr>
      <w:keepNext w:val="true"/>
      <w:spacing w:before="240" w:after="60"/>
      <w:outlineLvl w:val="3"/>
    </w:pPr>
    <w:rPr>
      <w:rFonts w:ascii="Calibri" w:hAnsi="Calibri" w:eastAsia="" w:cs="Arial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6e"/>
    <w:pPr>
      <w:spacing w:before="240" w:after="60"/>
      <w:outlineLvl w:val="4"/>
    </w:pPr>
    <w:rPr>
      <w:rFonts w:ascii="Calibri" w:hAnsi="Calibri" w:eastAsia="" w:cs="Arial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1c6e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6e"/>
    <w:pPr>
      <w:spacing w:before="240" w:after="60"/>
      <w:outlineLvl w:val="6"/>
    </w:pPr>
    <w:rPr>
      <w:rFonts w:ascii="Calibri" w:hAnsi="Calibri" w:eastAsia="" w:cs="Arial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6e"/>
    <w:pPr>
      <w:spacing w:before="240" w:after="60"/>
      <w:outlineLvl w:val="7"/>
    </w:pPr>
    <w:rPr>
      <w:rFonts w:ascii="Calibri" w:hAnsi="Calibri" w:eastAsia="" w:cs="Arial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6e"/>
    <w:pPr>
      <w:spacing w:before="240" w:after="60"/>
      <w:outlineLvl w:val="8"/>
    </w:pPr>
    <w:rPr>
      <w:rFonts w:ascii="Cambria" w:hAnsi="Cambria" w:eastAsia="" w:cs="Times New Roman" w:asciiTheme="majorHAnsi" w:cstheme="majorBid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1c6e"/>
    <w:rPr>
      <w:rFonts w:ascii="Times New Roman" w:hAnsi="Times New Roman" w:eastAsia="" w:cs="Times New Roman" w:asciiTheme="majorBidi" w:cstheme="majorBidi" w:eastAsiaTheme="majorEastAsia" w:hAnsiTheme="majorBidi"/>
      <w:bCs/>
      <w:kern w:val="2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11c6e"/>
    <w:rPr>
      <w:rFonts w:ascii="Times New Roman" w:hAnsi="Times New Roman" w:eastAsia="" w:cs="Times New Roman" w:asciiTheme="majorBidi" w:cstheme="majorBidi" w:eastAsiaTheme="majorEastAsia" w:hAnsiTheme="majorBidi"/>
      <w:iCs/>
      <w:kern w:val="2"/>
      <w:sz w:val="24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11c6e"/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d11c6e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11c6e"/>
    <w:rPr>
      <w:rFonts w:ascii="Calibri" w:hAnsi="Calibri" w:eastAsia="" w:cs="Arial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11c6e"/>
    <w:rPr>
      <w:rFonts w:ascii="Cambria" w:hAnsi="Cambria" w:eastAsia="" w:cs="Times New Roman" w:asciiTheme="majorHAnsi" w:cstheme="majorBidi" w:eastAsiaTheme="majorEastAsia" w:hAnsiTheme="maj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787c77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87c77"/>
    <w:rPr>
      <w:rFonts w:ascii="Lucida Grande" w:hAnsi="Lucida Grande" w:cs="Lucida Grande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c4021c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256f4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256f4"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7c77"/>
    <w:pPr/>
    <w:rPr>
      <w:rFonts w:ascii="Lucida Grande" w:hAnsi="Lucida Grande" w:cs="Lucida Grande"/>
      <w:sz w:val="18"/>
      <w:szCs w:val="1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11c6e"/>
    <w:pPr>
      <w:keepLines/>
      <w:spacing w:lineRule="auto" w:line="276" w:before="480" w:after="0"/>
      <w:outlineLvl w:val="9"/>
    </w:pPr>
    <w:rPr>
      <w:color w:val="365F91" w:themeColor="accent1" w:themeShade="bf"/>
      <w:kern w:val="0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c4021c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e256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256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6b7475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a26dc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02a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CE4405-BD7E-4850-A12E-4EDA199B9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Application>LibreOffice/7.4.5.1$Linux_X86_64 LibreOffice_project/40$Build-1</Application>
  <AppVersion>15.0000</AppVersion>
  <Pages>3</Pages>
  <Words>267</Words>
  <Characters>1335</Characters>
  <CharactersWithSpaces>1558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2015-09-09T04:44:00Z</dcterms:created>
  <dc:creator/>
  <dc:description/>
  <dc:language>en-US</dc:language>
  <cp:lastModifiedBy/>
  <dcterms:modified xsi:type="dcterms:W3CDTF">2023-02-22T20:59:49Z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