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 handbook</w:t>
      </w:r>
    </w:p>
    <w:p>
      <w:r>
        <w:t>Deploy safely. Preserve café and Romanian diacritics: țară.</w:t>
      </w:r>
    </w:p>
    <w:p>
      <w:pPr>
        <w:pStyle w:val="Heading2"/>
      </w:pPr>
      <w:r>
        <w:t>Checks</w:t>
      </w:r>
    </w:p>
    <w:p>
      <w:pPr>
        <w:pStyle w:val="ListBullet"/>
      </w:pPr>
      <w:r>
        <w:t>Check health</w:t>
      </w:r>
    </w:p>
    <w:p>
      <w:pPr>
        <w:pStyle w:val="ListBullet"/>
      </w:pPr>
      <w:r>
        <w:t>Check logs</w:t>
      </w:r>
    </w:p>
    <w:p>
      <w:pPr>
        <w:pStyle w:val="ListNumber"/>
      </w:pPr>
      <w:r>
        <w:t>Stage release</w:t>
      </w:r>
    </w:p>
    <w:p>
      <w:pPr>
        <w:pStyle w:val="ListNumber"/>
      </w:pPr>
      <w:r>
        <w:t>Promote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staging</w:t>
            </w:r>
          </w:p>
        </w:tc>
        <w:tc>
          <w:tcPr>
            <w:tcW w:type="dxa" w:w="4320"/>
          </w:tcPr>
          <w:p>
            <w:r>
              <w:t>automatic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>manual</w:t>
            </w:r>
          </w:p>
        </w:tc>
      </w:tr>
    </w:tbl>
    <w:p>
      <w:pPr>
        <w:pStyle w:val="Heading1"/>
      </w:pPr>
      <w:r>
        <w:t>Recovery</w:t>
      </w:r>
    </w:p>
    <w:p>
      <w:r>
        <w:t>Roll back; keep an audit trail.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