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Resultados de modelos de datos en panel</w:t>
      </w:r>
    </w:p>
    <w:p>
      <w:pPr>
        <w:pStyle w:val="Normal"/>
      </w:pPr>
      <w:r>
        <w:t xml:space="preserve">Análisis del efecto de las viviendas vacacionales sobre el precio del alquiler a nivel municipio-año (2019–2023).</w:t>
      </w:r>
    </w:p>
    <w:p>
      <w:pPr>
        <w:pStyle w:val="Titre2"/>
      </w:pPr>
      <w:r>
        <w:t xml:space="preserve">1. Estructura del panel</w:t>
      </w:r>
    </w:p>
    <w:p>
      <w:pPr>
        <w:pStyle w:val="Normal"/>
      </w:pPr>
      <w:r>
        <w:t xml:space="preserve">Se comprueba la estructura básica del panel antes de la estimación de los modelos.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47"/>
        <w:gridCol w:w="1695"/>
        <w:gridCol w:w="1181"/>
        <w:gridCol w:w="2209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n_filas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n_municipios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panel_balanceado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true</w:t>
            </w:r>
          </w:p>
        </w:tc>
      </w:tr>
    </w:tbl>
    <w:p>
      <w:pPr>
        <w:pStyle w:val="Titre3"/>
      </w:pPr>
      <w:r>
        <w:t xml:space="preserve">Balance del panel por municipio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5"/>
        <w:gridCol w:w="2441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TERRITORIO_CODE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n_anios_observados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38901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</w:tr>
    </w:tbl>
    <w:p>
      <w:pPr>
        <w:pStyle w:val="Titre2"/>
      </w:pPr>
      <w:r>
        <w:t xml:space="preserve">2. Revisión orientativa de colinealidad</w:t>
      </w:r>
    </w:p>
    <w:p>
      <w:pPr>
        <w:pStyle w:val="Normal"/>
      </w:pPr>
      <w:r>
        <w:t xml:space="preserve">Se incluye una matriz de correlaciones entre variables explicativas candidatas y una revisión orientativa mediante VIF.</w:t>
      </w:r>
    </w:p>
    <w:p>
      <w:pPr>
        <w:pStyle w:val="Titre3"/>
      </w:pPr>
      <w:r>
        <w:t xml:space="preserve">2.1 Matriz de correlaciones entre explicativas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414"/>
        <w:gridCol w:w="6377"/>
        <w:gridCol w:w="6414"/>
        <w:gridCol w:w="4213"/>
        <w:gridCol w:w="3614"/>
        <w:gridCol w:w="3772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RENTA_BRUTA_MEDIA_HOGAR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-0.1719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-0.1517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-0.1343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0.9869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RENTA_BRUTA_MEDIA_HOGAR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1.0000</w:t>
            </w:r>
          </w:p>
        </w:tc>
      </w:tr>
    </w:tbl>
    <w:p>
      <w:pPr>
        <w:pStyle w:val="Titre3"/>
      </w:pPr>
      <w:r>
        <w:t xml:space="preserve">2.2 Factores de inflación de la varianza (VIF)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414"/>
        <w:gridCol w:w="1328"/>
      </w:tblGrid>
      <w:tr>
        <w:trPr>
          <w:trHeight w:val="5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VIF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502.9521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438.1679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29.7564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1.2887</w:t>
            </w:r>
          </w:p>
        </w:tc>
      </w:tr>
    </w:tbl>
    <w:p>
      <w:pPr>
        <w:pStyle w:val="Titre2"/>
      </w:pPr>
      <w:r>
        <w:t xml:space="preserve">3. Especificaciones estimadas</w:t>
      </w:r>
    </w:p>
    <w:p>
      <w:pPr>
        <w:pStyle w:val="Normal"/>
      </w:pPr>
      <w:r>
        <w:t xml:space="preserve">Para cada variable dependiente se estiman cuatro especificaciones: pooled OLS, efectos fijos por municipio, efectos fijos bidireccionales y efectos aleatorios. Además, para cada combinación se estiman dos versiones: una sin control y otra con control por renta neta media del hogar.</w:t>
      </w:r>
    </w:p>
    <w:p>
      <w:pPr>
        <w:pStyle w:val="Normal"/>
      </w:pPr>
      <w:r>
        <w:t xml:space="preserve">Las variables dependientes principales son el alquiler mediano por metro cuadrado en vivienda colectiva y en vivienda unifamiliar. Como análisis de robustez se incorporan también las variables de alquiler mediano total del inmueble para ambos tipos de vivienda.</w:t>
      </w:r>
    </w:p>
    <w:p>
      <w:pPr>
        <w:pStyle w:val="Titre2"/>
      </w:pPr>
      <w:r>
        <w:t xml:space="preserve">4. Resumen del efecto estimado de la variable vacacional</w:t>
      </w:r>
    </w:p>
    <w:p>
      <w:pPr>
        <w:pStyle w:val="Normal"/>
      </w:pPr>
      <w:r>
        <w:t xml:space="preserve">Esta sección resume, para cada modelo, el coeficiente asociado a la variable vacacional utilizada como explicativa principal.</w:t>
      </w:r>
    </w:p>
    <w:p>
      <w:pPr>
        <w:pStyle w:val="Titre3"/>
      </w:pPr>
      <w:r>
        <w:t xml:space="preserve">4.1 Modelos principales (alquiler por m²)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9"/>
        <w:gridCol w:w="3418"/>
        <w:gridCol w:w="6414"/>
        <w:gridCol w:w="1793"/>
        <w:gridCol w:w="1132"/>
        <w:gridCol w:w="1462"/>
        <w:gridCol w:w="1291"/>
        <w:gridCol w:w="1450"/>
        <w:gridCol w:w="1132"/>
        <w:gridCol w:w="1793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tipo_dependiente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explicativa_principal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estimacion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error_std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estadistico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significativo_5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5.8504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</w:tbl>
    <w:p>
      <w:pPr>
        <w:pStyle w:val="Titre3"/>
      </w:pPr>
      <w:r>
        <w:t xml:space="preserve">4.2 Modelos de robustez (alquiler total del inmueble)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9"/>
        <w:gridCol w:w="3932"/>
        <w:gridCol w:w="6414"/>
        <w:gridCol w:w="1793"/>
        <w:gridCol w:w="1132"/>
        <w:gridCol w:w="1462"/>
        <w:gridCol w:w="1291"/>
        <w:gridCol w:w="1450"/>
        <w:gridCol w:w="1132"/>
        <w:gridCol w:w="1793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tipo_dependiente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explicativa_principal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estimacion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error_std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estadistico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significativo_5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6.6458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1.7136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7.6832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Sí</w:t>
            </w:r>
          </w:p>
        </w:tc>
      </w:tr>
    </w:tbl>
    <w:p>
      <w:pPr>
        <w:pStyle w:val="Titre2"/>
      </w:pPr>
      <w:r>
        <w:t xml:space="preserve">5. Coeficientes principales completos</w:t>
      </w:r>
    </w:p>
    <w:p>
      <w:pPr>
        <w:pStyle w:val="Normal"/>
      </w:pPr>
      <w:r>
        <w:t xml:space="preserve">La siguiente tabla recoge los coeficientes principales estimados con errores robustos, incluyendo la variable vacacional y, cuando procede, la renta neta media del hogar.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9"/>
        <w:gridCol w:w="3932"/>
        <w:gridCol w:w="6414"/>
        <w:gridCol w:w="1793"/>
        <w:gridCol w:w="1132"/>
        <w:gridCol w:w="6414"/>
        <w:gridCol w:w="1462"/>
        <w:gridCol w:w="1291"/>
        <w:gridCol w:w="1450"/>
        <w:gridCol w:w="1132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tipo_dependiente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explicativa_principal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termino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estimacion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error_std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estadistico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p_valor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0.5883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20.6217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18.7576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20.4422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0.6676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20.0912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0.5951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17.6663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0.5995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12.5751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11.8288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0.4635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0.1329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4.4809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11.2793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0.3386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0.0807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10.5180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4.9754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22.7297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0.7333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0.5825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22.6733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0.4254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22.2234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0.0479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0.8762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22.2586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0.7731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0.5471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21.9370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-0.6544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-2.2325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0.9528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21.4284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0.9981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0.4922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0.8731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11.8738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0.3392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5.8755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11.6038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0.7532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0.3654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11.9433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6.6458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6.2887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0.7531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0.4328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RENTA_NETA_MEDIA_HOGAR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11.4151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0.0394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0.0306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1.7136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7.6832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</w:tr>
    </w:tbl>
    <w:p>
      <w:pPr>
        <w:pStyle w:val="Titre2"/>
      </w:pPr>
      <w:r>
        <w:t xml:space="preserve">6. Estadísticos de ajuste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9"/>
        <w:gridCol w:w="3932"/>
        <w:gridCol w:w="6414"/>
        <w:gridCol w:w="1793"/>
        <w:gridCol w:w="1132"/>
        <w:gridCol w:w="888"/>
        <w:gridCol w:w="1084"/>
        <w:gridCol w:w="1560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tipo_dependiente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explicativa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r2_ajustado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0.3204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-0.0830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-0.1905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0.2117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0.3423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0.5743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-0.1807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0.5972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0.3161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-0.0236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-0.1802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0.2412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0.3339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0.5746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-0.1752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0.5955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0.3087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-0.1031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-0.1830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0.2004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0.5746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-0.1731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0.5984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0.2640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-0.1074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-0.2377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0.1488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0.2979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0.2944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-0.2016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0.3825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0.2592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-0.0618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-0.2289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0.1738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0.2885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0.2957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-0.1979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0.3816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0.2824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-0.1364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-0.2443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0.1364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0.3106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0.2930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-0.2069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0.3795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-0.1528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-0.2755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0.1316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0.2580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0.6772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-0.2106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0.6868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0.0897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-0.1045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-0.2747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0.1539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0.2523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0.6777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-0.2109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0.6870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0.1061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-0.1703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-0.2729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0.1327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0.2713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0.6762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-0.2096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0.6860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-0.1154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-0.2390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0.2344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0.3602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-0.2377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0.4417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0.0359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-0.0758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-0.2396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0.0930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0.2289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0.3602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-0.2395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0.4408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-0.1474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-0.2463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0.2547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0.3600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-0.2445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0.4403</w:t>
            </w:r>
          </w:p>
        </w:tc>
      </w:tr>
    </w:tbl>
    <w:p>
      <w:pPr>
        <w:pStyle w:val="Titre2"/>
      </w:pPr>
      <w:r>
        <w:t xml:space="preserve">7. Tests econométricos</w:t>
      </w:r>
    </w:p>
    <w:p>
      <w:pPr>
        <w:pStyle w:val="Normal"/>
      </w:pPr>
      <w:r>
        <w:t xml:space="preserve">Se incluyen tests F para comparar pooled OLS frente a modelos con efectos fijos, así como el test de Hausman para comparar efectos fijos y aleatorios.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9"/>
        <w:gridCol w:w="3932"/>
        <w:gridCol w:w="6414"/>
        <w:gridCol w:w="1793"/>
        <w:gridCol w:w="11562"/>
        <w:gridCol w:w="1817"/>
        <w:gridCol w:w="1450"/>
        <w:gridCol w:w="1132"/>
        <w:gridCol w:w="625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tipo_dependiente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dependiente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explicativa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especificacion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modelo_id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estadistico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decision_orientativa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31.0577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107.2898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 rechaza RE frente a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81.8577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104.3347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30.7291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33.3142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108.9654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 rechaza RE frente a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106.2249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36.0732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109.9249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 rechaza RE frente a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84.0518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107.7578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ALQUILER_MED_M_M2_COL__PLAZAS_DISPONIBLES_M_PER_MIL__con_control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65.9368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102.2722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 rechaza RE frente a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100.4588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100.1847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23.4629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69.4128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103.7292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 rechaza RE frente a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102.0405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101.8932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24.7280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62.4428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 rechaza RE frente a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98.3602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97.8494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principal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ALQUILER_MED_M_M2_U__PLAZAS_DISPONIBLES_M_PER_MIL__con_control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19.1386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101.2827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8.2530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62.8002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86.1553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30.4392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20.1167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101.2367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10.6235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63.4168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86.8143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32.4994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18.3646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99.4976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61.3958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84.6190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ALQUILER_MED_M_T_INMU_COL__PLAZAS_DISPONIBLES_M_PER_MIL__con_control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31.1257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38.0282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75.5350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54.0672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59.1493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 rechaza RE frente a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39.5830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75.5083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ALQUILER_MED_M_T_INMU_U__VIVIENDAS_VACACIONALES_RESERVADAS_M_PER_MIL__sin_control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10.4808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54.4849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59.5091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VIVIENDAS_VACACIONALES_RESERVADAS_M_PER_MIL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ALQUILER_MED_M_T_INMU_U__VIVIENDAS_VACACIONALES_RESERVADAS_M_PER_MIL__con_control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 rechaza RE frente a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35.9370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73.2952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ALQUILER_MED_M_T_INMU_U__PLAZAS_DISPONIBLES_M_PER_MIL__sin_control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52.5096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ALQUILER_MED_M_T_INMU_U__PLAZAS_DISPONIBLES_M_PER_MIL__con_control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pool_vs_fe_tw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57.1417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pooled OLS a favor del modelo con efectos fijos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PLAZAS_DISPONIBLES_M_PER_MIL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con_control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ALQUILER_MED_M_T_INMU_U__PLAZAS_DISPONIBLES_M_PER_MIL__con_control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hausman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8.4834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 rechaza RE a favor de FE</w:t>
            </w:r>
          </w:p>
        </w:tc>
      </w:tr>
    </w:tbl>
    <w:p>
      <w:pPr>
        <w:pStyle w:val="Titre2"/>
      </w:pPr>
      <w:r>
        <w:t xml:space="preserve">8. Nota de interpretación</w:t>
      </w:r>
    </w:p>
    <w:p>
      <w:pPr>
        <w:pStyle w:val="Normal"/>
      </w:pPr>
      <w:r>
        <w:t xml:space="preserve">Este documento recoge resultados cuantitativos de apoyo a la interpretación. La selección del modelo principal debe basarse conjuntamente en los tests, la estabilidad de los coeficientes, la comparación entre especificaciones con y sin controles y la coherencia sustantiva de los resultados.</w:t>
      </w:r>
    </w:p>
    <w:p>
      <w:pPr>
        <w:pStyle w:val="Normal"/>
      </w:pPr>
      <w:r>
        <w:t xml:space="preserve">Los modelos de robustez permiten comprobar si el patrón observado cambia cuando el alquiler se mide en términos totales en lugar de por metro cuadrado.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2026-04-20T12:05:21Z</dcterms:modified>
  <cp:category/>
</cp:coreProperties>
</file>