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F2BB" w14:textId="77777777" w:rsidR="000A54A9" w:rsidRPr="00416EE1" w:rsidRDefault="00000000">
      <w:pPr>
        <w:spacing w:after="40"/>
        <w:rPr>
          <w:color w:val="215E99" w:themeColor="text2" w:themeTint="BF"/>
        </w:rPr>
      </w:pPr>
      <w:r w:rsidRPr="00416EE1">
        <w:rPr>
          <w:b/>
          <w:bCs/>
          <w:color w:val="215E99" w:themeColor="text2" w:themeTint="BF"/>
          <w:sz w:val="34"/>
          <w:szCs w:val="34"/>
        </w:rPr>
        <w:t>LSMS Research Impact Tracking Pipeline</w:t>
      </w:r>
    </w:p>
    <w:p w14:paraId="6BB0B4DE" w14:textId="77777777" w:rsidR="000A54A9" w:rsidRDefault="00000000">
      <w:pPr>
        <w:spacing w:after="240"/>
        <w:rPr>
          <w:i/>
          <w:iCs/>
          <w:color w:val="555555"/>
          <w:sz w:val="21"/>
          <w:szCs w:val="21"/>
        </w:rPr>
      </w:pPr>
      <w:r>
        <w:rPr>
          <w:i/>
          <w:iCs/>
          <w:color w:val="555555"/>
          <w:sz w:val="21"/>
          <w:szCs w:val="21"/>
        </w:rPr>
        <w:t>Full documentation and user guide</w:t>
      </w:r>
    </w:p>
    <w:p w14:paraId="505B02A2" w14:textId="0A664966" w:rsidR="001D707A" w:rsidRDefault="00000000" w:rsidP="001D707A">
      <w:pPr>
        <w:pStyle w:val="Heading1"/>
        <w:spacing w:before="280" w:after="110"/>
      </w:pPr>
      <w:r>
        <w:t xml:space="preserve">1. </w:t>
      </w:r>
      <w:r w:rsidR="00AF4A17">
        <w:t>Project Description</w:t>
      </w:r>
    </w:p>
    <w:p w14:paraId="1CC08A7A" w14:textId="500D0375" w:rsidR="00EA134A" w:rsidRPr="00416EE1" w:rsidRDefault="002C0D65" w:rsidP="002C0D65">
      <w:pPr>
        <w:spacing w:after="100"/>
        <w:rPr>
          <w:color w:val="000000" w:themeColor="text1"/>
        </w:rPr>
      </w:pPr>
      <w:r w:rsidRPr="00416EE1">
        <w:rPr>
          <w:color w:val="000000" w:themeColor="text1"/>
        </w:rPr>
        <w:t>This pipeline is a fully automated Python program. It finds every research paper that uses an LSMS-produced dataset, checks</w:t>
      </w:r>
      <w:r w:rsidR="0069134B" w:rsidRPr="00416EE1">
        <w:rPr>
          <w:color w:val="000000" w:themeColor="text1"/>
        </w:rPr>
        <w:t xml:space="preserve">  </w:t>
      </w:r>
      <w:r w:rsidRPr="00416EE1">
        <w:rPr>
          <w:color w:val="000000" w:themeColor="text1"/>
        </w:rPr>
        <w:t>how strong the evidence is for each match, and exports a structured Excel workbook. The entire process, including discovery, validation, and export, takes about five minutes with no manual work required.</w:t>
      </w:r>
      <w:r w:rsidR="005370E7" w:rsidRPr="00416EE1">
        <w:rPr>
          <w:color w:val="000000" w:themeColor="text1"/>
        </w:rPr>
        <w:t xml:space="preserve"> </w:t>
      </w:r>
      <w:r w:rsidRPr="00416EE1">
        <w:rPr>
          <w:color w:val="000000" w:themeColor="text1"/>
        </w:rPr>
        <w:t xml:space="preserve">The program runs through a custom-built interface. A user enters a free API key, clicks one button, and receives a finished </w:t>
      </w:r>
      <w:r w:rsidR="009F795D" w:rsidRPr="00416EE1">
        <w:rPr>
          <w:color w:val="000000" w:themeColor="text1"/>
        </w:rPr>
        <w:t>excel workbook with the list of all Papers</w:t>
      </w:r>
      <w:r w:rsidRPr="00416EE1">
        <w:rPr>
          <w:color w:val="000000" w:themeColor="text1"/>
        </w:rPr>
        <w:t>.</w:t>
      </w:r>
    </w:p>
    <w:p w14:paraId="0B2C43B6" w14:textId="6A5F3846" w:rsidR="006769CA" w:rsidRDefault="006769CA" w:rsidP="006769CA">
      <w:pPr>
        <w:pStyle w:val="Heading2"/>
        <w:spacing w:before="180" w:after="80"/>
      </w:pPr>
      <w:r>
        <w:t xml:space="preserve">1.1 </w:t>
      </w:r>
      <w:r w:rsidR="004A6E2E">
        <w:t xml:space="preserve">Original </w:t>
      </w:r>
      <w:r>
        <w:t>Goal</w:t>
      </w:r>
    </w:p>
    <w:p w14:paraId="690AC658" w14:textId="3CC9220E" w:rsidR="00A80268" w:rsidRDefault="009F795D" w:rsidP="002C0D65">
      <w:pPr>
        <w:spacing w:after="100"/>
      </w:pPr>
      <w:r>
        <w:t xml:space="preserve">The original </w:t>
      </w:r>
      <w:r w:rsidRPr="009F795D">
        <w:t xml:space="preserve">goal of this project </w:t>
      </w:r>
      <w:r>
        <w:t>was</w:t>
      </w:r>
      <w:r w:rsidRPr="009F795D">
        <w:t xml:space="preserve"> to collect more objective metrics on the impact of LSMS</w:t>
      </w:r>
      <w:r>
        <w:t>. Primarily, to r</w:t>
      </w:r>
      <w:r w:rsidRPr="009F795D">
        <w:t>eplace manual tracking with a fast, repeatable process that reliably measures the three requested metrics: TOTAL, FLOW, and SHARE.</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8575"/>
      </w:tblGrid>
      <w:tr w:rsidR="00A80268" w14:paraId="465AAA4F" w14:textId="77777777" w:rsidTr="006D60A1">
        <w:tc>
          <w:tcPr>
            <w:tcW w:w="1500" w:type="dxa"/>
            <w:shd w:val="clear" w:color="auto" w:fill="4C94D8" w:themeFill="text2" w:themeFillTint="80"/>
          </w:tcPr>
          <w:p w14:paraId="5D681973" w14:textId="77777777" w:rsidR="00A80268" w:rsidRPr="00865841" w:rsidRDefault="00A80268" w:rsidP="00116DC5">
            <w:r w:rsidRPr="00865841">
              <w:rPr>
                <w:b/>
                <w:bCs/>
                <w:color w:val="FFFFFF"/>
                <w:sz w:val="18"/>
                <w:szCs w:val="18"/>
              </w:rPr>
              <w:t>Metric</w:t>
            </w:r>
          </w:p>
        </w:tc>
        <w:tc>
          <w:tcPr>
            <w:tcW w:w="8575" w:type="dxa"/>
            <w:shd w:val="clear" w:color="auto" w:fill="4C94D8" w:themeFill="text2" w:themeFillTint="80"/>
          </w:tcPr>
          <w:p w14:paraId="7DA537CD" w14:textId="77777777" w:rsidR="00A80268" w:rsidRPr="00865841" w:rsidRDefault="00A80268" w:rsidP="00116DC5">
            <w:r w:rsidRPr="00865841">
              <w:rPr>
                <w:b/>
                <w:bCs/>
                <w:color w:val="FFFFFF"/>
                <w:sz w:val="18"/>
                <w:szCs w:val="18"/>
              </w:rPr>
              <w:t>Definition</w:t>
            </w:r>
          </w:p>
        </w:tc>
      </w:tr>
      <w:tr w:rsidR="00A80268" w14:paraId="0632906B" w14:textId="77777777" w:rsidTr="006D60A1">
        <w:tc>
          <w:tcPr>
            <w:tcW w:w="1500" w:type="dxa"/>
          </w:tcPr>
          <w:p w14:paraId="1F4475D6" w14:textId="77777777" w:rsidR="00A80268" w:rsidRPr="00865841" w:rsidRDefault="00A80268" w:rsidP="00116DC5">
            <w:r w:rsidRPr="00865841">
              <w:rPr>
                <w:color w:val="000000"/>
                <w:sz w:val="18"/>
                <w:szCs w:val="18"/>
              </w:rPr>
              <w:t>TOTAL</w:t>
            </w:r>
          </w:p>
        </w:tc>
        <w:tc>
          <w:tcPr>
            <w:tcW w:w="8575" w:type="dxa"/>
          </w:tcPr>
          <w:p w14:paraId="2069641E" w14:textId="156FF513" w:rsidR="00A80268" w:rsidRPr="00865841" w:rsidRDefault="002C0D65" w:rsidP="00116DC5">
            <w:r w:rsidRPr="00865841">
              <w:rPr>
                <w:color w:val="000000"/>
                <w:sz w:val="18"/>
                <w:szCs w:val="18"/>
              </w:rPr>
              <w:t>The full count of papers using an LSMS dataset, across all years.</w:t>
            </w:r>
          </w:p>
        </w:tc>
      </w:tr>
      <w:tr w:rsidR="00A80268" w14:paraId="6936D6A5" w14:textId="77777777" w:rsidTr="006D60A1">
        <w:tc>
          <w:tcPr>
            <w:tcW w:w="1500" w:type="dxa"/>
          </w:tcPr>
          <w:p w14:paraId="5CDB1137" w14:textId="77777777" w:rsidR="00A80268" w:rsidRPr="00865841" w:rsidRDefault="00A80268" w:rsidP="00116DC5">
            <w:r w:rsidRPr="00865841">
              <w:rPr>
                <w:color w:val="000000"/>
                <w:sz w:val="18"/>
                <w:szCs w:val="18"/>
              </w:rPr>
              <w:t>FLOW</w:t>
            </w:r>
          </w:p>
        </w:tc>
        <w:tc>
          <w:tcPr>
            <w:tcW w:w="8575" w:type="dxa"/>
          </w:tcPr>
          <w:p w14:paraId="5B305B99" w14:textId="24FD5E23" w:rsidR="00A80268" w:rsidRPr="00865841" w:rsidRDefault="002C0D65" w:rsidP="00116DC5">
            <w:r w:rsidRPr="00865841">
              <w:rPr>
                <w:color w:val="000000"/>
                <w:sz w:val="18"/>
                <w:szCs w:val="18"/>
              </w:rPr>
              <w:t>The number of new papers per World Bank fiscal year (FY = July 1 to June 30).</w:t>
            </w:r>
          </w:p>
        </w:tc>
      </w:tr>
      <w:tr w:rsidR="00A80268" w14:paraId="10ACBC52" w14:textId="77777777" w:rsidTr="006D60A1">
        <w:tc>
          <w:tcPr>
            <w:tcW w:w="1500" w:type="dxa"/>
          </w:tcPr>
          <w:p w14:paraId="77D55E84" w14:textId="77777777" w:rsidR="00A80268" w:rsidRPr="00865841" w:rsidRDefault="00A80268" w:rsidP="00116DC5">
            <w:r w:rsidRPr="00865841">
              <w:rPr>
                <w:color w:val="000000"/>
                <w:sz w:val="18"/>
                <w:szCs w:val="18"/>
              </w:rPr>
              <w:t>SHARE</w:t>
            </w:r>
          </w:p>
        </w:tc>
        <w:tc>
          <w:tcPr>
            <w:tcW w:w="8575" w:type="dxa"/>
          </w:tcPr>
          <w:p w14:paraId="4F97E158" w14:textId="10C9332B" w:rsidR="00A80268" w:rsidRPr="00865841" w:rsidRDefault="002C0D65" w:rsidP="00116DC5">
            <w:r w:rsidRPr="00865841">
              <w:rPr>
                <w:color w:val="000000"/>
                <w:sz w:val="18"/>
                <w:szCs w:val="18"/>
              </w:rPr>
              <w:t>The percentage of papers with an African-affiliated author.</w:t>
            </w:r>
          </w:p>
        </w:tc>
      </w:tr>
    </w:tbl>
    <w:p w14:paraId="29441138" w14:textId="7B1784A5" w:rsidR="006769CA" w:rsidRDefault="006769CA" w:rsidP="006769CA">
      <w:pPr>
        <w:pStyle w:val="Heading2"/>
        <w:spacing w:before="180" w:after="80"/>
      </w:pPr>
      <w:r>
        <w:t xml:space="preserve">1.2 </w:t>
      </w:r>
      <w:r w:rsidR="004A6E2E">
        <w:t>Final Version</w:t>
      </w:r>
    </w:p>
    <w:p w14:paraId="79170B8C" w14:textId="1A82DC24" w:rsidR="009F795D" w:rsidRDefault="009F795D" w:rsidP="009F795D">
      <w:pPr>
        <w:spacing w:after="100"/>
      </w:pPr>
      <w:r>
        <w:t>The final output goes beyond the three requested numbers. Every run produces a complete workbook that includes:</w:t>
      </w:r>
    </w:p>
    <w:p w14:paraId="76944222" w14:textId="1F2677F4" w:rsidR="009F795D" w:rsidRDefault="009F795D" w:rsidP="009F795D">
      <w:pPr>
        <w:pStyle w:val="ListParagraph"/>
        <w:numPr>
          <w:ilvl w:val="0"/>
          <w:numId w:val="10"/>
        </w:numPr>
        <w:spacing w:after="100"/>
      </w:pPr>
      <w:r>
        <w:t>A full paper-by-paper record (</w:t>
      </w:r>
      <w:r w:rsidRPr="00B337E0">
        <w:rPr>
          <w:b/>
          <w:bCs/>
        </w:rPr>
        <w:t>Papers</w:t>
      </w:r>
      <w:r w:rsidR="00B337E0">
        <w:rPr>
          <w:b/>
          <w:bCs/>
        </w:rPr>
        <w:t xml:space="preserve"> excel sheet</w:t>
      </w:r>
      <w:r>
        <w:t xml:space="preserve">), including: </w:t>
      </w:r>
    </w:p>
    <w:p w14:paraId="4DD45E7E" w14:textId="59C8D07D" w:rsidR="009F795D" w:rsidRDefault="009F795D" w:rsidP="009F795D">
      <w:pPr>
        <w:pStyle w:val="ListParagraph"/>
        <w:numPr>
          <w:ilvl w:val="1"/>
          <w:numId w:val="10"/>
        </w:numPr>
        <w:spacing w:after="100"/>
      </w:pPr>
      <w:r>
        <w:t>title, DOI, authors, institutional affiliations, and publication date (with FY categorization) for every paper</w:t>
      </w:r>
      <w:r w:rsidR="00342945">
        <w:t>,</w:t>
      </w:r>
    </w:p>
    <w:p w14:paraId="235C897A" w14:textId="063C9EB9" w:rsidR="009F795D" w:rsidRDefault="00DF1D75" w:rsidP="009F795D">
      <w:pPr>
        <w:pStyle w:val="ListParagraph"/>
        <w:numPr>
          <w:ilvl w:val="1"/>
          <w:numId w:val="10"/>
        </w:numPr>
        <w:spacing w:after="100"/>
      </w:pPr>
      <w:r>
        <w:t>several</w:t>
      </w:r>
      <w:r w:rsidR="009F795D">
        <w:t xml:space="preserve"> </w:t>
      </w:r>
      <w:r>
        <w:t xml:space="preserve">(30+) </w:t>
      </w:r>
      <w:r w:rsidR="009F795D">
        <w:t>other collected metrics</w:t>
      </w:r>
      <w:r w:rsidR="00342945">
        <w:t>.</w:t>
      </w:r>
    </w:p>
    <w:p w14:paraId="6739DC24" w14:textId="77777777" w:rsidR="009F795D" w:rsidRDefault="009F795D" w:rsidP="009F795D">
      <w:pPr>
        <w:pStyle w:val="ListParagraph"/>
        <w:numPr>
          <w:ilvl w:val="0"/>
          <w:numId w:val="10"/>
        </w:numPr>
        <w:spacing w:after="100"/>
      </w:pPr>
      <w:r>
        <w:t>A confidence breakdown showing how each paper was matched, and its identity and use scores.</w:t>
      </w:r>
    </w:p>
    <w:p w14:paraId="77B84EC2" w14:textId="77777777" w:rsidR="00342945" w:rsidRDefault="009F795D" w:rsidP="00342945">
      <w:pPr>
        <w:pStyle w:val="ListParagraph"/>
        <w:numPr>
          <w:ilvl w:val="0"/>
          <w:numId w:val="10"/>
        </w:numPr>
        <w:spacing w:after="100"/>
      </w:pPr>
      <w:r>
        <w:t xml:space="preserve">Automatically created </w:t>
      </w:r>
      <w:r w:rsidR="00B337E0">
        <w:t>analysis and visualization (</w:t>
      </w:r>
      <w:r>
        <w:rPr>
          <w:b/>
          <w:bCs/>
        </w:rPr>
        <w:t>A</w:t>
      </w:r>
      <w:r w:rsidRPr="009F795D">
        <w:rPr>
          <w:b/>
          <w:bCs/>
        </w:rPr>
        <w:t>nalysis</w:t>
      </w:r>
      <w:r>
        <w:t xml:space="preserve"> </w:t>
      </w:r>
      <w:r w:rsidRPr="00B337E0">
        <w:rPr>
          <w:b/>
          <w:bCs/>
        </w:rPr>
        <w:t>excel sheet</w:t>
      </w:r>
      <w:r w:rsidR="00B337E0" w:rsidRPr="00B337E0">
        <w:t>)</w:t>
      </w:r>
      <w:r w:rsidR="00342945">
        <w:t>, including:</w:t>
      </w:r>
    </w:p>
    <w:p w14:paraId="1B0DC5C6" w14:textId="2848A708" w:rsidR="00342945" w:rsidRDefault="009F795D" w:rsidP="00342945">
      <w:pPr>
        <w:pStyle w:val="ListParagraph"/>
        <w:numPr>
          <w:ilvl w:val="1"/>
          <w:numId w:val="10"/>
        </w:numPr>
        <w:spacing w:after="100"/>
      </w:pPr>
      <w:r>
        <w:t>metrics and charts on Total, Flow and Share</w:t>
      </w:r>
      <w:r w:rsidR="00342945">
        <w:t>,</w:t>
      </w:r>
    </w:p>
    <w:p w14:paraId="5EFE9E8D" w14:textId="3D665D15" w:rsidR="009F795D" w:rsidRDefault="009F795D" w:rsidP="00342945">
      <w:pPr>
        <w:pStyle w:val="ListParagraph"/>
        <w:numPr>
          <w:ilvl w:val="1"/>
          <w:numId w:val="10"/>
        </w:numPr>
        <w:spacing w:after="100"/>
      </w:pPr>
      <w:r>
        <w:t>a chart about publication-type breakdown: peer-reviewed papers, working papers, and reports.</w:t>
      </w:r>
    </w:p>
    <w:p w14:paraId="069E40F1" w14:textId="77777777" w:rsidR="009F795D" w:rsidRDefault="009F795D" w:rsidP="009F795D">
      <w:pPr>
        <w:pStyle w:val="ListParagraph"/>
        <w:numPr>
          <w:ilvl w:val="0"/>
          <w:numId w:val="10"/>
        </w:numPr>
        <w:spacing w:after="100"/>
      </w:pPr>
      <w:r>
        <w:t>A full audit trail of every search run and what it returned.</w:t>
      </w:r>
    </w:p>
    <w:p w14:paraId="64D3D62F" w14:textId="7C1BC02C" w:rsidR="009F795D" w:rsidRDefault="009F795D" w:rsidP="009F795D">
      <w:pPr>
        <w:pStyle w:val="ListParagraph"/>
        <w:numPr>
          <w:ilvl w:val="0"/>
          <w:numId w:val="10"/>
        </w:numPr>
        <w:spacing w:after="100"/>
      </w:pPr>
      <w:r>
        <w:t xml:space="preserve">A </w:t>
      </w:r>
      <w:r>
        <w:rPr>
          <w:b/>
          <w:bCs/>
        </w:rPr>
        <w:t>custom interface</w:t>
      </w:r>
      <w:r>
        <w:t xml:space="preserve"> that makes the program easy to run for anyone.</w:t>
      </w:r>
    </w:p>
    <w:p w14:paraId="088B3858" w14:textId="49DDEC35" w:rsidR="00265EA8" w:rsidRDefault="009F795D" w:rsidP="009F795D">
      <w:pPr>
        <w:pStyle w:val="ListParagraph"/>
        <w:numPr>
          <w:ilvl w:val="0"/>
          <w:numId w:val="10"/>
        </w:numPr>
        <w:spacing w:after="100"/>
      </w:pPr>
      <w:r>
        <w:t xml:space="preserve">All this using an API configuration that makes it possible to run the program </w:t>
      </w:r>
      <w:r w:rsidRPr="009F795D">
        <w:rPr>
          <w:b/>
          <w:bCs/>
        </w:rPr>
        <w:t>free</w:t>
      </w:r>
      <w:r>
        <w:t xml:space="preserve"> up to twice a day.</w:t>
      </w:r>
    </w:p>
    <w:p w14:paraId="39D56058" w14:textId="77C78709" w:rsidR="009F795D" w:rsidRDefault="009F795D" w:rsidP="00265EA8"/>
    <w:p w14:paraId="6D44E797" w14:textId="77777777" w:rsidR="00EA134A" w:rsidRDefault="00EA134A">
      <w:pPr>
        <w:rPr>
          <w:color w:val="2E74B5"/>
          <w:sz w:val="32"/>
          <w:szCs w:val="32"/>
        </w:rPr>
      </w:pPr>
      <w:r>
        <w:br w:type="page"/>
      </w:r>
    </w:p>
    <w:p w14:paraId="201CCE48" w14:textId="4919D36A" w:rsidR="00CD3DCD" w:rsidRDefault="00CD3DCD" w:rsidP="00CD3DCD">
      <w:pPr>
        <w:pStyle w:val="Heading1"/>
        <w:spacing w:before="280" w:after="110"/>
      </w:pPr>
      <w:r>
        <w:lastRenderedPageBreak/>
        <w:t xml:space="preserve">2. </w:t>
      </w:r>
      <w:r w:rsidR="00C90358">
        <w:t>Documentation</w:t>
      </w:r>
    </w:p>
    <w:p w14:paraId="0C226DA3" w14:textId="77777777" w:rsidR="00CD3DCD" w:rsidRDefault="00CD3DCD" w:rsidP="00CD3DCD">
      <w:pPr>
        <w:pStyle w:val="Heading2"/>
        <w:spacing w:before="180" w:after="80"/>
      </w:pPr>
      <w:r>
        <w:t>2.1 Data source</w:t>
      </w:r>
    </w:p>
    <w:p w14:paraId="1FD4B2A6" w14:textId="01F6F3AA" w:rsidR="00CD3DCD" w:rsidRDefault="00CD3DCD" w:rsidP="00CD3DCD">
      <w:pPr>
        <w:spacing w:after="100"/>
      </w:pPr>
      <w:r>
        <w:t xml:space="preserve">The pipeline searches </w:t>
      </w:r>
      <w:proofErr w:type="spellStart"/>
      <w:r>
        <w:t>OpenAlex</w:t>
      </w:r>
      <w:proofErr w:type="spellEnd"/>
      <w:r>
        <w:t>, a free, comprehensive scholarly index</w:t>
      </w:r>
      <w:r w:rsidR="00675C96">
        <w:t xml:space="preserve"> </w:t>
      </w:r>
      <w:r>
        <w:t>that covers journal articles, working papers, preprints, and grey literature (</w:t>
      </w:r>
      <w:proofErr w:type="spellStart"/>
      <w:r>
        <w:t>arXiv</w:t>
      </w:r>
      <w:proofErr w:type="spellEnd"/>
      <w:r>
        <w:t xml:space="preserve">, SSRN, NBER, and similar repositories). </w:t>
      </w:r>
    </w:p>
    <w:p w14:paraId="3DD65921" w14:textId="77777777" w:rsidR="00CD3DCD" w:rsidRDefault="00CD3DCD" w:rsidP="00CD3DCD">
      <w:pPr>
        <w:pStyle w:val="Heading2"/>
        <w:spacing w:before="180" w:after="80"/>
      </w:pPr>
      <w:r>
        <w:t>2.2 The keyword list and the three-tier matching system</w:t>
      </w:r>
    </w:p>
    <w:p w14:paraId="6326241F" w14:textId="77777777" w:rsidR="00CD3DCD" w:rsidRDefault="00CD3DCD" w:rsidP="00CD3DCD">
      <w:pPr>
        <w:spacing w:after="100"/>
      </w:pPr>
      <w:r>
        <w:t>Every search term comes from the keyword list the LSMS team already used in its Google Alerts tracker (the “Keywords ISA” and “Keywords HFPS” tabs), 109 terms in total, organised into 10 survey families. A handful of entries were recategorised or dropped as duplicates during the rework — for example “The Uganda National Panel survey” could never match anything the shorter “Uganda National Panel Survey” did not already catch.</w:t>
      </w:r>
    </w:p>
    <w:p w14:paraId="4944B0FF" w14:textId="77777777" w:rsidR="00CD3DCD" w:rsidRDefault="00CD3DCD" w:rsidP="00CD3DCD">
      <w:pPr>
        <w:spacing w:after="100"/>
      </w:pPr>
      <w:r>
        <w:t>These keywords vary enormously in how ambiguous they are on their own. A phrase like “Uganda National Panel Survey” cannot reasonably appear outside LSMS-related work. A bare acronym like “IHS” appears in thousands of unrelated papers (health plans, hospital systems, and so on). And some names are real survey titles whose words merely describe the survey rather than identify it — “National Panel Survey” is both Tanzania's and Uganda's, and every agency ran a “High-Frequency Phone Survey” during COVID. Applying one rule to all three either throws away real papers or lets irrelevant ones in, so every keyword carries one of three tiers:</w:t>
      </w:r>
    </w:p>
    <w:p w14:paraId="4944B0FF" w14:textId="77777777" w:rsidR="00CD3DCD" w:rsidRDefault="00CD3DCD" w:rsidP="00CD3DCD">
      <w:pPr>
        <w:pStyle w:val="Heading2"/>
        <w:spacing w:after="100"/>
      </w:pPr>
      <w:r>
        <w:t>2.3 Why searches are run unstemmed</w:t>
      </w:r>
    </w:p>
    <w:p w14:paraId="4944B0FF" w14:textId="77777777" w:rsidR="00CD3DCD" w:rsidRDefault="00CD3DCD" w:rsidP="00CD3DCD">
      <w:pPr>
        <w:spacing w:after="100"/>
      </w:pPr>
      <w:r>
        <w:t>OpenAlex stems words by default, meaning a search for LSMS also matches LSM — the standard abbreviation for land-surface model and log-structured merge-tree. Stemmed, the bare “LSMS” query returned 13,506 hits for a single fiscal year; unstemmed it returns 698. Every Gate 1 query therefore goes out through OpenAlex's search.exact parameter, which bypasses stemming. Two caveats: search.exact is still case-insensitive (which is what the Tier C case check above is for), and a small NOT clause additionally excludes the known land-surface vocabulary from the bare LSMS query.</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3450"/>
        <w:gridCol w:w="4995"/>
      </w:tblGrid>
      <w:tr w:rsidR="00CD3DCD" w14:paraId="7AED83E4" w14:textId="77777777" w:rsidTr="00675C96">
        <w:tc>
          <w:tcPr>
            <w:tcW w:w="800" w:type="dxa"/>
            <w:shd w:val="clear" w:color="auto" w:fill="4C94D8" w:themeFill="text2" w:themeFillTint="80"/>
          </w:tcPr>
          <w:p w14:paraId="6B470A84" w14:textId="77777777" w:rsidR="00CD3DCD" w:rsidRDefault="00CD3DCD" w:rsidP="00116DC5">
            <w:r>
              <w:rPr>
                <w:b/>
                <w:bCs/>
                <w:color w:val="FFFFFF"/>
                <w:sz w:val="18"/>
                <w:szCs w:val="18"/>
              </w:rPr>
              <w:t>Tier</w:t>
            </w:r>
          </w:p>
        </w:tc>
        <w:tc>
          <w:tcPr>
            <w:tcW w:w="1100" w:type="dxa"/>
            <w:shd w:val="clear" w:color="auto" w:fill="4C94D8" w:themeFill="text2" w:themeFillTint="80"/>
          </w:tcPr>
          <w:p w14:paraId="1F6B48AA" w14:textId="77777777" w:rsidR="00CD3DCD" w:rsidRDefault="00CD3DCD" w:rsidP="00116DC5">
            <w:r>
              <w:rPr>
                <w:b/>
                <w:bCs/>
                <w:color w:val="FFFFFF"/>
                <w:sz w:val="18"/>
                <w:szCs w:val="18"/>
              </w:rPr>
              <w:t>Terms</w:t>
            </w:r>
          </w:p>
        </w:tc>
        <w:tc>
          <w:tcPr>
            <w:tcW w:w="3450" w:type="dxa"/>
            <w:shd w:val="clear" w:color="auto" w:fill="4C94D8" w:themeFill="text2" w:themeFillTint="80"/>
          </w:tcPr>
          <w:p w14:paraId="71CF6C02" w14:textId="77777777" w:rsidR="00CD3DCD" w:rsidRDefault="00CD3DCD" w:rsidP="00116DC5">
            <w:r>
              <w:rPr>
                <w:b/>
                <w:bCs/>
                <w:color w:val="FFFFFF"/>
                <w:sz w:val="18"/>
                <w:szCs w:val="18"/>
              </w:rPr>
              <w:t>Example</w:t>
            </w:r>
          </w:p>
        </w:tc>
        <w:tc>
          <w:tcPr>
            <w:tcW w:w="4995" w:type="dxa"/>
            <w:shd w:val="clear" w:color="auto" w:fill="4C94D8" w:themeFill="text2" w:themeFillTint="80"/>
          </w:tcPr>
          <w:p w14:paraId="3D6F8927" w14:textId="77777777" w:rsidR="00CD3DCD" w:rsidRDefault="00CD3DCD" w:rsidP="00116DC5">
            <w:r>
              <w:rPr>
                <w:b/>
                <w:bCs/>
                <w:color w:val="FFFFFF"/>
                <w:sz w:val="18"/>
                <w:szCs w:val="18"/>
              </w:rPr>
              <w:t>Matching rule</w:t>
            </w:r>
          </w:p>
        </w:tc>
      </w:tr>
      <w:tr w:rsidR="00CD3DCD" w14:paraId="1F422E2C" w14:textId="77777777" w:rsidTr="00675C96">
        <w:tc>
          <w:tcPr>
            <w:tcW w:w="800" w:type="dxa"/>
          </w:tcPr>
          <w:p w14:paraId="04E9C329" w14:textId="77777777" w:rsidR="00CD3DCD" w:rsidRDefault="00CD3DCD" w:rsidP="00116DC5">
            <w:r>
              <w:rPr>
                <w:color w:val="000000"/>
                <w:sz w:val="18"/>
                <w:szCs w:val="18"/>
              </w:rPr>
              <w:t>A</w:t>
            </w:r>
          </w:p>
        </w:tc>
        <w:tc>
          <w:tcPr>
            <w:tcW w:w="1100" w:type="dxa"/>
          </w:tcPr>
          <w:p w14:paraId="16F09CCA" w14:textId="77777777" w:rsidR="00CD3DCD" w:rsidRDefault="00CD3DCD" w:rsidP="00116DC5">
            <w:r>
              <w:rPr>
                <w:color w:val="000000"/>
                <w:sz w:val="18"/>
                <w:szCs w:val="18"/>
              </w:rPr>
              <w:t>38</w:t>
            </w:r>
          </w:p>
        </w:tc>
        <w:tc>
          <w:tcPr>
            <w:tcW w:w="3450" w:type="dxa"/>
          </w:tcPr>
          <w:p w14:paraId="27BBC142" w14:textId="77777777" w:rsidR="00CD3DCD" w:rsidRDefault="00CD3DCD" w:rsidP="00116DC5">
            <w:r>
              <w:rPr>
                <w:color w:val="000000"/>
                <w:sz w:val="18"/>
                <w:szCs w:val="18"/>
              </w:rPr>
              <w:t>“Uganda National Panel Survey”, “LSMS-ISA”, “EHCVM 2018”</w:t>
            </w:r>
          </w:p>
        </w:tc>
        <w:tc>
          <w:tcPr>
            <w:tcW w:w="4995" w:type="dxa"/>
          </w:tcPr>
          <w:p w14:paraId="68F1CC94" w14:textId="5D319686" w:rsidR="00CD3DCD" w:rsidRDefault="00CD3DCD" w:rsidP="00116DC5">
            <w:r>
              <w:rPr>
                <w:color w:val="000000"/>
                <w:sz w:val="18"/>
                <w:szCs w:val="18"/>
              </w:rPr>
              <w:t>Unambiguous: the name contains a country, or an acronym that cannot plausibly mean anything else. A full-text match is accepted on its own — no country context and no field filter. Most genuine papers name their data source in the Methods section rather than the abstract, and OpenAlex indexes full text, so this is the tier that does most of the work.</w:t>
            </w:r>
            <w:r w:rsidR="00675C96">
              <w:rPr>
                <w:color w:val="000000"/>
                <w:sz w:val="18"/>
                <w:szCs w:val="18"/>
              </w:rPr>
            </w:r>
            <w:r>
              <w:rPr>
                <w:color w:val="000000"/>
                <w:sz w:val="18"/>
                <w:szCs w:val="18"/>
              </w:rPr>
            </w:r>
            <w:r w:rsidR="00675C96">
              <w:rPr>
                <w:color w:val="000000"/>
                <w:sz w:val="18"/>
                <w:szCs w:val="18"/>
              </w:rPr>
            </w:r>
            <w:r>
              <w:rPr>
                <w:color w:val="000000"/>
                <w:sz w:val="18"/>
                <w:szCs w:val="18"/>
              </w:rPr>
            </w:r>
          </w:p>
        </w:tc>
      </w:tr>
      <w:tr w:rsidR="00CD3DCD" w14:paraId="4E69994F" w14:textId="77777777" w:rsidTr="00675C96">
        <w:tc>
          <w:tcPr>
            <w:tcW w:w="800" w:type="dxa"/>
          </w:tcPr>
          <w:p w14:paraId="48F210BF" w14:textId="77777777" w:rsidR="00CD3DCD" w:rsidRDefault="00CD3DCD" w:rsidP="00116DC5">
            <w:r>
              <w:rPr>
                <w:color w:val="000000"/>
                <w:sz w:val="18"/>
                <w:szCs w:val="18"/>
              </w:rPr>
              <w:t>B</w:t>
            </w:r>
          </w:p>
        </w:tc>
        <w:tc>
          <w:tcPr>
            <w:tcW w:w="1100" w:type="dxa"/>
          </w:tcPr>
          <w:p w14:paraId="09794329" w14:textId="77777777" w:rsidR="00CD3DCD" w:rsidRDefault="00CD3DCD" w:rsidP="00116DC5">
            <w:r>
              <w:rPr>
                <w:color w:val="000000"/>
                <w:sz w:val="18"/>
                <w:szCs w:val="18"/>
              </w:rPr>
              <w:t>28</w:t>
            </w:r>
          </w:p>
        </w:tc>
        <w:tc>
          <w:tcPr>
            <w:tcW w:w="3450" w:type="dxa"/>
          </w:tcPr>
          <w:p w14:paraId="0C123239" w14:textId="77777777" w:rsidR="00CD3DCD" w:rsidRDefault="00CD3DCD" w:rsidP="00116DC5">
            <w:r>
              <w:rPr>
                <w:color w:val="000000"/>
                <w:sz w:val="18"/>
                <w:szCs w:val="18"/>
              </w:rPr>
              <w:t>“National Panel Survey”, “High-Frequency Phone Survey”, “Living Standards Survey”</w:t>
            </w:r>
          </w:p>
        </w:tc>
        <w:tc>
          <w:tcPr>
            <w:tcW w:w="4995" w:type="dxa"/>
          </w:tcPr>
          <w:p w14:paraId="311D5C45" w14:textId="77777777" w:rsidR="00CD3DCD" w:rsidRDefault="00CD3DCD" w:rsidP="00116DC5">
            <w:r>
              <w:rPr>
                <w:color w:val="000000"/>
                <w:sz w:val="18"/>
                <w:szCs w:val="18"/>
              </w:rPr>
              <w:t>A real survey name, but a generic one: the words describe the survey rather than identify it, and other countries or programmes use the same phrase. Requires an LSMS country word somewhere in the document AND an allowed subject field. Case-insensitive — casing carries no information in a phrase.</w:t>
            </w:r>
          </w:p>
        </w:tc>
      </w:tr>
      <w:tr w:rsidR="00CD3DCD" w14:paraId="7EE00C59" w14:textId="77777777" w:rsidTr="00675C96">
        <w:tc>
          <w:tcPr>
            <w:tcW w:w="800" w:type="dxa"/>
          </w:tcPr>
          <w:p w14:paraId="442B4829" w14:textId="77777777" w:rsidR="00CD3DCD" w:rsidRDefault="00CD3DCD" w:rsidP="00116DC5">
            <w:r>
              <w:rPr>
                <w:color w:val="000000"/>
                <w:sz w:val="18"/>
                <w:szCs w:val="18"/>
              </w:rPr>
              <w:t>C</w:t>
            </w:r>
          </w:p>
        </w:tc>
        <w:tc>
          <w:tcPr>
            <w:tcW w:w="1100" w:type="dxa"/>
          </w:tcPr>
          <w:p w14:paraId="4B7C2C47" w14:textId="77777777" w:rsidR="00CD3DCD" w:rsidRDefault="00CD3DCD" w:rsidP="00116DC5">
            <w:r>
              <w:rPr>
                <w:color w:val="000000"/>
                <w:sz w:val="18"/>
                <w:szCs w:val="18"/>
              </w:rPr>
              <w:t>43</w:t>
            </w:r>
          </w:p>
        </w:tc>
        <w:tc>
          <w:tcPr>
            <w:tcW w:w="3450" w:type="dxa"/>
          </w:tcPr>
          <w:p w14:paraId="75BB8265" w14:textId="77777777" w:rsidR="00CD3DCD" w:rsidRDefault="00CD3DCD" w:rsidP="00116DC5">
            <w:r>
              <w:rPr>
                <w:color w:val="000000"/>
                <w:sz w:val="18"/>
                <w:szCs w:val="18"/>
              </w:rPr>
              <w:t>“IHPS”, “LSMS”, “UNPS”, “ESS4”</w:t>
            </w:r>
          </w:p>
        </w:tc>
        <w:tc>
          <w:tcPr>
            <w:tcW w:w="4995" w:type="dxa"/>
          </w:tcPr>
          <w:p w14:paraId="35865E65" w14:textId="77777777" w:rsidR="00CD3DCD" w:rsidRDefault="00CD3DCD" w:rsidP="00116DC5">
            <w:r>
              <w:rPr>
                <w:color w:val="000000"/>
                <w:sz w:val="18"/>
                <w:szCs w:val="18"/>
              </w:rPr>
              <w:t>Short acronym. Same country and field gating as B, plus a case check: if the acronym appears in the title or abstract with the wrong casing (“LSMs”, the plural of land-surface model) that is a positive sign of a collision and the paper is dropped. If it does not appear there at all we cannot tell, and the query's own country gate stands.</w:t>
            </w:r>
          </w:p>
        </w:tc>
      </w:tr>
    </w:tbl>
    <w:p w14:paraId="3D027891" w14:textId="77777777" w:rsidR="00CD3DCD" w:rsidRDefault="00CD3DCD" w:rsidP="00CD3DCD">
      <w:pPr>
        <w:pStyle w:val="Heading2"/>
        <w:spacing w:before="180" w:after="80"/>
      </w:pPr>
      <w:r>
        <w:t>2.4 Gate 2: is it our survey, and did they actually use it?</w:t>
      </w:r>
    </w:p>
    <w:p w14:paraId="22D81A29" w14:textId="77777777" w:rsidR="00CD3DCD" w:rsidRDefault="00CD3DCD" w:rsidP="00CD3DCD">
      <w:pPr>
        <w:spacing w:after="100"/>
      </w:pPr>
      <w:r>
        <w:t>Matching a keyword is necessary but not sufficient. Gate 2 asks two separate questions about every admitted paper, and scores them on two independent axes:</w:t>
      </w:r>
    </w:p>
    <w:p w14:paraId="22D81A29" w14:textId="77777777" w:rsidR="00CD3DCD" w:rsidRDefault="00CD3DCD" w:rsidP="00CD3DCD">
      <w:pPr>
        <w:pStyle w:val="ListParagraph"/>
        <w:spacing w:after="100"/>
      </w:pPr>
      <w:r>
        <w:t>IDENTITY — is this really one of our surveys, or a name collision, or a different country's survey that happens to share a phrase?</w:t>
      </w:r>
    </w:p>
    <w:p w14:paraId="22D81A29" w14:textId="77777777" w:rsidR="00CD3DCD" w:rsidRDefault="00CD3DCD" w:rsidP="00CD3DCD">
      <w:pPr>
        <w:pStyle w:val="ListParagraph"/>
        <w:spacing w:after="100"/>
      </w:pPr>
      <w:r>
        <w:t>USE — did the authors actually work with the microdata, or do they only mention it: cite it, credit it, list it as related work?</w:t>
      </w:r>
    </w:p>
    <w:p w14:paraId="22D81A29" w14:textId="77777777" w:rsidR="00CD3DCD" w:rsidRDefault="00CD3DCD" w:rsidP="00CD3DCD">
      <w:pPr>
        <w:spacing w:after="100"/>
      </w:pPr>
      <w:r>
        <w:t>A strong signal is worth 2 points and a weak one 1 point. A paper reaches the Papers sheet only if it scores at least 2 on IDENTITY and at least 2 on USE. Clearing one axis alone is never enough.</w:t>
      </w:r>
    </w:p>
    <w:p w14:paraId="22D81A29" w14:textId="77777777" w:rsidR="00CD3DCD" w:rsidRDefault="00CD3DCD" w:rsidP="00CD3DCD">
      <w:pPr>
        <w:spacing w:after="100"/>
      </w:pPr>
      <w:r>
        <w:t>Keeping the axes apart is the whole point. If the two were added into a single number, a paper could pass on identity alone: name the survey three times in an abstract, add a World Bank co-author, and a pure literature review would outscore a real empirical paper. Splitting them makes “mentions the survey but never uses the data” structurally unable to pass, which is exactly the failure the previous version had.</w:t>
      </w:r>
    </w:p>
    <w:p w14:paraId="22D81A29" w14:textId="77777777" w:rsidR="00CD3DCD" w:rsidRDefault="00CD3DCD" w:rsidP="00CD3DCD">
      <w:pPr>
        <w:spacing w:after="100"/>
      </w:pPr>
      <w:r>
        <w:t>Because 2 points are needed on each axis, the arithmetic is deliberately simple: one strong signal clears an axis on its own, two weak signals clear it together, and a single weak signal never does.</w:t>
      </w:r>
    </w:p>
    <w:tbl>
      <w:tblPr>
        <w:tblW w:type="auto" w:w="0"/>
        <w:tblLook w:firstColumn="1" w:firstRow="1" w:lastColumn="0" w:lastRow="0" w:noHBand="0" w:noVBand="1" w:val="04A0"/>
      </w:tblPr>
      <w:tblGrid>
        <w:gridCol w:w="3480"/>
        <w:gridCol w:w="3480"/>
        <w:gridCol w:w="3480"/>
      </w:tblGrid>
      <w:tr>
        <w:tc>
          <w:tcPr>
            <w:tcW w:type="dxa" w:w="3480"/>
          </w:tcPr>
          <w:p>
            <w:r>
              <w:rPr>
                <w:b/>
              </w:rPr>
              <w:t>Axis</w:t>
            </w:r>
          </w:p>
        </w:tc>
        <w:tc>
          <w:tcPr>
            <w:tcW w:type="dxa" w:w="3480"/>
          </w:tcPr>
          <w:p>
            <w:r>
              <w:rPr>
                <w:b/>
              </w:rPr>
              <w:t>Signal</w:t>
            </w:r>
          </w:p>
        </w:tc>
        <w:tc>
          <w:tcPr>
            <w:tcW w:type="dxa" w:w="3480"/>
          </w:tcPr>
          <w:p>
            <w:r>
              <w:rPr>
                <w:b/>
              </w:rPr>
              <w:t>Weight</w:t>
            </w:r>
          </w:p>
        </w:tc>
      </w:tr>
      <w:tr>
        <w:tc>
          <w:tcPr>
            <w:tcW w:type="dxa" w:w="3480"/>
          </w:tcPr>
          <w:p>
            <w:r>
              <w:t>Identity</w:t>
            </w:r>
          </w:p>
        </w:tc>
        <w:tc>
          <w:tcPr>
            <w:tcW w:type="dxa" w:w="3480"/>
          </w:tcPr>
          <w:p>
            <w:r>
              <w:t>A known survey name appears in the title</w:t>
            </w:r>
          </w:p>
        </w:tc>
        <w:tc>
          <w:tcPr>
            <w:tcW w:type="dxa" w:w="3480"/>
          </w:tcPr>
          <w:p>
            <w:r>
              <w:t>Strong (2)</w:t>
            </w:r>
          </w:p>
        </w:tc>
      </w:tr>
      <w:tr>
        <w:tc>
          <w:tcPr>
            <w:tcW w:type="dxa" w:w="3480"/>
          </w:tcPr>
          <w:p>
            <w:r>
              <w:t>Identity</w:t>
            </w:r>
          </w:p>
        </w:tc>
        <w:tc>
          <w:tcPr>
            <w:tcW w:type="dxa" w:w="3480"/>
          </w:tcPr>
          <w:p>
            <w:r>
              <w:t>A known survey name appears in the abstract</w:t>
            </w:r>
          </w:p>
        </w:tc>
        <w:tc>
          <w:tcPr>
            <w:tcW w:type="dxa" w:w="3480"/>
          </w:tcPr>
          <w:p>
            <w:r>
              <w:t>Strong (2)</w:t>
            </w:r>
          </w:p>
        </w:tc>
      </w:tr>
      <w:tr>
        <w:tc>
          <w:tcPr>
            <w:tcW w:type="dxa" w:w="3480"/>
          </w:tcPr>
          <w:p>
            <w:r>
              <w:t>Identity</w:t>
            </w:r>
          </w:p>
        </w:tc>
        <w:tc>
          <w:tcPr>
            <w:tcW w:type="dxa" w:w="3480"/>
          </w:tcPr>
          <w:p>
            <w:r>
              <w:t>Admitted on a Tier A (unambiguous) name</w:t>
            </w:r>
          </w:p>
        </w:tc>
        <w:tc>
          <w:tcPr>
            <w:tcW w:type="dxa" w:w="3480"/>
          </w:tcPr>
          <w:p>
            <w:r>
              <w:t>Strong (2)</w:t>
            </w:r>
          </w:p>
        </w:tc>
      </w:tr>
      <w:tr>
        <w:tc>
          <w:tcPr>
            <w:tcW w:type="dxa" w:w="3480"/>
          </w:tcPr>
          <w:p>
            <w:r>
              <w:t>Identity</w:t>
            </w:r>
          </w:p>
        </w:tc>
        <w:tc>
          <w:tcPr>
            <w:tcW w:type="dxa" w:w="3480"/>
          </w:tcPr>
          <w:p>
            <w:r>
              <w:t>Admitted only on a Tier B/C (generic or acronym) term</w:t>
            </w:r>
          </w:p>
        </w:tc>
        <w:tc>
          <w:tcPr>
            <w:tcW w:type="dxa" w:w="3480"/>
          </w:tcPr>
          <w:p>
            <w:r>
              <w:t>Weak (1)</w:t>
            </w:r>
          </w:p>
        </w:tc>
      </w:tr>
      <w:tr>
        <w:tc>
          <w:tcPr>
            <w:tcW w:type="dxa" w:w="3480"/>
          </w:tcPr>
          <w:p>
            <w:r>
              <w:t>Identity</w:t>
            </w:r>
          </w:p>
        </w:tc>
        <w:tc>
          <w:tcPr>
            <w:tcW w:type="dxa" w:w="3480"/>
          </w:tcPr>
          <w:p>
            <w:r>
              <w:t>Matched terms from two or more survey families</w:t>
            </w:r>
          </w:p>
        </w:tc>
        <w:tc>
          <w:tcPr>
            <w:tcW w:type="dxa" w:w="3480"/>
          </w:tcPr>
          <w:p>
            <w:r>
              <w:t>Strong (2)</w:t>
            </w:r>
          </w:p>
        </w:tc>
      </w:tr>
      <w:tr>
        <w:tc>
          <w:tcPr>
            <w:tcW w:type="dxa" w:w="3480"/>
          </w:tcPr>
          <w:p>
            <w:r>
              <w:t>Identity</w:t>
            </w:r>
          </w:p>
        </w:tc>
        <w:tc>
          <w:tcPr>
            <w:tcW w:type="dxa" w:w="3480"/>
          </w:tcPr>
          <w:p>
            <w:r>
              <w:t>Matched two or more term variants of one survey</w:t>
            </w:r>
          </w:p>
        </w:tc>
        <w:tc>
          <w:tcPr>
            <w:tcW w:type="dxa" w:w="3480"/>
          </w:tcPr>
          <w:p>
            <w:r>
              <w:t>Weak (1)</w:t>
            </w:r>
          </w:p>
        </w:tc>
      </w:tr>
      <w:tr>
        <w:tc>
          <w:tcPr>
            <w:tcW w:type="dxa" w:w="3480"/>
          </w:tcPr>
          <w:p>
            <w:r>
              <w:t>Identity</w:t>
            </w:r>
          </w:p>
        </w:tc>
        <w:tc>
          <w:tcPr>
            <w:tcW w:type="dxa" w:w="3480"/>
          </w:tcPr>
          <w:p>
            <w:r>
              <w:t>An LSMS country is named in the title or abstract</w:t>
            </w:r>
          </w:p>
        </w:tc>
        <w:tc>
          <w:tcPr>
            <w:tcW w:type="dxa" w:w="3480"/>
          </w:tcPr>
          <w:p>
            <w:r>
              <w:t>Weak (1)</w:t>
            </w:r>
          </w:p>
        </w:tc>
      </w:tr>
      <w:tr>
        <w:tc>
          <w:tcPr>
            <w:tcW w:type="dxa" w:w="3480"/>
          </w:tcPr>
          <w:p>
            <w:r>
              <w:t>Identity</w:t>
            </w:r>
          </w:p>
        </w:tc>
        <w:tc>
          <w:tcPr>
            <w:tcW w:type="dxa" w:w="3480"/>
          </w:tcPr>
          <w:p>
            <w:r>
              <w:t>The LSMS programme is named in the abstract</w:t>
            </w:r>
          </w:p>
        </w:tc>
        <w:tc>
          <w:tcPr>
            <w:tcW w:type="dxa" w:w="3480"/>
          </w:tcPr>
          <w:p>
            <w:r>
              <w:t>Weak (1)</w:t>
            </w:r>
          </w:p>
        </w:tc>
      </w:tr>
      <w:tr>
        <w:tc>
          <w:tcPr>
            <w:tcW w:type="dxa" w:w="3480"/>
          </w:tcPr>
          <w:p>
            <w:r>
              <w:t>Identity</w:t>
            </w:r>
          </w:p>
        </w:tc>
        <w:tc>
          <w:tcPr>
            <w:tcW w:type="dxa" w:w="3480"/>
          </w:tcPr>
          <w:p>
            <w:r>
              <w:t>A World Bank–affiliated author</w:t>
            </w:r>
          </w:p>
        </w:tc>
        <w:tc>
          <w:tcPr>
            <w:tcW w:type="dxa" w:w="3480"/>
          </w:tcPr>
          <w:p>
            <w:r>
              <w:t>Weak (1)</w:t>
            </w:r>
          </w:p>
        </w:tc>
      </w:tr>
      <w:tr>
        <w:tc>
          <w:tcPr>
            <w:tcW w:type="dxa" w:w="3480"/>
          </w:tcPr>
          <w:p>
            <w:r>
              <w:t>Use</w:t>
            </w:r>
          </w:p>
        </w:tc>
        <w:tc>
          <w:tcPr>
            <w:tcW w:type="dxa" w:w="3480"/>
          </w:tcPr>
          <w:p>
            <w:r>
              <w:t>Abstract names the survey AND uses explicit first-person data-use language (“we use”, “using data from”, “microdata”)</w:t>
            </w:r>
          </w:p>
        </w:tc>
        <w:tc>
          <w:tcPr>
            <w:tcW w:type="dxa" w:w="3480"/>
          </w:tcPr>
          <w:p>
            <w:r>
              <w:t>Strong (2)</w:t>
            </w:r>
          </w:p>
        </w:tc>
      </w:tr>
      <w:tr>
        <w:tc>
          <w:tcPr>
            <w:tcW w:type="dxa" w:w="3480"/>
          </w:tcPr>
          <w:p>
            <w:r>
              <w:t>Use</w:t>
            </w:r>
          </w:p>
        </w:tc>
        <w:tc>
          <w:tcPr>
            <w:tcW w:type="dxa" w:w="3480"/>
          </w:tcPr>
          <w:p>
            <w:r>
              <w:t>Abstract names the survey AND uses weaker data-source language</w:t>
            </w:r>
          </w:p>
        </w:tc>
        <w:tc>
          <w:tcPr>
            <w:tcW w:type="dxa" w:w="3480"/>
          </w:tcPr>
          <w:p>
            <w:r>
              <w:t>Weak (1)</w:t>
            </w:r>
          </w:p>
        </w:tc>
      </w:tr>
      <w:tr>
        <w:tc>
          <w:tcPr>
            <w:tcW w:type="dxa" w:w="3480"/>
          </w:tcPr>
          <w:p>
            <w:r>
              <w:t>Use</w:t>
            </w:r>
          </w:p>
        </w:tc>
        <w:tc>
          <w:tcPr>
            <w:tcW w:type="dxa" w:w="3480"/>
          </w:tcPr>
          <w:p>
            <w:r>
              <w:t>Full text: first-person data-use language within 40 words of the survey name (also grants +1 identity)</w:t>
            </w:r>
          </w:p>
        </w:tc>
        <w:tc>
          <w:tcPr>
            <w:tcW w:type="dxa" w:w="3480"/>
          </w:tcPr>
          <w:p>
            <w:r>
              <w:t>Strong (2)</w:t>
            </w:r>
          </w:p>
        </w:tc>
      </w:tr>
      <w:tr>
        <w:tc>
          <w:tcPr>
            <w:tcW w:type="dxa" w:w="3480"/>
          </w:tcPr>
          <w:p>
            <w:r>
              <w:t>Use</w:t>
            </w:r>
          </w:p>
        </w:tc>
        <w:tc>
          <w:tcPr>
            <w:tcW w:type="dxa" w:w="3480"/>
          </w:tcPr>
          <w:p>
            <w:r>
              <w:t>Full text: data-object language near the survey name</w:t>
            </w:r>
          </w:p>
        </w:tc>
        <w:tc>
          <w:tcPr>
            <w:tcW w:type="dxa" w:w="3480"/>
          </w:tcPr>
          <w:p>
            <w:r>
              <w:t>Weak (1)</w:t>
            </w:r>
          </w:p>
        </w:tc>
      </w:tr>
      <w:tr>
        <w:tc>
          <w:tcPr>
            <w:tcW w:type="dxa" w:w="3480"/>
          </w:tcPr>
          <w:p>
            <w:r>
              <w:t>Use</w:t>
            </w:r>
          </w:p>
        </w:tc>
        <w:tc>
          <w:tcPr>
            <w:tcW w:type="dxa" w:w="3480"/>
          </w:tcPr>
          <w:p>
            <w:r>
              <w:t>Full text: who ran, funded or implemented the survey, near its name</w:t>
            </w:r>
          </w:p>
        </w:tc>
        <w:tc>
          <w:tcPr>
            <w:tcW w:type="dxa" w:w="3480"/>
          </w:tcPr>
          <w:p>
            <w:r>
              <w:t>Weak (1)</w:t>
            </w:r>
          </w:p>
        </w:tc>
      </w:tr>
      <w:tr>
        <w:tc>
          <w:tcPr>
            <w:tcW w:type="dxa" w:w="3480"/>
          </w:tcPr>
          <w:p>
            <w:r>
              <w:t>Use</w:t>
            </w:r>
          </w:p>
        </w:tc>
        <w:tc>
          <w:tcPr>
            <w:tcW w:type="dxa" w:w="3480"/>
          </w:tcPr>
          <w:p>
            <w:r>
              <w:t>Untied evidence: empirical vocabulary, or data-use language with no survey named</w:t>
            </w:r>
          </w:p>
        </w:tc>
        <w:tc>
          <w:tcPr>
            <w:tcW w:type="dxa" w:w="3480"/>
          </w:tcPr>
          <w:p>
            <w:r>
              <w:t>Capped at 1 total</w:t>
            </w:r>
          </w:p>
        </w:tc>
      </w:tr>
    </w:tbl>
    <w:p w14:paraId="22D81A29" w14:textId="77777777" w:rsidR="00CD3DCD" w:rsidRDefault="00CD3DCD" w:rsidP="00CD3DCD">
      <w:pPr>
        <w:spacing w:after="100"/>
      </w:pPr>
      <w:r>
        <w:t>TIED versus UNTIED use evidence. This is the subtlety that makes the use axis mean anything. An abstract saying “we use household survey data” proves the authors used some data — not that they used ours. Only evidence that ties the use language to the survey itself counts in full: either the full-text pass finds the two within 40 words of each other, or the abstract both names the survey and describes using data. Generic evidence that is not tied to any particular survey (empirical vocabulary such as “regression” or “household”, or data-use language with no survey named) is capped at 1 point in total, so it can corroborate a real signal but can never carry the axis by itself.</w:t>
      </w:r>
    </w:p>
    <w:p w14:paraId="22D81A29" w14:textId="77777777" w:rsidR="00CD3DCD" w:rsidRDefault="00CD3DCD" w:rsidP="00CD3DCD">
      <w:pPr>
        <w:spacing w:after="100"/>
      </w:pPr>
      <w:r>
        <w:t>The full-text pass (Gate 2b) is a second, separate step that runs only for papers whose USE score is still short — note, the use axis specifically, not the total. A paper can sit on a mountain of identity evidence and still show nothing about whether the data was used, and that is precisely the paper worth spending an API call on. It asks OpenAlex whether the paper's own matched survey name sits within 40 words of language describing working with the data.</w:t>
      </w:r>
    </w:p>
    <w:p w14:paraId="22D81A29" w14:textId="77777777" w:rsidR="00CD3DCD" w:rsidRDefault="00CD3DCD" w:rsidP="00CD3DCD">
      <w:pPr>
        <w:spacing w:after="100"/>
      </w:pPr>
      <w:r>
        <w:t>The phrases it looks for were chosen by measurement, not intuition: every candidate was run against a 36-paper review set and scored on how many genuine users versus non-users it caught. “Using data from” separates cleanly (8 real users against 1 non-user); “this paper uses” and “based on the” turned out to be negative indicators, hitting more citations than real uses, and were removed. Citing the World Bank microdata catalogue scored 2 against 2 — no separating power at all — so it is searched and reported as a flag on the paper, but earns no points.</w:t>
      </w:r>
    </w:p>
    <w:p w14:paraId="22D81A29" w14:textId="77777777" w:rsidR="00CD3DCD" w:rsidRDefault="00CD3DCD" w:rsidP="00CD3DCD">
      <w:pPr>
        <w:spacing w:after="100"/>
      </w:pPr>
      <w:r>
        <w:t>Two rules sit outside the points. First, six publication types can never be an empirical use of survey data and are excluded outright: conference abstract, dataset, paratext, erratum, letter and software. (Editorials are deliberately not on that list.) Second, papers written as literature reviews are flagged and held to a higher bar — a review that genuinely re-analyses the microdata still passes, but it must show a strong tied use signal rather than accumulating weak ones, because reviews are the single largest category of papers that mention a survey without using it.</w:t>
      </w:r>
    </w:p>
    <w:p w14:paraId="22D81A29" w14:textId="77777777" w:rsidR="00CD3DCD" w:rsidRDefault="00CD3DCD" w:rsidP="00CD3DCD">
      <w:pPr>
        <w:spacing w:after="100"/>
      </w:pPr>
      <w:r>
        <w:t>Every signal that fired is written to the relevance_flags column, and the two axis scores to identity_score and use_score, so any decision can be traced back to its reasons.</w:t>
      </w:r>
    </w:p>
    <w:p w14:paraId="5770554F" w14:textId="77777777" w:rsidR="00CD3DCD" w:rsidRDefault="00CD3DCD" w:rsidP="00CD3DCD">
      <w:pPr>
        <w:pStyle w:val="Heading2"/>
        <w:spacing w:before="180" w:after="80"/>
      </w:pPr>
      <w:r>
        <w:t>2.5 Deduplication</w:t>
      </w:r>
    </w:p>
    <w:p w14:paraId="0B859D4E" w14:textId="77777777" w:rsidR="00CD3DCD" w:rsidRDefault="00CD3DCD" w:rsidP="00CD3DCD">
      <w:pPr>
        <w:spacing w:after="100"/>
      </w:pPr>
      <w:r>
        <w:t>Before anything is counted, candidate papers are checked against each other by normalized title and, where available, DOI. Exact matches are merged automatically.</w:t>
      </w:r>
    </w:p>
    <w:p w14:paraId="1FF07881" w14:textId="77777777" w:rsidR="00CD3DCD" w:rsidRDefault="00CD3DCD" w:rsidP="00CD3DCD">
      <w:pPr>
        <w:pStyle w:val="Heading2"/>
        <w:spacing w:before="180" w:after="80"/>
      </w:pPr>
      <w:r>
        <w:t>2.6 Fiscal year and geography</w:t>
      </w:r>
    </w:p>
    <w:p w14:paraId="674BA50F" w14:textId="1194B358" w:rsidR="00CD3DCD" w:rsidRDefault="00CD3DCD" w:rsidP="00CD3DCD">
      <w:pPr>
        <w:pStyle w:val="ListParagraph"/>
        <w:numPr>
          <w:ilvl w:val="0"/>
          <w:numId w:val="9"/>
        </w:numPr>
        <w:spacing w:after="100"/>
      </w:pPr>
      <w:r w:rsidRPr="00F03282">
        <w:t xml:space="preserve">Rows on the Papers sheet are sorted by </w:t>
      </w:r>
      <w:r w:rsidR="00F611D9">
        <w:t xml:space="preserve">World Bank Group </w:t>
      </w:r>
      <w:r w:rsidRPr="00F03282">
        <w:t>fiscal year</w:t>
      </w:r>
      <w:r w:rsidR="00F611D9">
        <w:t xml:space="preserve"> (July 1 – June 30) in</w:t>
      </w:r>
      <w:r w:rsidRPr="00F03282">
        <w:t xml:space="preserve"> descending</w:t>
      </w:r>
      <w:r w:rsidR="00F611D9">
        <w:t xml:space="preserve"> order (two-digit FY are sorted accounting for the fact that years 80-99 come before 01-27)</w:t>
      </w:r>
      <w:r w:rsidR="001A2DE8">
        <w:t>. T</w:t>
      </w:r>
      <w:r w:rsidRPr="00F03282">
        <w:t>hen</w:t>
      </w:r>
      <w:r w:rsidR="001A2DE8">
        <w:t>, the papers are</w:t>
      </w:r>
      <w:r w:rsidRPr="00F03282">
        <w:t xml:space="preserve"> </w:t>
      </w:r>
      <w:r w:rsidR="00F611D9">
        <w:t xml:space="preserve">sorted </w:t>
      </w:r>
      <w:r w:rsidRPr="00F03282">
        <w:t>alphabetically within each FY.</w:t>
      </w:r>
    </w:p>
    <w:p w14:paraId="5C081321" w14:textId="77777777" w:rsidR="00CD3DCD" w:rsidRDefault="00CD3DCD" w:rsidP="00CD3DCD">
      <w:pPr>
        <w:pStyle w:val="ListParagraph"/>
        <w:numPr>
          <w:ilvl w:val="0"/>
          <w:numId w:val="9"/>
        </w:numPr>
        <w:spacing w:after="100"/>
      </w:pPr>
      <w:r>
        <w:t xml:space="preserve">Author geography is inferred from each author's institutional affiliation data returned by </w:t>
      </w:r>
      <w:proofErr w:type="spellStart"/>
      <w:r>
        <w:t>OpenAlex</w:t>
      </w:r>
      <w:proofErr w:type="spellEnd"/>
      <w:r>
        <w:t>, mapped to country codes and checked against the eight ISA countries and the wider Sub-Saharan Africa list.</w:t>
      </w:r>
    </w:p>
    <w:p w14:paraId="3CD2BB4B" w14:textId="77777777" w:rsidR="00CD3DCD" w:rsidRDefault="00CD3DCD" w:rsidP="00CD3DCD">
      <w:pPr>
        <w:pStyle w:val="Heading2"/>
        <w:spacing w:before="180" w:after="80"/>
      </w:pPr>
      <w:r>
        <w:t>2.7 What it outputs</w:t>
      </w:r>
    </w:p>
    <w:p w14:paraId="7B681212" w14:textId="77777777" w:rsidR="00CD3DCD" w:rsidRDefault="00CD3DCD" w:rsidP="00CD3DCD">
      <w:pPr>
        <w:spacing w:after="100"/>
      </w:pPr>
      <w:r>
        <w:t>A single Excel workbook with the following sheets, in this order:</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8145"/>
      </w:tblGrid>
      <w:tr w:rsidR="00CD3DCD" w14:paraId="1FD06A37" w14:textId="77777777" w:rsidTr="00FF69A2">
        <w:tc>
          <w:tcPr>
            <w:tcW w:w="2200" w:type="dxa"/>
            <w:shd w:val="clear" w:color="auto" w:fill="4C94D8" w:themeFill="text2" w:themeFillTint="80"/>
          </w:tcPr>
          <w:p w14:paraId="628A36F8" w14:textId="77777777" w:rsidR="00CD3DCD" w:rsidRDefault="00CD3DCD" w:rsidP="00116DC5">
            <w:r>
              <w:rPr>
                <w:b/>
                <w:bCs/>
                <w:color w:val="FFFFFF"/>
                <w:sz w:val="18"/>
                <w:szCs w:val="18"/>
              </w:rPr>
              <w:t>Sheet</w:t>
            </w:r>
          </w:p>
        </w:tc>
        <w:tc>
          <w:tcPr>
            <w:tcW w:w="8145" w:type="dxa"/>
            <w:shd w:val="clear" w:color="auto" w:fill="4C94D8" w:themeFill="text2" w:themeFillTint="80"/>
          </w:tcPr>
          <w:p w14:paraId="6B6BC0CD" w14:textId="77777777" w:rsidR="00CD3DCD" w:rsidRDefault="00CD3DCD" w:rsidP="00116DC5">
            <w:r>
              <w:rPr>
                <w:b/>
                <w:bCs/>
                <w:color w:val="FFFFFF"/>
                <w:sz w:val="18"/>
                <w:szCs w:val="18"/>
              </w:rPr>
              <w:t>Contents</w:t>
            </w:r>
          </w:p>
        </w:tc>
      </w:tr>
      <w:tr w:rsidR="00CD3DCD" w14:paraId="46221BA0" w14:textId="77777777" w:rsidTr="00FF69A2">
        <w:tc>
          <w:tcPr>
            <w:tcW w:w="2200" w:type="dxa"/>
          </w:tcPr>
          <w:p w14:paraId="19878FA2" w14:textId="77777777" w:rsidR="00CD3DCD" w:rsidRDefault="00CD3DCD" w:rsidP="00116DC5">
            <w:r>
              <w:rPr>
                <w:color w:val="000000"/>
                <w:sz w:val="18"/>
                <w:szCs w:val="18"/>
              </w:rPr>
              <w:t>Papers</w:t>
            </w:r>
          </w:p>
        </w:tc>
        <w:tc>
          <w:tcPr>
            <w:tcW w:w="8145" w:type="dxa"/>
          </w:tcPr>
          <w:p w14:paraId="009DF08E" w14:textId="27CD1E8A" w:rsidR="00CD3DCD" w:rsidRPr="00F03282" w:rsidRDefault="00CD3DCD" w:rsidP="00116DC5">
            <w:pPr>
              <w:rPr>
                <w:color w:val="000000"/>
                <w:sz w:val="18"/>
                <w:szCs w:val="18"/>
              </w:rPr>
            </w:pPr>
            <w:r>
              <w:rPr>
                <w:color w:val="000000"/>
                <w:sz w:val="18"/>
                <w:szCs w:val="18"/>
              </w:rPr>
              <w:t>One row per discovered paper: title, DOI, authors, institutional affiliations, publication year/FY, dataset country, research topic, peer-reviewed / working-paper flag, journal tier, the identity and use scores, and the individual signals that fired (relevance_flags).</w:t>
            </w:r>
            <w:r w:rsidRPr="00626C78">
              <w:rPr>
                <w:color w:val="000000"/>
                <w:sz w:val="18"/>
                <w:szCs w:val="18"/>
              </w:rPr>
            </w:r>
            <w:r w:rsidR="00E667A6" w:rsidRPr="00626C78">
              <w:rPr>
                <w:color w:val="000000"/>
                <w:sz w:val="18"/>
                <w:szCs w:val="18"/>
              </w:rPr>
            </w:r>
            <w:r w:rsidRPr="00626C78">
              <w:rPr>
                <w:color w:val="000000"/>
                <w:sz w:val="18"/>
                <w:szCs w:val="18"/>
              </w:rPr>
            </w:r>
            <w:r w:rsidR="00626C78" w:rsidRPr="00626C78">
              <w:rPr>
                <w:color w:val="000000"/>
                <w:sz w:val="18"/>
                <w:szCs w:val="18"/>
              </w:rPr>
            </w:r>
            <w:r w:rsidRPr="00626C78">
              <w:rPr>
                <w:sz w:val="18"/>
                <w:szCs w:val="18"/>
              </w:rPr>
            </w:r>
          </w:p>
        </w:tc>
      </w:tr>
      <w:tr w:rsidR="00CD3DCD" w14:paraId="7EFBD55A" w14:textId="77777777" w:rsidTr="00FF69A2">
        <w:tc>
          <w:tcPr>
            <w:tcW w:w="2200" w:type="dxa"/>
          </w:tcPr>
          <w:p w14:paraId="258AB121" w14:textId="77777777" w:rsidR="00CD3DCD" w:rsidRDefault="00CD3DCD" w:rsidP="00116DC5">
            <w:r>
              <w:rPr>
                <w:color w:val="000000"/>
                <w:sz w:val="18"/>
                <w:szCs w:val="18"/>
              </w:rPr>
              <w:t>Analysis</w:t>
            </w:r>
          </w:p>
        </w:tc>
        <w:tc>
          <w:tcPr>
            <w:tcW w:w="8145" w:type="dxa"/>
          </w:tcPr>
          <w:p w14:paraId="54BA026C" w14:textId="77777777" w:rsidR="00CD3DCD" w:rsidRDefault="00CD3DCD" w:rsidP="00116DC5">
            <w:r>
              <w:rPr>
                <w:color w:val="000000"/>
                <w:sz w:val="18"/>
                <w:szCs w:val="18"/>
              </w:rPr>
              <w:t>The headline FLOW and Africa-SHARE numbers, a breakdown by match tier (strongest tier per paper, so the three sum to 100%) and by the identity/use axes, plus the summary charts. Charts sit near the top of the sheet.</w:t>
            </w:r>
          </w:p>
        </w:tc>
      </w:tr>
      <w:tr w:rsidR="00CD3DCD" w14:paraId="52EA1430" w14:textId="77777777" w:rsidTr="00FF69A2">
        <w:tc>
          <w:tcPr>
            <w:tcW w:w="2200" w:type="dxa"/>
          </w:tcPr>
          <w:p w14:paraId="1E34E205" w14:textId="77777777" w:rsidR="00CD3DCD" w:rsidRDefault="00CD3DCD" w:rsidP="00116DC5">
            <w:r>
              <w:rPr>
                <w:color w:val="000000"/>
                <w:sz w:val="18"/>
                <w:szCs w:val="18"/>
              </w:rPr>
              <w:t>FY Trend</w:t>
            </w:r>
          </w:p>
        </w:tc>
        <w:tc>
          <w:tcPr>
            <w:tcW w:w="8145" w:type="dxa"/>
          </w:tcPr>
          <w:p w14:paraId="6DCFAB43" w14:textId="77777777" w:rsidR="00CD3DCD" w:rsidRDefault="00CD3DCD" w:rsidP="00116DC5">
            <w:r>
              <w:rPr>
                <w:color w:val="000000"/>
                <w:sz w:val="18"/>
                <w:szCs w:val="18"/>
              </w:rPr>
              <w:t>A bar chart and a line-with-markers chart of papers per WBG fiscal year, both with data labels. The current, still-open FY is excluded so the trend isn't distorted by a partial year.</w:t>
            </w:r>
          </w:p>
        </w:tc>
      </w:tr>
      <w:tr w:rsidR="00CD3DCD" w14:paraId="575D2D75" w14:textId="77777777" w:rsidTr="00FF69A2">
        <w:tc>
          <w:tcPr>
            <w:tcW w:w="2200" w:type="dxa"/>
          </w:tcPr>
          <w:p w14:paraId="7915502C" w14:textId="77777777" w:rsidR="00CD3DCD" w:rsidRDefault="00CD3DCD" w:rsidP="00116DC5">
            <w:r>
              <w:rPr>
                <w:color w:val="000000"/>
                <w:sz w:val="18"/>
                <w:szCs w:val="18"/>
              </w:rPr>
              <w:t>Keywords</w:t>
            </w:r>
          </w:p>
        </w:tc>
        <w:tc>
          <w:tcPr>
            <w:tcW w:w="8145" w:type="dxa"/>
          </w:tcPr>
          <w:p w14:paraId="41B1A6EA" w14:textId="18548BCF" w:rsidR="00CD3DCD" w:rsidRDefault="00CD3DCD" w:rsidP="00116DC5">
            <w:r>
              <w:rPr>
                <w:color w:val="000000"/>
                <w:sz w:val="18"/>
                <w:szCs w:val="18"/>
              </w:rPr>
              <w:t>All 109 keywords, each with its tier, the matching rule applied, the required country context words, and the exact OpenAlex query sent, so any result can be traced back to the search that found it.</w:t>
            </w:r>
            <w:proofErr w:type="spellStart"/>
            <w:r>
              <w:rPr>
                <w:color w:val="000000"/>
                <w:sz w:val="18"/>
                <w:szCs w:val="18"/>
              </w:rPr>
            </w:r>
            <w:proofErr w:type="spellEnd"/>
            <w:r>
              <w:rPr>
                <w:color w:val="000000"/>
                <w:sz w:val="18"/>
                <w:szCs w:val="18"/>
              </w:rPr>
            </w:r>
            <w:r w:rsidR="00FF69A2">
              <w:rPr>
                <w:color w:val="000000"/>
                <w:sz w:val="18"/>
                <w:szCs w:val="18"/>
              </w:rPr>
            </w:r>
            <w:r>
              <w:rPr>
                <w:color w:val="000000"/>
                <w:sz w:val="18"/>
                <w:szCs w:val="18"/>
              </w:rPr>
            </w:r>
          </w:p>
        </w:tc>
      </w:tr>
      <w:tr w:rsidR="00CD3DCD" w14:paraId="70F44104" w14:textId="77777777" w:rsidTr="00FF69A2">
        <w:tc>
          <w:tcPr>
            <w:tcW w:w="2200" w:type="dxa"/>
          </w:tcPr>
          <w:p w14:paraId="2CA5C22A" w14:textId="77777777" w:rsidR="00CD3DCD" w:rsidRDefault="00CD3DCD" w:rsidP="00116DC5">
            <w:r>
              <w:rPr>
                <w:color w:val="000000"/>
                <w:sz w:val="18"/>
                <w:szCs w:val="18"/>
              </w:rPr>
              <w:t>Search Log</w:t>
            </w:r>
          </w:p>
        </w:tc>
        <w:tc>
          <w:tcPr>
            <w:tcW w:w="8145" w:type="dxa"/>
          </w:tcPr>
          <w:p w14:paraId="6E1684DF" w14:textId="77777777" w:rsidR="00CD3DCD" w:rsidRDefault="00CD3DCD" w:rsidP="00116DC5">
            <w:r>
              <w:rPr>
                <w:color w:val="000000"/>
                <w:sz w:val="18"/>
                <w:szCs w:val="18"/>
              </w:rPr>
              <w:t>An audit trail: every query that was run, when, and how many raw results it returned, before filtering.</w:t>
            </w:r>
          </w:p>
        </w:tc>
      </w:tr>
      <w:tr w:rsidR="00CD3DCD" w14:paraId="528BADD4" w14:textId="77777777" w:rsidTr="00FF69A2">
        <w:tc>
          <w:tcPr>
            <w:tcW w:w="2200" w:type="dxa"/>
          </w:tcPr>
          <w:p w14:paraId="656F26C5" w14:textId="77777777" w:rsidR="00CD3DCD" w:rsidRDefault="00CD3DCD" w:rsidP="00116DC5">
            <w:r>
              <w:rPr>
                <w:color w:val="000000"/>
                <w:sz w:val="18"/>
                <w:szCs w:val="18"/>
              </w:rPr>
              <w:t>Not Relevant (Backup)</w:t>
            </w:r>
          </w:p>
        </w:tc>
        <w:tc>
          <w:tcPr>
            <w:tcW w:w="8145" w:type="dxa"/>
          </w:tcPr>
          <w:p w14:paraId="742F3831" w14:textId="76796EEC" w:rsidR="00CD3DCD" w:rsidRDefault="00CD3DCD" w:rsidP="00116DC5">
            <w:r>
              <w:rPr>
                <w:color w:val="000000"/>
                <w:sz w:val="18"/>
                <w:szCs w:val="18"/>
              </w:rPr>
              <w:t>Papers that matched a keyword but scored 0</w:t>
            </w:r>
            <w:r w:rsidR="00FF69A2">
              <w:rPr>
                <w:color w:val="000000"/>
                <w:sz w:val="18"/>
                <w:szCs w:val="18"/>
              </w:rPr>
              <w:t xml:space="preserve"> or 1</w:t>
            </w:r>
            <w:r>
              <w:rPr>
                <w:color w:val="000000"/>
                <w:sz w:val="18"/>
                <w:szCs w:val="18"/>
              </w:rPr>
              <w:t xml:space="preserve"> on relevance. Kept for reference, but excluded from every headline count and chart. Always the last sheet.</w:t>
            </w:r>
          </w:p>
        </w:tc>
      </w:tr>
    </w:tbl>
    <w:p w14:paraId="5E57A75C" w14:textId="2815E8DB" w:rsidR="00FF69A2" w:rsidRDefault="00FF69A2">
      <w:pPr>
        <w:rPr>
          <w:color w:val="2E74B5"/>
          <w:sz w:val="32"/>
          <w:szCs w:val="32"/>
        </w:rPr>
      </w:pPr>
    </w:p>
    <w:p w14:paraId="3A0F2369" w14:textId="6E3D1E2A" w:rsidR="000A54A9" w:rsidRDefault="00000000" w:rsidP="005F6088">
      <w:pPr>
        <w:pStyle w:val="Heading1"/>
        <w:spacing w:before="280" w:after="110"/>
      </w:pPr>
      <w:r>
        <w:lastRenderedPageBreak/>
        <w:t xml:space="preserve">3. </w:t>
      </w:r>
      <w:r w:rsidR="00265EA8">
        <w:t>Program I</w:t>
      </w:r>
      <w:r>
        <w:t>nterface</w:t>
      </w:r>
      <w:r w:rsidR="005F6088">
        <w:t xml:space="preserve"> (</w:t>
      </w:r>
      <w:r w:rsidR="0041349D">
        <w:t>when running</w:t>
      </w:r>
      <w:r w:rsidR="000C041F">
        <w:t xml:space="preserve"> “</w:t>
      </w:r>
      <w:r w:rsidR="005F6088" w:rsidRPr="005F6088">
        <w:t>LSMS Impact Analysis.bat</w:t>
      </w:r>
      <w:r w:rsidR="000C041F">
        <w:t>”</w:t>
      </w:r>
      <w:r w:rsidR="005F6088">
        <w:t>)</w:t>
      </w:r>
    </w:p>
    <w:p w14:paraId="71CE5154" w14:textId="77777777" w:rsidR="000A54A9" w:rsidRDefault="00000000">
      <w:pPr>
        <w:spacing w:before="140" w:after="60"/>
      </w:pPr>
      <w:r>
        <w:rPr>
          <w:b/>
          <w:bCs/>
          <w:color w:val="1F4E5F"/>
          <w:sz w:val="21"/>
          <w:szCs w:val="21"/>
        </w:rPr>
        <w:t>Starting screen</w:t>
      </w:r>
    </w:p>
    <w:p w14:paraId="5E5C70EB" w14:textId="77777777" w:rsidR="00134490" w:rsidRDefault="00000000" w:rsidP="00134490">
      <w:pPr>
        <w:spacing w:after="100"/>
      </w:pPr>
      <w:r>
        <w:t xml:space="preserve">Where the </w:t>
      </w:r>
      <w:proofErr w:type="spellStart"/>
      <w:r>
        <w:t>OpenAlex</w:t>
      </w:r>
      <w:proofErr w:type="spellEnd"/>
      <w:r>
        <w:t xml:space="preserve"> API key is entered and the analysis is started.</w:t>
      </w:r>
    </w:p>
    <w:p w14:paraId="579D0864" w14:textId="1B64D42B" w:rsidR="000A54A9" w:rsidRDefault="00134490" w:rsidP="00134490">
      <w:pPr>
        <w:spacing w:after="100"/>
      </w:pPr>
      <w:r w:rsidRPr="00134490">
        <w:rPr>
          <w:i/>
          <w:iCs/>
          <w:noProof/>
          <w:color w:val="666666"/>
        </w:rPr>
        <w:drawing>
          <wp:inline distT="0" distB="0" distL="0" distR="0" wp14:anchorId="062C4593" wp14:editId="322E436D">
            <wp:extent cx="2568271" cy="2120710"/>
            <wp:effectExtent l="0" t="0" r="3810" b="0"/>
            <wp:docPr id="1897933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33853" name=""/>
                    <pic:cNvPicPr/>
                  </pic:nvPicPr>
                  <pic:blipFill rotWithShape="1">
                    <a:blip r:embed="rId7"/>
                    <a:srcRect b="16127"/>
                    <a:stretch>
                      <a:fillRect/>
                    </a:stretch>
                  </pic:blipFill>
                  <pic:spPr bwMode="auto">
                    <a:xfrm>
                      <a:off x="0" y="0"/>
                      <a:ext cx="2598200" cy="2145423"/>
                    </a:xfrm>
                    <a:prstGeom prst="rect">
                      <a:avLst/>
                    </a:prstGeom>
                    <a:ln>
                      <a:noFill/>
                    </a:ln>
                    <a:extLst>
                      <a:ext uri="{53640926-AAD7-44D8-BBD7-CCE9431645EC}">
                        <a14:shadowObscured xmlns:a14="http://schemas.microsoft.com/office/drawing/2010/main"/>
                      </a:ext>
                    </a:extLst>
                  </pic:spPr>
                </pic:pic>
              </a:graphicData>
            </a:graphic>
          </wp:inline>
        </w:drawing>
      </w:r>
      <w:r>
        <w:rPr>
          <w:i/>
          <w:iCs/>
          <w:color w:val="666666"/>
        </w:rPr>
        <w:t xml:space="preserve"> </w:t>
      </w:r>
    </w:p>
    <w:p w14:paraId="3E57C848" w14:textId="77777777" w:rsidR="000A54A9" w:rsidRDefault="00000000">
      <w:pPr>
        <w:spacing w:before="140" w:after="60"/>
      </w:pPr>
      <w:r>
        <w:rPr>
          <w:b/>
          <w:bCs/>
          <w:color w:val="1F4E5F"/>
          <w:sz w:val="21"/>
          <w:szCs w:val="21"/>
        </w:rPr>
        <w:t>While it's running</w:t>
      </w:r>
    </w:p>
    <w:p w14:paraId="48AB57D5" w14:textId="77777777" w:rsidR="000A54A9" w:rsidRDefault="00000000">
      <w:pPr>
        <w:spacing w:after="100"/>
      </w:pPr>
      <w:r>
        <w:t xml:space="preserve">A blue spinner runs while the program searches </w:t>
      </w:r>
      <w:proofErr w:type="spellStart"/>
      <w:r>
        <w:t>OpenAlex</w:t>
      </w:r>
      <w:proofErr w:type="spellEnd"/>
      <w:r>
        <w:t xml:space="preserve"> and builds the workbook (about 5 minutes).</w:t>
      </w:r>
    </w:p>
    <w:p w14:paraId="705572DF" w14:textId="0304CF65" w:rsidR="000A54A9" w:rsidRDefault="00134490" w:rsidP="00134490">
      <w:pPr>
        <w:spacing w:after="100"/>
      </w:pPr>
      <w:r>
        <w:rPr>
          <w:rFonts w:ascii="Aptos" w:hAnsi="Aptos"/>
          <w:noProof/>
          <w:color w:val="000000"/>
        </w:rPr>
        <w:drawing>
          <wp:inline distT="0" distB="0" distL="0" distR="0" wp14:anchorId="3B8A1226" wp14:editId="1F8BCECA">
            <wp:extent cx="2567940" cy="2532170"/>
            <wp:effectExtent l="0" t="0" r="3810" b="1905"/>
            <wp:docPr id="870889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91071" cy="2554979"/>
                    </a:xfrm>
                    <a:prstGeom prst="rect">
                      <a:avLst/>
                    </a:prstGeom>
                    <a:noFill/>
                    <a:ln>
                      <a:noFill/>
                    </a:ln>
                  </pic:spPr>
                </pic:pic>
              </a:graphicData>
            </a:graphic>
          </wp:inline>
        </w:drawing>
      </w:r>
    </w:p>
    <w:p w14:paraId="1924D5D1" w14:textId="77777777" w:rsidR="000A54A9" w:rsidRDefault="00000000">
      <w:pPr>
        <w:spacing w:before="140" w:after="60"/>
      </w:pPr>
      <w:r>
        <w:rPr>
          <w:b/>
          <w:bCs/>
          <w:color w:val="1F4E5F"/>
          <w:sz w:val="21"/>
          <w:szCs w:val="21"/>
        </w:rPr>
        <w:t>When it's finished</w:t>
      </w:r>
    </w:p>
    <w:p w14:paraId="352B6FB2" w14:textId="77777777" w:rsidR="000A54A9" w:rsidRDefault="00000000">
      <w:pPr>
        <w:spacing w:after="100"/>
      </w:pPr>
      <w:r>
        <w:t>A green checkmark appears with the name of the finished workbook and an Open File button.</w:t>
      </w:r>
    </w:p>
    <w:p w14:paraId="7A51A095" w14:textId="2C06F0CC" w:rsidR="00134490" w:rsidRPr="00134490" w:rsidRDefault="00134490" w:rsidP="00134490">
      <w:pPr>
        <w:spacing w:after="100"/>
      </w:pPr>
      <w:r>
        <w:rPr>
          <w:rFonts w:ascii="Aptos" w:hAnsi="Aptos"/>
          <w:noProof/>
          <w:color w:val="000000"/>
        </w:rPr>
        <w:drawing>
          <wp:inline distT="0" distB="0" distL="0" distR="0" wp14:anchorId="64A913EA" wp14:editId="257A61F4">
            <wp:extent cx="2647280" cy="2282024"/>
            <wp:effectExtent l="0" t="0" r="1270" b="4445"/>
            <wp:docPr id="816919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a:extLst>
                        <a:ext uri="{28A0092B-C50C-407E-A947-70E740481C1C}">
                          <a14:useLocalDpi xmlns:a14="http://schemas.microsoft.com/office/drawing/2010/main" val="0"/>
                        </a:ext>
                      </a:extLst>
                    </a:blip>
                    <a:srcRect b="11703"/>
                    <a:stretch>
                      <a:fillRect/>
                    </a:stretch>
                  </pic:blipFill>
                  <pic:spPr bwMode="auto">
                    <a:xfrm>
                      <a:off x="0" y="0"/>
                      <a:ext cx="2680078" cy="2310297"/>
                    </a:xfrm>
                    <a:prstGeom prst="rect">
                      <a:avLst/>
                    </a:prstGeom>
                    <a:noFill/>
                    <a:ln>
                      <a:noFill/>
                    </a:ln>
                    <a:extLst>
                      <a:ext uri="{53640926-AAD7-44D8-BBD7-CCE9431645EC}">
                        <a14:shadowObscured xmlns:a14="http://schemas.microsoft.com/office/drawing/2010/main"/>
                      </a:ext>
                    </a:extLst>
                  </pic:spPr>
                </pic:pic>
              </a:graphicData>
            </a:graphic>
          </wp:inline>
        </w:drawing>
      </w:r>
    </w:p>
    <w:p w14:paraId="673AC514" w14:textId="77777777" w:rsidR="00134490" w:rsidRDefault="00134490">
      <w:pPr>
        <w:rPr>
          <w:b/>
          <w:bCs/>
          <w:color w:val="1F4E5F"/>
          <w:sz w:val="21"/>
          <w:szCs w:val="21"/>
        </w:rPr>
      </w:pPr>
      <w:r>
        <w:rPr>
          <w:b/>
          <w:bCs/>
          <w:color w:val="1F4E5F"/>
          <w:sz w:val="21"/>
          <w:szCs w:val="21"/>
        </w:rPr>
        <w:br w:type="page"/>
      </w:r>
    </w:p>
    <w:p w14:paraId="201780F7" w14:textId="23847B3E" w:rsidR="006012F0" w:rsidRPr="00F03282" w:rsidRDefault="00F03282" w:rsidP="00F03282">
      <w:pPr>
        <w:pStyle w:val="Heading1"/>
        <w:spacing w:before="280" w:after="110"/>
      </w:pPr>
      <w:r>
        <w:lastRenderedPageBreak/>
        <w:t>4. Output Excel</w:t>
      </w:r>
    </w:p>
    <w:p w14:paraId="4847CEC2" w14:textId="7FBD66A3" w:rsidR="000A54A9" w:rsidRDefault="00000000">
      <w:pPr>
        <w:spacing w:before="140" w:after="60"/>
      </w:pPr>
      <w:r>
        <w:rPr>
          <w:b/>
          <w:bCs/>
          <w:color w:val="1F4E5F"/>
          <w:sz w:val="21"/>
          <w:szCs w:val="21"/>
        </w:rPr>
        <w:t>Analysis</w:t>
      </w:r>
    </w:p>
    <w:p w14:paraId="7511F346" w14:textId="77777777" w:rsidR="006012F0" w:rsidRDefault="00134490" w:rsidP="00134490">
      <w:pPr>
        <w:pBdr>
          <w:top w:val="dashed" w:sz="8" w:space="8" w:color="8A8A8A"/>
          <w:left w:val="dashed" w:sz="8" w:space="8" w:color="8A8A8A"/>
          <w:bottom w:val="dashed" w:sz="8" w:space="8" w:color="8A8A8A"/>
          <w:right w:val="dashed" w:sz="8" w:space="8" w:color="8A8A8A"/>
        </w:pBdr>
        <w:shd w:val="clear" w:color="auto" w:fill="F4F4F4"/>
        <w:tabs>
          <w:tab w:val="left" w:pos="408"/>
          <w:tab w:val="center" w:pos="5220"/>
        </w:tabs>
        <w:spacing w:before="120" w:after="220" w:line="900" w:lineRule="atLeast"/>
      </w:pPr>
      <w:r w:rsidRPr="00134490">
        <w:rPr>
          <w:i/>
          <w:iCs/>
          <w:noProof/>
          <w:color w:val="666666"/>
        </w:rPr>
        <w:drawing>
          <wp:inline distT="0" distB="0" distL="0" distR="0" wp14:anchorId="307C7699" wp14:editId="4A306994">
            <wp:extent cx="6629400" cy="3625850"/>
            <wp:effectExtent l="0" t="0" r="0" b="0"/>
            <wp:docPr id="89711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2360" name=""/>
                    <pic:cNvPicPr/>
                  </pic:nvPicPr>
                  <pic:blipFill>
                    <a:blip r:embed="rId10"/>
                    <a:stretch>
                      <a:fillRect/>
                    </a:stretch>
                  </pic:blipFill>
                  <pic:spPr>
                    <a:xfrm>
                      <a:off x="0" y="0"/>
                      <a:ext cx="6629400" cy="3625850"/>
                    </a:xfrm>
                    <a:prstGeom prst="rect">
                      <a:avLst/>
                    </a:prstGeom>
                  </pic:spPr>
                </pic:pic>
              </a:graphicData>
            </a:graphic>
          </wp:inline>
        </w:drawing>
      </w:r>
      <w:r>
        <w:t xml:space="preserve"> </w:t>
      </w:r>
    </w:p>
    <w:p w14:paraId="21832661" w14:textId="77777777" w:rsidR="006012F0" w:rsidRDefault="006012F0" w:rsidP="006012F0">
      <w:pPr>
        <w:spacing w:before="140" w:after="60"/>
        <w:rPr>
          <w:b/>
          <w:bCs/>
          <w:color w:val="1F4E5F"/>
          <w:sz w:val="21"/>
          <w:szCs w:val="21"/>
        </w:rPr>
      </w:pPr>
      <w:r>
        <w:rPr>
          <w:b/>
          <w:bCs/>
          <w:color w:val="1F4E5F"/>
          <w:sz w:val="21"/>
          <w:szCs w:val="21"/>
        </w:rPr>
        <w:t>Papers</w:t>
      </w:r>
    </w:p>
    <w:p w14:paraId="5C8B6222" w14:textId="6354A508" w:rsidR="000A54A9" w:rsidRDefault="006012F0" w:rsidP="006012F0">
      <w:pPr>
        <w:pBdr>
          <w:top w:val="dashed" w:sz="8" w:space="8" w:color="8A8A8A"/>
          <w:left w:val="dashed" w:sz="8" w:space="8" w:color="8A8A8A"/>
          <w:bottom w:val="dashed" w:sz="8" w:space="8" w:color="8A8A8A"/>
          <w:right w:val="dashed" w:sz="8" w:space="8" w:color="8A8A8A"/>
        </w:pBdr>
        <w:shd w:val="clear" w:color="auto" w:fill="F4F4F4"/>
        <w:tabs>
          <w:tab w:val="left" w:pos="408"/>
          <w:tab w:val="center" w:pos="5220"/>
        </w:tabs>
        <w:spacing w:before="120" w:after="220" w:line="900" w:lineRule="atLeast"/>
      </w:pPr>
      <w:r w:rsidRPr="00052D34">
        <w:rPr>
          <w:noProof/>
        </w:rPr>
        <w:drawing>
          <wp:inline distT="0" distB="0" distL="0" distR="0" wp14:anchorId="152EF0B0" wp14:editId="7CEDCD82">
            <wp:extent cx="6629400" cy="2639060"/>
            <wp:effectExtent l="0" t="0" r="0" b="8890"/>
            <wp:docPr id="112059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94228" name=""/>
                    <pic:cNvPicPr/>
                  </pic:nvPicPr>
                  <pic:blipFill>
                    <a:blip r:embed="rId11"/>
                    <a:stretch>
                      <a:fillRect/>
                    </a:stretch>
                  </pic:blipFill>
                  <pic:spPr>
                    <a:xfrm>
                      <a:off x="0" y="0"/>
                      <a:ext cx="6629400" cy="2639060"/>
                    </a:xfrm>
                    <a:prstGeom prst="rect">
                      <a:avLst/>
                    </a:prstGeom>
                  </pic:spPr>
                </pic:pic>
              </a:graphicData>
            </a:graphic>
          </wp:inline>
        </w:drawing>
      </w:r>
      <w:r>
        <w:t xml:space="preserve"> </w:t>
      </w:r>
      <w:r>
        <w:br w:type="page"/>
      </w:r>
    </w:p>
    <w:p w14:paraId="6A4087EB" w14:textId="47053D08" w:rsidR="000A54A9" w:rsidRDefault="00F03282">
      <w:pPr>
        <w:pStyle w:val="Heading1"/>
        <w:spacing w:before="280" w:after="110"/>
      </w:pPr>
      <w:r>
        <w:lastRenderedPageBreak/>
        <w:t>5</w:t>
      </w:r>
      <w:r w:rsidRPr="000E6022">
        <w:t xml:space="preserve">. </w:t>
      </w:r>
      <w:r w:rsidR="000E6022">
        <w:t xml:space="preserve">User Guide -- </w:t>
      </w:r>
      <w:r w:rsidR="000E6022" w:rsidRPr="000E6022">
        <w:t>Setup Instructions</w:t>
      </w:r>
    </w:p>
    <w:p w14:paraId="48AB2CD8" w14:textId="00FFF2D4" w:rsidR="000A54A9" w:rsidRDefault="00000000">
      <w:pPr>
        <w:spacing w:after="100"/>
      </w:pPr>
      <w:r>
        <w:t>This is the full path from receiving the zip file to opening a finished workbook. It only needs to be done in full once per computer</w:t>
      </w:r>
      <w:r w:rsidR="006900D6">
        <w:t xml:space="preserve">; </w:t>
      </w:r>
      <w:r>
        <w:t xml:space="preserve">after </w:t>
      </w:r>
      <w:r w:rsidR="006900D6">
        <w:t>first use</w:t>
      </w:r>
      <w:r>
        <w:t xml:space="preserve">, </w:t>
      </w:r>
      <w:r w:rsidR="006900D6">
        <w:t xml:space="preserve">just follow </w:t>
      </w:r>
      <w:r>
        <w:t>Step 4.</w:t>
      </w:r>
    </w:p>
    <w:p w14:paraId="69E43894" w14:textId="2EE2085D" w:rsidR="000A54A9" w:rsidRDefault="00000000">
      <w:pPr>
        <w:pStyle w:val="Heading2"/>
        <w:spacing w:before="180" w:after="80"/>
      </w:pPr>
      <w:r w:rsidRPr="005726DF">
        <w:rPr>
          <w:b/>
          <w:bCs/>
        </w:rPr>
        <w:t>Step 1</w:t>
      </w:r>
      <w:r w:rsidR="006900D6" w:rsidRPr="005726DF">
        <w:rPr>
          <w:b/>
          <w:bCs/>
        </w:rPr>
        <w:t>:</w:t>
      </w:r>
      <w:r w:rsidR="006900D6">
        <w:t xml:space="preserve"> </w:t>
      </w:r>
      <w:r>
        <w:t>Unzip the folder</w:t>
      </w:r>
    </w:p>
    <w:p w14:paraId="735B64FF" w14:textId="486958CF" w:rsidR="000A54A9" w:rsidRDefault="00000000">
      <w:pPr>
        <w:spacing w:after="100"/>
      </w:pPr>
      <w:r>
        <w:t>Extract the zip file anywhere convenient (Desktop or Documents both work). Keep all the files together in the same folder</w:t>
      </w:r>
      <w:r w:rsidR="006900D6">
        <w:t>.</w:t>
      </w:r>
    </w:p>
    <w:p w14:paraId="143E85AC" w14:textId="5E5E2282" w:rsidR="000A54A9" w:rsidRDefault="00000000">
      <w:pPr>
        <w:pStyle w:val="Heading2"/>
        <w:spacing w:before="180" w:after="80"/>
      </w:pPr>
      <w:r w:rsidRPr="005726DF">
        <w:rPr>
          <w:b/>
          <w:bCs/>
        </w:rPr>
        <w:t>Step 2</w:t>
      </w:r>
      <w:r w:rsidR="006900D6" w:rsidRPr="005726DF">
        <w:rPr>
          <w:b/>
          <w:bCs/>
        </w:rPr>
        <w:t>:</w:t>
      </w:r>
      <w:r>
        <w:t xml:space="preserve"> Run “Initial Setup.bat” (once)</w:t>
      </w:r>
    </w:p>
    <w:p w14:paraId="3D9AD4DA" w14:textId="5386DF33" w:rsidR="000A54A9" w:rsidRDefault="006900D6">
      <w:pPr>
        <w:spacing w:after="100"/>
      </w:pPr>
      <w:r>
        <w:t>If you don’t have Python installed, run Initial Setup.bat. This is a one-time step that prepares the computer to run the pipeline:</w:t>
      </w:r>
    </w:p>
    <w:p w14:paraId="77E47FF7" w14:textId="77777777" w:rsidR="000A54A9" w:rsidRDefault="00000000" w:rsidP="006900D6">
      <w:pPr>
        <w:pStyle w:val="ListParagraph"/>
        <w:numPr>
          <w:ilvl w:val="0"/>
          <w:numId w:val="7"/>
        </w:numPr>
        <w:spacing w:after="40"/>
      </w:pPr>
      <w:r>
        <w:t>It checks whether Python is already installed.</w:t>
      </w:r>
    </w:p>
    <w:p w14:paraId="140E1F98" w14:textId="4E7A7B45" w:rsidR="000A54A9" w:rsidRDefault="00000000" w:rsidP="006900D6">
      <w:pPr>
        <w:pStyle w:val="ListParagraph"/>
        <w:numPr>
          <w:ilvl w:val="0"/>
          <w:numId w:val="7"/>
        </w:numPr>
        <w:spacing w:after="40"/>
      </w:pPr>
      <w:r>
        <w:t>If not, it downloads Python 3.12 directly from python.org and installs it in the background</w:t>
      </w:r>
      <w:r w:rsidR="006900D6">
        <w:t>.</w:t>
      </w:r>
    </w:p>
    <w:p w14:paraId="7CDEBD3E" w14:textId="77777777" w:rsidR="000A54A9" w:rsidRDefault="00000000" w:rsidP="006900D6">
      <w:pPr>
        <w:pStyle w:val="ListParagraph"/>
        <w:numPr>
          <w:ilvl w:val="0"/>
          <w:numId w:val="7"/>
        </w:numPr>
        <w:spacing w:after="40"/>
      </w:pPr>
      <w:r>
        <w:t>It then installs the handful of Python packages the pipeline needs (from requirements.txt).</w:t>
      </w:r>
    </w:p>
    <w:p w14:paraId="080EE81E" w14:textId="77777777" w:rsidR="000A54A9" w:rsidRDefault="00000000" w:rsidP="006900D6">
      <w:pPr>
        <w:pStyle w:val="ListParagraph"/>
        <w:numPr>
          <w:ilvl w:val="0"/>
          <w:numId w:val="7"/>
        </w:numPr>
        <w:spacing w:after="40"/>
      </w:pPr>
      <w:r>
        <w:t>When it says “Setup Complete,” you can close the window.</w:t>
      </w:r>
    </w:p>
    <w:p w14:paraId="3EEB6C4A" w14:textId="04264616" w:rsidR="000A54A9" w:rsidRPr="006900D6" w:rsidRDefault="00000000">
      <w:pPr>
        <w:spacing w:after="100"/>
        <w:rPr>
          <w:i/>
          <w:iCs/>
        </w:rPr>
      </w:pPr>
      <w:r w:rsidRPr="006900D6">
        <w:rPr>
          <w:i/>
          <w:iCs/>
        </w:rPr>
        <w:t>This step needs an internet connection and usually takes one to two minutes (longer if Python itself has to be downloaded and installed)</w:t>
      </w:r>
      <w:r w:rsidR="006900D6" w:rsidRPr="006900D6">
        <w:rPr>
          <w:i/>
          <w:iCs/>
        </w:rPr>
        <w:t>.</w:t>
      </w:r>
    </w:p>
    <w:p w14:paraId="68A61EDC" w14:textId="04219E28" w:rsidR="000A54A9" w:rsidRDefault="00000000">
      <w:pPr>
        <w:pStyle w:val="Heading2"/>
        <w:spacing w:before="180" w:after="80"/>
      </w:pPr>
      <w:r w:rsidRPr="005726DF">
        <w:rPr>
          <w:b/>
          <w:bCs/>
        </w:rPr>
        <w:t>Step 3</w:t>
      </w:r>
      <w:r w:rsidR="006900D6" w:rsidRPr="005726DF">
        <w:rPr>
          <w:b/>
          <w:bCs/>
        </w:rPr>
        <w:t>:</w:t>
      </w:r>
      <w:r>
        <w:t xml:space="preserve"> Get a free </w:t>
      </w:r>
      <w:proofErr w:type="spellStart"/>
      <w:r>
        <w:t>OpenAlex</w:t>
      </w:r>
      <w:proofErr w:type="spellEnd"/>
      <w:r>
        <w:t xml:space="preserve"> API key</w:t>
      </w:r>
    </w:p>
    <w:p w14:paraId="47FABECE" w14:textId="77777777" w:rsidR="000A54A9" w:rsidRDefault="00000000" w:rsidP="006900D6">
      <w:pPr>
        <w:pStyle w:val="ListParagraph"/>
        <w:numPr>
          <w:ilvl w:val="0"/>
          <w:numId w:val="5"/>
        </w:numPr>
        <w:spacing w:after="60"/>
      </w:pPr>
      <w:r>
        <w:t>Go to openalex.org and create a free account (any email works, including a WBG email).</w:t>
      </w:r>
    </w:p>
    <w:p w14:paraId="7976B95A" w14:textId="77777777" w:rsidR="000A54A9" w:rsidRDefault="00000000" w:rsidP="006900D6">
      <w:pPr>
        <w:pStyle w:val="ListParagraph"/>
        <w:numPr>
          <w:ilvl w:val="0"/>
          <w:numId w:val="5"/>
        </w:numPr>
        <w:spacing w:after="60"/>
      </w:pPr>
      <w:r>
        <w:t>Once logged in, go to openalex.org/settings/</w:t>
      </w:r>
      <w:proofErr w:type="spellStart"/>
      <w:r>
        <w:t>api</w:t>
      </w:r>
      <w:proofErr w:type="spellEnd"/>
      <w:r>
        <w:t xml:space="preserve"> and copy your personal API key.</w:t>
      </w:r>
    </w:p>
    <w:p w14:paraId="5AB1ADB3" w14:textId="0E7AAECB" w:rsidR="000A54A9" w:rsidRDefault="00000000" w:rsidP="006900D6">
      <w:pPr>
        <w:pStyle w:val="ListParagraph"/>
        <w:numPr>
          <w:ilvl w:val="0"/>
          <w:numId w:val="5"/>
        </w:numPr>
        <w:spacing w:after="60"/>
      </w:pPr>
      <w:r>
        <w:t>Keep it somewhere safe</w:t>
      </w:r>
      <w:r w:rsidR="006900D6">
        <w:t xml:space="preserve">, </w:t>
      </w:r>
      <w:r>
        <w:t>you</w:t>
      </w:r>
      <w:r w:rsidR="006900D6">
        <w:t xml:space="preserve"> need to</w:t>
      </w:r>
      <w:r>
        <w:t xml:space="preserve"> paste it into the program once, and it will remember it for every run after that.</w:t>
      </w:r>
    </w:p>
    <w:p w14:paraId="6D619D8B" w14:textId="7BAC1FA2" w:rsidR="000A54A9" w:rsidRDefault="006900D6">
      <w:pPr>
        <w:spacing w:after="100"/>
      </w:pPr>
      <w:r>
        <w:rPr>
          <w:i/>
          <w:iCs/>
        </w:rPr>
        <w:t xml:space="preserve">Note: No credit card or payment method is required for normal use. </w:t>
      </w:r>
      <w:r w:rsidRPr="006900D6">
        <w:rPr>
          <w:i/>
          <w:iCs/>
        </w:rPr>
        <w:t xml:space="preserve">A free </w:t>
      </w:r>
      <w:proofErr w:type="spellStart"/>
      <w:r w:rsidRPr="006900D6">
        <w:rPr>
          <w:i/>
          <w:iCs/>
        </w:rPr>
        <w:t>OpenAlex</w:t>
      </w:r>
      <w:proofErr w:type="spellEnd"/>
      <w:r w:rsidRPr="006900D6">
        <w:rPr>
          <w:i/>
          <w:iCs/>
        </w:rPr>
        <w:t xml:space="preserve"> API key comes with a $1.00 per day free usage allowance, </w:t>
      </w:r>
      <w:r>
        <w:rPr>
          <w:i/>
          <w:iCs/>
        </w:rPr>
        <w:t>and one runs cost just about $0.45.</w:t>
      </w:r>
      <w:r w:rsidRPr="006900D6">
        <w:rPr>
          <w:i/>
          <w:iCs/>
        </w:rPr>
        <w:t xml:space="preserve"> If you need to run it</w:t>
      </w:r>
      <w:r>
        <w:rPr>
          <w:i/>
          <w:iCs/>
        </w:rPr>
        <w:t xml:space="preserve"> more than twice a day, register and connect a new API key or buy usage credits on the </w:t>
      </w:r>
      <w:proofErr w:type="spellStart"/>
      <w:r>
        <w:rPr>
          <w:i/>
          <w:iCs/>
        </w:rPr>
        <w:t>OpenAlex</w:t>
      </w:r>
      <w:proofErr w:type="spellEnd"/>
      <w:r>
        <w:rPr>
          <w:i/>
          <w:iCs/>
        </w:rPr>
        <w:t xml:space="preserve"> API website</w:t>
      </w:r>
      <w:r w:rsidRPr="006900D6">
        <w:rPr>
          <w:i/>
          <w:iCs/>
        </w:rPr>
        <w:t>.</w:t>
      </w:r>
    </w:p>
    <w:p w14:paraId="54E5BE74" w14:textId="56B0D9C8" w:rsidR="000A54A9" w:rsidRDefault="00000000">
      <w:pPr>
        <w:pStyle w:val="Heading2"/>
        <w:spacing w:before="180" w:after="80"/>
      </w:pPr>
      <w:r w:rsidRPr="005726DF">
        <w:rPr>
          <w:b/>
          <w:bCs/>
        </w:rPr>
        <w:t>Step 4</w:t>
      </w:r>
      <w:r w:rsidR="006900D6" w:rsidRPr="005726DF">
        <w:rPr>
          <w:b/>
          <w:bCs/>
        </w:rPr>
        <w:t>:</w:t>
      </w:r>
      <w:r w:rsidR="006900D6">
        <w:t xml:space="preserve"> Run “</w:t>
      </w:r>
      <w:r w:rsidR="006900D6" w:rsidRPr="006900D6">
        <w:t xml:space="preserve">LSMS </w:t>
      </w:r>
      <w:r w:rsidR="006900D6">
        <w:t>Impact Analysis</w:t>
      </w:r>
      <w:r w:rsidR="006900D6" w:rsidRPr="006900D6">
        <w:t>.bat</w:t>
      </w:r>
      <w:r w:rsidR="006900D6">
        <w:t>”</w:t>
      </w:r>
    </w:p>
    <w:p w14:paraId="0CC843C8" w14:textId="2A9C9B1E" w:rsidR="000A54A9" w:rsidRDefault="00000000" w:rsidP="006900D6">
      <w:pPr>
        <w:pStyle w:val="ListParagraph"/>
        <w:numPr>
          <w:ilvl w:val="0"/>
          <w:numId w:val="6"/>
        </w:numPr>
        <w:spacing w:after="60"/>
      </w:pPr>
      <w:r>
        <w:t xml:space="preserve">Double-click </w:t>
      </w:r>
      <w:r w:rsidR="006900D6" w:rsidRPr="006900D6">
        <w:t>LSMS Impact Analysis.bat</w:t>
      </w:r>
    </w:p>
    <w:p w14:paraId="79DD08C0" w14:textId="77777777" w:rsidR="000A54A9" w:rsidRDefault="00000000" w:rsidP="006900D6">
      <w:pPr>
        <w:pStyle w:val="ListParagraph"/>
        <w:numPr>
          <w:ilvl w:val="0"/>
          <w:numId w:val="6"/>
        </w:numPr>
        <w:spacing w:after="60"/>
      </w:pPr>
      <w:r>
        <w:t xml:space="preserve">The first time, paste your </w:t>
      </w:r>
      <w:proofErr w:type="spellStart"/>
      <w:r>
        <w:t>OpenAlex</w:t>
      </w:r>
      <w:proofErr w:type="spellEnd"/>
      <w:r>
        <w:t xml:space="preserve"> API key into the field and click Run analysis.</w:t>
      </w:r>
    </w:p>
    <w:p w14:paraId="2FA59753" w14:textId="3D8686E0" w:rsidR="000A54A9" w:rsidRDefault="00000000" w:rsidP="006900D6">
      <w:pPr>
        <w:pStyle w:val="ListParagraph"/>
        <w:numPr>
          <w:ilvl w:val="0"/>
          <w:numId w:val="6"/>
        </w:numPr>
        <w:spacing w:after="60"/>
      </w:pPr>
      <w:r>
        <w:t>A blue spinner shows while the analysis runs</w:t>
      </w:r>
      <w:r w:rsidR="006900D6">
        <w:t>--</w:t>
      </w:r>
      <w:r>
        <w:t>usually about 5 minutes. Leave the window open.</w:t>
      </w:r>
    </w:p>
    <w:p w14:paraId="4FCC341B" w14:textId="7F9C18A9" w:rsidR="000A54A9" w:rsidRDefault="00000000" w:rsidP="00F03282">
      <w:pPr>
        <w:pStyle w:val="ListParagraph"/>
        <w:numPr>
          <w:ilvl w:val="0"/>
          <w:numId w:val="6"/>
        </w:numPr>
        <w:spacing w:after="60"/>
      </w:pPr>
      <w:r>
        <w:t>When it finishes, a green checkmark appears with the name of the new Excel file and an Open File button</w:t>
      </w:r>
      <w:r w:rsidR="006900D6">
        <w:t xml:space="preserve">. </w:t>
      </w:r>
      <w:r>
        <w:t>click it to open the workbook directly.</w:t>
      </w:r>
    </w:p>
    <w:sectPr w:rsidR="000A54A9">
      <w:pgSz w:w="12240" w:h="15840"/>
      <w:pgMar w:top="720" w:right="900" w:bottom="72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D360D" w14:textId="77777777" w:rsidR="00564F91" w:rsidRDefault="00564F91" w:rsidP="00052D34">
      <w:r>
        <w:separator/>
      </w:r>
    </w:p>
  </w:endnote>
  <w:endnote w:type="continuationSeparator" w:id="0">
    <w:p w14:paraId="7A16D8AB" w14:textId="77777777" w:rsidR="00564F91" w:rsidRDefault="00564F91" w:rsidP="00052D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F34E1" w14:textId="77777777" w:rsidR="00564F91" w:rsidRDefault="00564F91" w:rsidP="00052D34">
      <w:r>
        <w:separator/>
      </w:r>
    </w:p>
  </w:footnote>
  <w:footnote w:type="continuationSeparator" w:id="0">
    <w:p w14:paraId="6E13F46D" w14:textId="77777777" w:rsidR="00564F91" w:rsidRDefault="00564F91" w:rsidP="00052D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C7513"/>
    <w:multiLevelType w:val="hybridMultilevel"/>
    <w:tmpl w:val="34FE3FB2"/>
    <w:lvl w:ilvl="0" w:tplc="0FF8E2B6">
      <w:start w:val="1"/>
      <w:numFmt w:val="bullet"/>
      <w:lvlText w:val="●"/>
      <w:lvlJc w:val="left"/>
      <w:pPr>
        <w:ind w:left="720" w:hanging="360"/>
      </w:pPr>
    </w:lvl>
    <w:lvl w:ilvl="1" w:tplc="26D89E9C">
      <w:start w:val="1"/>
      <w:numFmt w:val="bullet"/>
      <w:lvlText w:val="○"/>
      <w:lvlJc w:val="left"/>
      <w:pPr>
        <w:ind w:left="1440" w:hanging="360"/>
      </w:pPr>
    </w:lvl>
    <w:lvl w:ilvl="2" w:tplc="70C2308E">
      <w:start w:val="1"/>
      <w:numFmt w:val="bullet"/>
      <w:lvlText w:val="■"/>
      <w:lvlJc w:val="left"/>
      <w:pPr>
        <w:ind w:left="2160" w:hanging="360"/>
      </w:pPr>
    </w:lvl>
    <w:lvl w:ilvl="3" w:tplc="2F0EB952">
      <w:start w:val="1"/>
      <w:numFmt w:val="bullet"/>
      <w:lvlText w:val="●"/>
      <w:lvlJc w:val="left"/>
      <w:pPr>
        <w:ind w:left="2880" w:hanging="360"/>
      </w:pPr>
    </w:lvl>
    <w:lvl w:ilvl="4" w:tplc="318C13AA">
      <w:start w:val="1"/>
      <w:numFmt w:val="bullet"/>
      <w:lvlText w:val="○"/>
      <w:lvlJc w:val="left"/>
      <w:pPr>
        <w:ind w:left="3600" w:hanging="360"/>
      </w:pPr>
    </w:lvl>
    <w:lvl w:ilvl="5" w:tplc="AB70975E">
      <w:start w:val="1"/>
      <w:numFmt w:val="bullet"/>
      <w:lvlText w:val="■"/>
      <w:lvlJc w:val="left"/>
      <w:pPr>
        <w:ind w:left="4320" w:hanging="360"/>
      </w:pPr>
    </w:lvl>
    <w:lvl w:ilvl="6" w:tplc="98E05538">
      <w:start w:val="1"/>
      <w:numFmt w:val="bullet"/>
      <w:lvlText w:val="●"/>
      <w:lvlJc w:val="left"/>
      <w:pPr>
        <w:ind w:left="5040" w:hanging="360"/>
      </w:pPr>
    </w:lvl>
    <w:lvl w:ilvl="7" w:tplc="9CACE73E">
      <w:start w:val="1"/>
      <w:numFmt w:val="bullet"/>
      <w:lvlText w:val="●"/>
      <w:lvlJc w:val="left"/>
      <w:pPr>
        <w:ind w:left="5760" w:hanging="360"/>
      </w:pPr>
    </w:lvl>
    <w:lvl w:ilvl="8" w:tplc="B2389468">
      <w:start w:val="1"/>
      <w:numFmt w:val="bullet"/>
      <w:lvlText w:val="●"/>
      <w:lvlJc w:val="left"/>
      <w:pPr>
        <w:ind w:left="6480" w:hanging="360"/>
      </w:pPr>
    </w:lvl>
  </w:abstractNum>
  <w:abstractNum w:abstractNumId="1" w15:restartNumberingAfterBreak="0">
    <w:nsid w:val="193F391B"/>
    <w:multiLevelType w:val="hybridMultilevel"/>
    <w:tmpl w:val="DD1042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437DA2"/>
    <w:multiLevelType w:val="hybridMultilevel"/>
    <w:tmpl w:val="0EBCB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9E5D66"/>
    <w:multiLevelType w:val="hybridMultilevel"/>
    <w:tmpl w:val="5060F88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D6F2932"/>
    <w:multiLevelType w:val="hybridMultilevel"/>
    <w:tmpl w:val="602E4954"/>
    <w:lvl w:ilvl="0" w:tplc="752A4084">
      <w:start w:val="1"/>
      <w:numFmt w:val="decimal"/>
      <w:lvlText w:val="%1."/>
      <w:lvlJc w:val="left"/>
    </w:lvl>
    <w:lvl w:ilvl="1" w:tplc="7C4281BC">
      <w:numFmt w:val="decimal"/>
      <w:lvlText w:val=""/>
      <w:lvlJc w:val="left"/>
    </w:lvl>
    <w:lvl w:ilvl="2" w:tplc="7CDEB502">
      <w:numFmt w:val="decimal"/>
      <w:lvlText w:val=""/>
      <w:lvlJc w:val="left"/>
    </w:lvl>
    <w:lvl w:ilvl="3" w:tplc="826E3F66">
      <w:numFmt w:val="decimal"/>
      <w:lvlText w:val=""/>
      <w:lvlJc w:val="left"/>
    </w:lvl>
    <w:lvl w:ilvl="4" w:tplc="85A6AA54">
      <w:numFmt w:val="decimal"/>
      <w:lvlText w:val=""/>
      <w:lvlJc w:val="left"/>
    </w:lvl>
    <w:lvl w:ilvl="5" w:tplc="CAE2E028">
      <w:numFmt w:val="decimal"/>
      <w:lvlText w:val=""/>
      <w:lvlJc w:val="left"/>
    </w:lvl>
    <w:lvl w:ilvl="6" w:tplc="09BCE33C">
      <w:numFmt w:val="decimal"/>
      <w:lvlText w:val=""/>
      <w:lvlJc w:val="left"/>
    </w:lvl>
    <w:lvl w:ilvl="7" w:tplc="2D28C9D0">
      <w:numFmt w:val="decimal"/>
      <w:lvlText w:val=""/>
      <w:lvlJc w:val="left"/>
    </w:lvl>
    <w:lvl w:ilvl="8" w:tplc="A900D6D4">
      <w:numFmt w:val="decimal"/>
      <w:lvlText w:val=""/>
      <w:lvlJc w:val="left"/>
    </w:lvl>
  </w:abstractNum>
  <w:abstractNum w:abstractNumId="5" w15:restartNumberingAfterBreak="0">
    <w:nsid w:val="3E3F30C2"/>
    <w:multiLevelType w:val="hybridMultilevel"/>
    <w:tmpl w:val="88E2B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14740E"/>
    <w:multiLevelType w:val="hybridMultilevel"/>
    <w:tmpl w:val="1DDA9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9B5428"/>
    <w:multiLevelType w:val="hybridMultilevel"/>
    <w:tmpl w:val="7B0E5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7D6C76"/>
    <w:multiLevelType w:val="hybridMultilevel"/>
    <w:tmpl w:val="70609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781677E"/>
    <w:multiLevelType w:val="hybridMultilevel"/>
    <w:tmpl w:val="369ED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7582802">
    <w:abstractNumId w:val="0"/>
    <w:lvlOverride w:ilvl="0">
      <w:startOverride w:val="1"/>
    </w:lvlOverride>
  </w:num>
  <w:num w:numId="2" w16cid:durableId="802894641">
    <w:abstractNumId w:val="4"/>
    <w:lvlOverride w:ilvl="0">
      <w:startOverride w:val="1"/>
    </w:lvlOverride>
  </w:num>
  <w:num w:numId="3" w16cid:durableId="668216010">
    <w:abstractNumId w:val="5"/>
  </w:num>
  <w:num w:numId="4" w16cid:durableId="1722241904">
    <w:abstractNumId w:val="3"/>
  </w:num>
  <w:num w:numId="5" w16cid:durableId="1188757584">
    <w:abstractNumId w:val="1"/>
  </w:num>
  <w:num w:numId="6" w16cid:durableId="1973554265">
    <w:abstractNumId w:val="8"/>
  </w:num>
  <w:num w:numId="7" w16cid:durableId="1962107170">
    <w:abstractNumId w:val="2"/>
  </w:num>
  <w:num w:numId="8" w16cid:durableId="1505821418">
    <w:abstractNumId w:val="9"/>
  </w:num>
  <w:num w:numId="9" w16cid:durableId="1571577203">
    <w:abstractNumId w:val="6"/>
  </w:num>
  <w:num w:numId="10" w16cid:durableId="19088075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4A9"/>
    <w:rsid w:val="00052252"/>
    <w:rsid w:val="00052D34"/>
    <w:rsid w:val="000559F7"/>
    <w:rsid w:val="000A54A9"/>
    <w:rsid w:val="000C041F"/>
    <w:rsid w:val="000E6022"/>
    <w:rsid w:val="000F2344"/>
    <w:rsid w:val="00134490"/>
    <w:rsid w:val="001A2DE8"/>
    <w:rsid w:val="001D707A"/>
    <w:rsid w:val="002210D2"/>
    <w:rsid w:val="00265EA8"/>
    <w:rsid w:val="002C0D65"/>
    <w:rsid w:val="00342945"/>
    <w:rsid w:val="0041349D"/>
    <w:rsid w:val="00416EE1"/>
    <w:rsid w:val="004A6E2E"/>
    <w:rsid w:val="005370E7"/>
    <w:rsid w:val="005565FD"/>
    <w:rsid w:val="00564F91"/>
    <w:rsid w:val="005726DF"/>
    <w:rsid w:val="00594EE5"/>
    <w:rsid w:val="005D23A3"/>
    <w:rsid w:val="005E1CBB"/>
    <w:rsid w:val="005F6088"/>
    <w:rsid w:val="006012F0"/>
    <w:rsid w:val="00626C78"/>
    <w:rsid w:val="00646217"/>
    <w:rsid w:val="00664977"/>
    <w:rsid w:val="00675C96"/>
    <w:rsid w:val="006769CA"/>
    <w:rsid w:val="006900D6"/>
    <w:rsid w:val="0069134B"/>
    <w:rsid w:val="006D60A1"/>
    <w:rsid w:val="006F24D5"/>
    <w:rsid w:val="007356F8"/>
    <w:rsid w:val="007628EB"/>
    <w:rsid w:val="00785FFB"/>
    <w:rsid w:val="007A7624"/>
    <w:rsid w:val="00865841"/>
    <w:rsid w:val="00974C34"/>
    <w:rsid w:val="009F795D"/>
    <w:rsid w:val="00A45321"/>
    <w:rsid w:val="00A74568"/>
    <w:rsid w:val="00A80268"/>
    <w:rsid w:val="00AF4A17"/>
    <w:rsid w:val="00B337E0"/>
    <w:rsid w:val="00C90358"/>
    <w:rsid w:val="00CD3DCD"/>
    <w:rsid w:val="00CE27A2"/>
    <w:rsid w:val="00CF4ED8"/>
    <w:rsid w:val="00D24DF4"/>
    <w:rsid w:val="00DB2B3C"/>
    <w:rsid w:val="00DF1D75"/>
    <w:rsid w:val="00E667A6"/>
    <w:rsid w:val="00EA134A"/>
    <w:rsid w:val="00EC739A"/>
    <w:rsid w:val="00F03282"/>
    <w:rsid w:val="00F611D9"/>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8659D"/>
  <w15:docId w15:val="{E3567ADA-4EEB-433C-B159-4084A6884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D34"/>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52D34"/>
    <w:pPr>
      <w:tabs>
        <w:tab w:val="center" w:pos="4680"/>
        <w:tab w:val="right" w:pos="9360"/>
      </w:tabs>
    </w:pPr>
  </w:style>
  <w:style w:type="character" w:customStyle="1" w:styleId="HeaderChar">
    <w:name w:val="Header Char"/>
    <w:basedOn w:val="DefaultParagraphFont"/>
    <w:link w:val="Header"/>
    <w:uiPriority w:val="99"/>
    <w:rsid w:val="00052D34"/>
  </w:style>
  <w:style w:type="paragraph" w:styleId="Footer">
    <w:name w:val="footer"/>
    <w:basedOn w:val="Normal"/>
    <w:link w:val="FooterChar"/>
    <w:uiPriority w:val="99"/>
    <w:unhideWhenUsed/>
    <w:rsid w:val="00052D34"/>
    <w:pPr>
      <w:tabs>
        <w:tab w:val="center" w:pos="4680"/>
        <w:tab w:val="right" w:pos="9360"/>
      </w:tabs>
    </w:pPr>
  </w:style>
  <w:style w:type="character" w:customStyle="1" w:styleId="FooterChar">
    <w:name w:val="Footer Char"/>
    <w:basedOn w:val="DefaultParagraphFont"/>
    <w:link w:val="Footer"/>
    <w:uiPriority w:val="99"/>
    <w:rsid w:val="00052D34"/>
  </w:style>
  <w:style w:type="character" w:customStyle="1" w:styleId="Heading1Char">
    <w:name w:val="Heading 1 Char"/>
    <w:basedOn w:val="DefaultParagraphFont"/>
    <w:link w:val="Heading1"/>
    <w:uiPriority w:val="9"/>
    <w:rsid w:val="00F03282"/>
    <w:rPr>
      <w:color w:val="2E74B5"/>
      <w:sz w:val="32"/>
      <w:szCs w:val="32"/>
    </w:rPr>
  </w:style>
  <w:style w:type="character" w:customStyle="1" w:styleId="Heading2Char">
    <w:name w:val="Heading 2 Char"/>
    <w:basedOn w:val="DefaultParagraphFont"/>
    <w:link w:val="Heading2"/>
    <w:uiPriority w:val="9"/>
    <w:rsid w:val="00CD3DCD"/>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5</Pages>
  <Words>1248</Words>
  <Characters>7119</Characters>
  <Application>Microsoft Office Word</Application>
  <DocSecurity>0</DocSecurity>
  <Lines>59</Lines>
  <Paragraphs>16</Paragraphs>
  <ScaleCrop>false</ScaleCrop>
  <Company/>
  <LinksUpToDate>false</LinksUpToDate>
  <CharactersWithSpaces>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Doernyei, Bende</cp:lastModifiedBy>
  <cp:revision>56</cp:revision>
  <cp:lastPrinted>2026-07-13T19:18:00Z</cp:lastPrinted>
  <dcterms:created xsi:type="dcterms:W3CDTF">2026-07-13T18:02:00Z</dcterms:created>
  <dcterms:modified xsi:type="dcterms:W3CDTF">2026-07-13T19:43:00Z</dcterms:modified>
</cp:coreProperties>
</file>