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10390" w14:textId="0DA28C73" w:rsidR="000D479D" w:rsidRPr="000D479D" w:rsidRDefault="000D479D" w:rsidP="00AA688F">
      <w:pPr>
        <w:rPr>
          <w:b/>
          <w:bCs/>
          <w:lang w:val="en-GB"/>
        </w:rPr>
      </w:pPr>
      <w:r w:rsidRPr="000D479D">
        <w:rPr>
          <w:b/>
          <w:bCs/>
          <w:lang w:val="en-GB"/>
        </w:rPr>
        <w:t>Strategic plan summary with associated KPIs</w:t>
      </w:r>
    </w:p>
    <w:tbl>
      <w:tblPr>
        <w:tblW w:w="10020" w:type="dxa"/>
        <w:tblLook w:val="04A0" w:firstRow="1" w:lastRow="0" w:firstColumn="1" w:lastColumn="0" w:noHBand="0" w:noVBand="1"/>
      </w:tblPr>
      <w:tblGrid>
        <w:gridCol w:w="1940"/>
        <w:gridCol w:w="3900"/>
        <w:gridCol w:w="4180"/>
      </w:tblGrid>
      <w:tr w:rsidR="000D479D" w:rsidRPr="000D479D" w14:paraId="43AC3715" w14:textId="77777777" w:rsidTr="000D479D">
        <w:trPr>
          <w:trHeight w:val="300"/>
        </w:trPr>
        <w:tc>
          <w:tcPr>
            <w:tcW w:w="1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8390C7" w14:textId="77777777" w:rsidR="000D479D" w:rsidRPr="000D479D" w:rsidRDefault="000D479D" w:rsidP="000D479D">
            <w:pPr>
              <w:spacing w:after="0" w:line="240" w:lineRule="auto"/>
              <w:jc w:val="center"/>
              <w:rPr>
                <w:rFonts w:ascii="Aptos Narrow" w:eastAsia="Times New Roman" w:hAnsi="Aptos Narrow" w:cs="Times New Roman"/>
                <w:b/>
                <w:bCs/>
                <w:color w:val="000000"/>
                <w:lang w:val="en-GB" w:eastAsia="en-GB"/>
              </w:rPr>
            </w:pPr>
            <w:r w:rsidRPr="000D479D">
              <w:rPr>
                <w:rFonts w:ascii="Aptos Narrow" w:eastAsia="Times New Roman" w:hAnsi="Aptos Narrow" w:cs="Times New Roman"/>
                <w:b/>
                <w:bCs/>
                <w:color w:val="000000"/>
                <w:lang w:val="en-GB" w:eastAsia="en-GB"/>
              </w:rPr>
              <w:t>Strategic Goal</w:t>
            </w:r>
          </w:p>
        </w:tc>
        <w:tc>
          <w:tcPr>
            <w:tcW w:w="3900" w:type="dxa"/>
            <w:tcBorders>
              <w:top w:val="single" w:sz="4" w:space="0" w:color="auto"/>
              <w:left w:val="nil"/>
              <w:bottom w:val="single" w:sz="4" w:space="0" w:color="auto"/>
              <w:right w:val="single" w:sz="4" w:space="0" w:color="auto"/>
            </w:tcBorders>
            <w:shd w:val="clear" w:color="auto" w:fill="auto"/>
            <w:vAlign w:val="center"/>
            <w:hideMark/>
          </w:tcPr>
          <w:p w14:paraId="0F561683" w14:textId="77777777" w:rsidR="000D479D" w:rsidRPr="000D479D" w:rsidRDefault="000D479D" w:rsidP="000D479D">
            <w:pPr>
              <w:spacing w:after="0" w:line="240" w:lineRule="auto"/>
              <w:jc w:val="center"/>
              <w:rPr>
                <w:rFonts w:ascii="Aptos Narrow" w:eastAsia="Times New Roman" w:hAnsi="Aptos Narrow" w:cs="Times New Roman"/>
                <w:b/>
                <w:bCs/>
                <w:color w:val="000000"/>
                <w:lang w:val="en-GB" w:eastAsia="en-GB"/>
              </w:rPr>
            </w:pPr>
            <w:r w:rsidRPr="000D479D">
              <w:rPr>
                <w:rFonts w:ascii="Aptos Narrow" w:eastAsia="Times New Roman" w:hAnsi="Aptos Narrow" w:cs="Times New Roman"/>
                <w:b/>
                <w:bCs/>
                <w:color w:val="000000"/>
                <w:lang w:val="en-GB" w:eastAsia="en-GB"/>
              </w:rPr>
              <w:t>Description</w:t>
            </w:r>
          </w:p>
        </w:tc>
        <w:tc>
          <w:tcPr>
            <w:tcW w:w="4180" w:type="dxa"/>
            <w:tcBorders>
              <w:top w:val="single" w:sz="4" w:space="0" w:color="auto"/>
              <w:left w:val="nil"/>
              <w:bottom w:val="single" w:sz="4" w:space="0" w:color="auto"/>
              <w:right w:val="single" w:sz="4" w:space="0" w:color="auto"/>
            </w:tcBorders>
            <w:shd w:val="clear" w:color="auto" w:fill="auto"/>
            <w:vAlign w:val="center"/>
            <w:hideMark/>
          </w:tcPr>
          <w:p w14:paraId="74AA487F" w14:textId="77777777" w:rsidR="000D479D" w:rsidRPr="000D479D" w:rsidRDefault="000D479D" w:rsidP="000D479D">
            <w:pPr>
              <w:spacing w:after="0" w:line="240" w:lineRule="auto"/>
              <w:jc w:val="center"/>
              <w:rPr>
                <w:rFonts w:ascii="Aptos Narrow" w:eastAsia="Times New Roman" w:hAnsi="Aptos Narrow" w:cs="Times New Roman"/>
                <w:b/>
                <w:bCs/>
                <w:color w:val="000000"/>
                <w:lang w:val="en-GB" w:eastAsia="en-GB"/>
              </w:rPr>
            </w:pPr>
            <w:r w:rsidRPr="000D479D">
              <w:rPr>
                <w:rFonts w:ascii="Aptos Narrow" w:eastAsia="Times New Roman" w:hAnsi="Aptos Narrow" w:cs="Times New Roman"/>
                <w:b/>
                <w:bCs/>
                <w:color w:val="000000"/>
                <w:lang w:val="en-GB" w:eastAsia="en-GB"/>
              </w:rPr>
              <w:t>KPIs</w:t>
            </w:r>
          </w:p>
        </w:tc>
      </w:tr>
      <w:tr w:rsidR="000D479D" w:rsidRPr="000D479D" w14:paraId="5D92CE23" w14:textId="77777777" w:rsidTr="000D479D">
        <w:trPr>
          <w:trHeight w:val="600"/>
        </w:trPr>
        <w:tc>
          <w:tcPr>
            <w:tcW w:w="1940" w:type="dxa"/>
            <w:vMerge w:val="restart"/>
            <w:tcBorders>
              <w:top w:val="nil"/>
              <w:left w:val="single" w:sz="4" w:space="0" w:color="auto"/>
              <w:bottom w:val="single" w:sz="4" w:space="0" w:color="auto"/>
              <w:right w:val="single" w:sz="4" w:space="0" w:color="auto"/>
            </w:tcBorders>
            <w:shd w:val="clear" w:color="auto" w:fill="auto"/>
            <w:vAlign w:val="center"/>
            <w:hideMark/>
          </w:tcPr>
          <w:p w14:paraId="40C9FFB7"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r w:rsidRPr="000D479D">
              <w:rPr>
                <w:rFonts w:ascii="Aptos Narrow" w:eastAsia="Times New Roman" w:hAnsi="Aptos Narrow" w:cs="Times New Roman"/>
                <w:b/>
                <w:bCs/>
                <w:color w:val="000000"/>
                <w:lang w:val="en-GB" w:eastAsia="en-GB"/>
              </w:rPr>
              <w:t>1. Diversify Revenue Streams in Immunology</w:t>
            </w:r>
          </w:p>
        </w:tc>
        <w:tc>
          <w:tcPr>
            <w:tcW w:w="3900" w:type="dxa"/>
            <w:vMerge w:val="restart"/>
            <w:tcBorders>
              <w:top w:val="nil"/>
              <w:left w:val="single" w:sz="4" w:space="0" w:color="auto"/>
              <w:bottom w:val="single" w:sz="4" w:space="0" w:color="auto"/>
              <w:right w:val="single" w:sz="4" w:space="0" w:color="auto"/>
            </w:tcBorders>
            <w:shd w:val="clear" w:color="auto" w:fill="auto"/>
            <w:vAlign w:val="center"/>
            <w:hideMark/>
          </w:tcPr>
          <w:p w14:paraId="2063D637"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Expand Zile's immunology portfolio through acquisitions and partnerships to reduce dependency on Kendizo.</w:t>
            </w:r>
          </w:p>
        </w:tc>
        <w:tc>
          <w:tcPr>
            <w:tcW w:w="4180" w:type="dxa"/>
            <w:tcBorders>
              <w:top w:val="nil"/>
              <w:left w:val="nil"/>
              <w:bottom w:val="single" w:sz="4" w:space="0" w:color="auto"/>
              <w:right w:val="single" w:sz="4" w:space="0" w:color="auto"/>
            </w:tcBorders>
            <w:shd w:val="clear" w:color="auto" w:fill="auto"/>
            <w:vAlign w:val="center"/>
            <w:hideMark/>
          </w:tcPr>
          <w:p w14:paraId="311DC171"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Acquisition of Belvedere Biosciences completed</w:t>
            </w:r>
          </w:p>
        </w:tc>
      </w:tr>
      <w:tr w:rsidR="000D479D" w:rsidRPr="000D479D" w14:paraId="791609DD" w14:textId="77777777" w:rsidTr="000D479D">
        <w:trPr>
          <w:trHeight w:val="600"/>
        </w:trPr>
        <w:tc>
          <w:tcPr>
            <w:tcW w:w="1940" w:type="dxa"/>
            <w:vMerge/>
            <w:tcBorders>
              <w:top w:val="nil"/>
              <w:left w:val="single" w:sz="4" w:space="0" w:color="auto"/>
              <w:bottom w:val="single" w:sz="4" w:space="0" w:color="auto"/>
              <w:right w:val="single" w:sz="4" w:space="0" w:color="auto"/>
            </w:tcBorders>
            <w:vAlign w:val="center"/>
            <w:hideMark/>
          </w:tcPr>
          <w:p w14:paraId="63FAF67F"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p>
        </w:tc>
        <w:tc>
          <w:tcPr>
            <w:tcW w:w="3900" w:type="dxa"/>
            <w:vMerge/>
            <w:tcBorders>
              <w:top w:val="nil"/>
              <w:left w:val="single" w:sz="4" w:space="0" w:color="auto"/>
              <w:bottom w:val="single" w:sz="4" w:space="0" w:color="auto"/>
              <w:right w:val="single" w:sz="4" w:space="0" w:color="auto"/>
            </w:tcBorders>
            <w:vAlign w:val="center"/>
            <w:hideMark/>
          </w:tcPr>
          <w:p w14:paraId="2DCF418D"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p>
        </w:tc>
        <w:tc>
          <w:tcPr>
            <w:tcW w:w="4180" w:type="dxa"/>
            <w:tcBorders>
              <w:top w:val="nil"/>
              <w:left w:val="nil"/>
              <w:bottom w:val="single" w:sz="4" w:space="0" w:color="auto"/>
              <w:right w:val="single" w:sz="4" w:space="0" w:color="auto"/>
            </w:tcBorders>
            <w:shd w:val="clear" w:color="auto" w:fill="auto"/>
            <w:vAlign w:val="center"/>
            <w:hideMark/>
          </w:tcPr>
          <w:p w14:paraId="031288C8"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Revenue increase from immunology segment by 15% over 3 years</w:t>
            </w:r>
          </w:p>
        </w:tc>
      </w:tr>
      <w:tr w:rsidR="000D479D" w:rsidRPr="000D479D" w14:paraId="55122756" w14:textId="77777777" w:rsidTr="000D479D">
        <w:trPr>
          <w:trHeight w:val="600"/>
        </w:trPr>
        <w:tc>
          <w:tcPr>
            <w:tcW w:w="1940" w:type="dxa"/>
            <w:vMerge w:val="restart"/>
            <w:tcBorders>
              <w:top w:val="nil"/>
              <w:left w:val="single" w:sz="4" w:space="0" w:color="auto"/>
              <w:bottom w:val="single" w:sz="4" w:space="0" w:color="auto"/>
              <w:right w:val="single" w:sz="4" w:space="0" w:color="auto"/>
            </w:tcBorders>
            <w:shd w:val="clear" w:color="auto" w:fill="auto"/>
            <w:vAlign w:val="center"/>
            <w:hideMark/>
          </w:tcPr>
          <w:p w14:paraId="5D855FBE"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r w:rsidRPr="000D479D">
              <w:rPr>
                <w:rFonts w:ascii="Aptos Narrow" w:eastAsia="Times New Roman" w:hAnsi="Aptos Narrow" w:cs="Times New Roman"/>
                <w:b/>
                <w:bCs/>
                <w:color w:val="000000"/>
                <w:lang w:val="en-GB" w:eastAsia="en-GB"/>
              </w:rPr>
              <w:t>2. Accelerate Development of Metabolic Disease Assets</w:t>
            </w:r>
          </w:p>
        </w:tc>
        <w:tc>
          <w:tcPr>
            <w:tcW w:w="3900" w:type="dxa"/>
            <w:vMerge w:val="restart"/>
            <w:tcBorders>
              <w:top w:val="nil"/>
              <w:left w:val="single" w:sz="4" w:space="0" w:color="auto"/>
              <w:bottom w:val="single" w:sz="4" w:space="0" w:color="auto"/>
              <w:right w:val="single" w:sz="4" w:space="0" w:color="auto"/>
            </w:tcBorders>
            <w:shd w:val="clear" w:color="auto" w:fill="auto"/>
            <w:vAlign w:val="center"/>
            <w:hideMark/>
          </w:tcPr>
          <w:p w14:paraId="60B6E18D"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Increase focus on GLP-1 agonists and metabolic disease therapies by partnering with Velocity Sciences.</w:t>
            </w:r>
          </w:p>
        </w:tc>
        <w:tc>
          <w:tcPr>
            <w:tcW w:w="4180" w:type="dxa"/>
            <w:tcBorders>
              <w:top w:val="nil"/>
              <w:left w:val="nil"/>
              <w:bottom w:val="single" w:sz="4" w:space="0" w:color="auto"/>
              <w:right w:val="single" w:sz="4" w:space="0" w:color="auto"/>
            </w:tcBorders>
            <w:shd w:val="clear" w:color="auto" w:fill="auto"/>
            <w:vAlign w:val="center"/>
            <w:hideMark/>
          </w:tcPr>
          <w:p w14:paraId="62F7BCC8"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Partnership with Velocity Sciences secured</w:t>
            </w:r>
          </w:p>
        </w:tc>
      </w:tr>
      <w:tr w:rsidR="000D479D" w:rsidRPr="000D479D" w14:paraId="63E792EC" w14:textId="77777777" w:rsidTr="000D479D">
        <w:trPr>
          <w:trHeight w:val="600"/>
        </w:trPr>
        <w:tc>
          <w:tcPr>
            <w:tcW w:w="1940" w:type="dxa"/>
            <w:vMerge/>
            <w:tcBorders>
              <w:top w:val="nil"/>
              <w:left w:val="single" w:sz="4" w:space="0" w:color="auto"/>
              <w:bottom w:val="single" w:sz="4" w:space="0" w:color="auto"/>
              <w:right w:val="single" w:sz="4" w:space="0" w:color="auto"/>
            </w:tcBorders>
            <w:vAlign w:val="center"/>
            <w:hideMark/>
          </w:tcPr>
          <w:p w14:paraId="347BF08D"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p>
        </w:tc>
        <w:tc>
          <w:tcPr>
            <w:tcW w:w="3900" w:type="dxa"/>
            <w:vMerge/>
            <w:tcBorders>
              <w:top w:val="nil"/>
              <w:left w:val="single" w:sz="4" w:space="0" w:color="auto"/>
              <w:bottom w:val="single" w:sz="4" w:space="0" w:color="auto"/>
              <w:right w:val="single" w:sz="4" w:space="0" w:color="auto"/>
            </w:tcBorders>
            <w:vAlign w:val="center"/>
            <w:hideMark/>
          </w:tcPr>
          <w:p w14:paraId="11C810B1"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p>
        </w:tc>
        <w:tc>
          <w:tcPr>
            <w:tcW w:w="4180" w:type="dxa"/>
            <w:tcBorders>
              <w:top w:val="nil"/>
              <w:left w:val="nil"/>
              <w:bottom w:val="single" w:sz="4" w:space="0" w:color="auto"/>
              <w:right w:val="single" w:sz="4" w:space="0" w:color="auto"/>
            </w:tcBorders>
            <w:shd w:val="clear" w:color="auto" w:fill="auto"/>
            <w:vAlign w:val="center"/>
            <w:hideMark/>
          </w:tcPr>
          <w:p w14:paraId="43350402"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Market launch of GLP-1 product within 2 years</w:t>
            </w:r>
          </w:p>
        </w:tc>
      </w:tr>
      <w:tr w:rsidR="000D479D" w:rsidRPr="000D479D" w14:paraId="6E240696" w14:textId="77777777" w:rsidTr="000D479D">
        <w:trPr>
          <w:trHeight w:val="600"/>
        </w:trPr>
        <w:tc>
          <w:tcPr>
            <w:tcW w:w="1940" w:type="dxa"/>
            <w:vMerge/>
            <w:tcBorders>
              <w:top w:val="nil"/>
              <w:left w:val="single" w:sz="4" w:space="0" w:color="auto"/>
              <w:bottom w:val="single" w:sz="4" w:space="0" w:color="auto"/>
              <w:right w:val="single" w:sz="4" w:space="0" w:color="auto"/>
            </w:tcBorders>
            <w:vAlign w:val="center"/>
            <w:hideMark/>
          </w:tcPr>
          <w:p w14:paraId="45FC4B8A"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p>
        </w:tc>
        <w:tc>
          <w:tcPr>
            <w:tcW w:w="3900" w:type="dxa"/>
            <w:vMerge/>
            <w:tcBorders>
              <w:top w:val="nil"/>
              <w:left w:val="single" w:sz="4" w:space="0" w:color="auto"/>
              <w:bottom w:val="single" w:sz="4" w:space="0" w:color="auto"/>
              <w:right w:val="single" w:sz="4" w:space="0" w:color="auto"/>
            </w:tcBorders>
            <w:vAlign w:val="center"/>
            <w:hideMark/>
          </w:tcPr>
          <w:p w14:paraId="7AEAC4DF"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p>
        </w:tc>
        <w:tc>
          <w:tcPr>
            <w:tcW w:w="4180" w:type="dxa"/>
            <w:tcBorders>
              <w:top w:val="nil"/>
              <w:left w:val="nil"/>
              <w:bottom w:val="single" w:sz="4" w:space="0" w:color="auto"/>
              <w:right w:val="single" w:sz="4" w:space="0" w:color="auto"/>
            </w:tcBorders>
            <w:shd w:val="clear" w:color="auto" w:fill="auto"/>
            <w:vAlign w:val="center"/>
            <w:hideMark/>
          </w:tcPr>
          <w:p w14:paraId="1B8F93C1"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- 10% increase in market share in metabolic disease segment by 2027</w:t>
            </w:r>
          </w:p>
        </w:tc>
      </w:tr>
      <w:tr w:rsidR="000D479D" w:rsidRPr="000D479D" w14:paraId="2D5424A1" w14:textId="77777777" w:rsidTr="000D479D">
        <w:trPr>
          <w:trHeight w:val="600"/>
        </w:trPr>
        <w:tc>
          <w:tcPr>
            <w:tcW w:w="1940" w:type="dxa"/>
            <w:vMerge w:val="restart"/>
            <w:tcBorders>
              <w:top w:val="nil"/>
              <w:left w:val="single" w:sz="4" w:space="0" w:color="auto"/>
              <w:bottom w:val="single" w:sz="4" w:space="0" w:color="auto"/>
              <w:right w:val="single" w:sz="4" w:space="0" w:color="auto"/>
            </w:tcBorders>
            <w:shd w:val="clear" w:color="auto" w:fill="auto"/>
            <w:vAlign w:val="center"/>
            <w:hideMark/>
          </w:tcPr>
          <w:p w14:paraId="771DA086"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r w:rsidRPr="000D479D">
              <w:rPr>
                <w:rFonts w:ascii="Aptos Narrow" w:eastAsia="Times New Roman" w:hAnsi="Aptos Narrow" w:cs="Times New Roman"/>
                <w:b/>
                <w:bCs/>
                <w:color w:val="000000"/>
                <w:lang w:val="en-GB" w:eastAsia="en-GB"/>
              </w:rPr>
              <w:t>3. Develop Next-Generation Oncology Drug</w:t>
            </w:r>
          </w:p>
        </w:tc>
        <w:tc>
          <w:tcPr>
            <w:tcW w:w="3900" w:type="dxa"/>
            <w:vMerge w:val="restart"/>
            <w:tcBorders>
              <w:top w:val="nil"/>
              <w:left w:val="single" w:sz="4" w:space="0" w:color="auto"/>
              <w:bottom w:val="single" w:sz="4" w:space="0" w:color="auto"/>
              <w:right w:val="single" w:sz="4" w:space="0" w:color="auto"/>
            </w:tcBorders>
            <w:shd w:val="clear" w:color="auto" w:fill="auto"/>
            <w:vAlign w:val="center"/>
            <w:hideMark/>
          </w:tcPr>
          <w:p w14:paraId="46A43495"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Invest in R&amp;D for a next-generation oncology therapy to succeed Kendizo and maintain market share in oncology.</w:t>
            </w:r>
          </w:p>
        </w:tc>
        <w:tc>
          <w:tcPr>
            <w:tcW w:w="4180" w:type="dxa"/>
            <w:tcBorders>
              <w:top w:val="nil"/>
              <w:left w:val="nil"/>
              <w:bottom w:val="single" w:sz="4" w:space="0" w:color="auto"/>
              <w:right w:val="single" w:sz="4" w:space="0" w:color="auto"/>
            </w:tcBorders>
            <w:shd w:val="clear" w:color="auto" w:fill="auto"/>
            <w:vAlign w:val="center"/>
            <w:hideMark/>
          </w:tcPr>
          <w:p w14:paraId="2482145E"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New oncology drug in Phase III trials by 2029</w:t>
            </w:r>
          </w:p>
        </w:tc>
      </w:tr>
      <w:tr w:rsidR="000D479D" w:rsidRPr="000D479D" w14:paraId="6A51149A" w14:textId="77777777" w:rsidTr="000D479D">
        <w:trPr>
          <w:trHeight w:val="600"/>
        </w:trPr>
        <w:tc>
          <w:tcPr>
            <w:tcW w:w="1940" w:type="dxa"/>
            <w:vMerge/>
            <w:tcBorders>
              <w:top w:val="nil"/>
              <w:left w:val="single" w:sz="4" w:space="0" w:color="auto"/>
              <w:bottom w:val="single" w:sz="4" w:space="0" w:color="auto"/>
              <w:right w:val="single" w:sz="4" w:space="0" w:color="auto"/>
            </w:tcBorders>
            <w:vAlign w:val="center"/>
            <w:hideMark/>
          </w:tcPr>
          <w:p w14:paraId="100DFD19"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p>
        </w:tc>
        <w:tc>
          <w:tcPr>
            <w:tcW w:w="3900" w:type="dxa"/>
            <w:vMerge/>
            <w:tcBorders>
              <w:top w:val="nil"/>
              <w:left w:val="single" w:sz="4" w:space="0" w:color="auto"/>
              <w:bottom w:val="single" w:sz="4" w:space="0" w:color="auto"/>
              <w:right w:val="single" w:sz="4" w:space="0" w:color="auto"/>
            </w:tcBorders>
            <w:vAlign w:val="center"/>
            <w:hideMark/>
          </w:tcPr>
          <w:p w14:paraId="03B35BF0"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p>
        </w:tc>
        <w:tc>
          <w:tcPr>
            <w:tcW w:w="4180" w:type="dxa"/>
            <w:tcBorders>
              <w:top w:val="nil"/>
              <w:left w:val="nil"/>
              <w:bottom w:val="single" w:sz="4" w:space="0" w:color="auto"/>
              <w:right w:val="single" w:sz="4" w:space="0" w:color="auto"/>
            </w:tcBorders>
            <w:shd w:val="clear" w:color="auto" w:fill="auto"/>
            <w:vAlign w:val="center"/>
            <w:hideMark/>
          </w:tcPr>
          <w:p w14:paraId="12DAADFA"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- 70% patient retention from Kendizo to new drug post-launch</w:t>
            </w:r>
          </w:p>
        </w:tc>
      </w:tr>
      <w:tr w:rsidR="000D479D" w:rsidRPr="000D479D" w14:paraId="2F6DE9FC" w14:textId="77777777" w:rsidTr="000D479D">
        <w:trPr>
          <w:trHeight w:val="600"/>
        </w:trPr>
        <w:tc>
          <w:tcPr>
            <w:tcW w:w="1940" w:type="dxa"/>
            <w:vMerge w:val="restart"/>
            <w:tcBorders>
              <w:top w:val="nil"/>
              <w:left w:val="single" w:sz="4" w:space="0" w:color="auto"/>
              <w:bottom w:val="single" w:sz="4" w:space="0" w:color="auto"/>
              <w:right w:val="single" w:sz="4" w:space="0" w:color="auto"/>
            </w:tcBorders>
            <w:shd w:val="clear" w:color="auto" w:fill="auto"/>
            <w:vAlign w:val="center"/>
            <w:hideMark/>
          </w:tcPr>
          <w:p w14:paraId="43904E68"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r w:rsidRPr="000D479D">
              <w:rPr>
                <w:rFonts w:ascii="Aptos Narrow" w:eastAsia="Times New Roman" w:hAnsi="Aptos Narrow" w:cs="Times New Roman"/>
                <w:b/>
                <w:bCs/>
                <w:color w:val="000000"/>
                <w:lang w:val="en-GB" w:eastAsia="en-GB"/>
              </w:rPr>
              <w:t>4. Expand into Biosimilars</w:t>
            </w:r>
          </w:p>
        </w:tc>
        <w:tc>
          <w:tcPr>
            <w:tcW w:w="3900" w:type="dxa"/>
            <w:vMerge w:val="restart"/>
            <w:tcBorders>
              <w:top w:val="nil"/>
              <w:left w:val="single" w:sz="4" w:space="0" w:color="auto"/>
              <w:bottom w:val="single" w:sz="4" w:space="0" w:color="auto"/>
              <w:right w:val="single" w:sz="4" w:space="0" w:color="auto"/>
            </w:tcBorders>
            <w:shd w:val="clear" w:color="auto" w:fill="auto"/>
            <w:vAlign w:val="center"/>
            <w:hideMark/>
          </w:tcPr>
          <w:p w14:paraId="121CCC4B"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Enter the biosimilars market for high-demand oncology and immunology drugs to capture cost-sensitive patient segments.</w:t>
            </w:r>
          </w:p>
        </w:tc>
        <w:tc>
          <w:tcPr>
            <w:tcW w:w="4180" w:type="dxa"/>
            <w:tcBorders>
              <w:top w:val="nil"/>
              <w:left w:val="nil"/>
              <w:bottom w:val="single" w:sz="4" w:space="0" w:color="auto"/>
              <w:right w:val="single" w:sz="4" w:space="0" w:color="auto"/>
            </w:tcBorders>
            <w:shd w:val="clear" w:color="auto" w:fill="auto"/>
            <w:vAlign w:val="center"/>
            <w:hideMark/>
          </w:tcPr>
          <w:p w14:paraId="75D60AEC"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Launch 2 biosimilar products in oncology/immunology by 2032</w:t>
            </w:r>
          </w:p>
        </w:tc>
      </w:tr>
      <w:tr w:rsidR="000D479D" w:rsidRPr="000D479D" w14:paraId="019DF2EE" w14:textId="77777777" w:rsidTr="000D479D">
        <w:trPr>
          <w:trHeight w:val="600"/>
        </w:trPr>
        <w:tc>
          <w:tcPr>
            <w:tcW w:w="1940" w:type="dxa"/>
            <w:vMerge/>
            <w:tcBorders>
              <w:top w:val="nil"/>
              <w:left w:val="single" w:sz="4" w:space="0" w:color="auto"/>
              <w:bottom w:val="single" w:sz="4" w:space="0" w:color="auto"/>
              <w:right w:val="single" w:sz="4" w:space="0" w:color="auto"/>
            </w:tcBorders>
            <w:vAlign w:val="center"/>
            <w:hideMark/>
          </w:tcPr>
          <w:p w14:paraId="26B631E7"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p>
        </w:tc>
        <w:tc>
          <w:tcPr>
            <w:tcW w:w="3900" w:type="dxa"/>
            <w:vMerge/>
            <w:tcBorders>
              <w:top w:val="nil"/>
              <w:left w:val="single" w:sz="4" w:space="0" w:color="auto"/>
              <w:bottom w:val="single" w:sz="4" w:space="0" w:color="auto"/>
              <w:right w:val="single" w:sz="4" w:space="0" w:color="auto"/>
            </w:tcBorders>
            <w:vAlign w:val="center"/>
            <w:hideMark/>
          </w:tcPr>
          <w:p w14:paraId="36A53E17"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p>
        </w:tc>
        <w:tc>
          <w:tcPr>
            <w:tcW w:w="4180" w:type="dxa"/>
            <w:tcBorders>
              <w:top w:val="nil"/>
              <w:left w:val="nil"/>
              <w:bottom w:val="single" w:sz="4" w:space="0" w:color="auto"/>
              <w:right w:val="single" w:sz="4" w:space="0" w:color="auto"/>
            </w:tcBorders>
            <w:shd w:val="clear" w:color="auto" w:fill="auto"/>
            <w:vAlign w:val="center"/>
            <w:hideMark/>
          </w:tcPr>
          <w:p w14:paraId="7C4BC3A8"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Achieve 20% market share in target biosimilar segments</w:t>
            </w:r>
          </w:p>
        </w:tc>
      </w:tr>
      <w:tr w:rsidR="000D479D" w:rsidRPr="000D479D" w14:paraId="5220CD98" w14:textId="77777777" w:rsidTr="000D479D">
        <w:trPr>
          <w:trHeight w:val="300"/>
        </w:trPr>
        <w:tc>
          <w:tcPr>
            <w:tcW w:w="1940" w:type="dxa"/>
            <w:vMerge w:val="restart"/>
            <w:tcBorders>
              <w:top w:val="nil"/>
              <w:left w:val="single" w:sz="4" w:space="0" w:color="auto"/>
              <w:bottom w:val="single" w:sz="4" w:space="0" w:color="auto"/>
              <w:right w:val="single" w:sz="4" w:space="0" w:color="auto"/>
            </w:tcBorders>
            <w:shd w:val="clear" w:color="auto" w:fill="auto"/>
            <w:vAlign w:val="center"/>
            <w:hideMark/>
          </w:tcPr>
          <w:p w14:paraId="237D4158"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r w:rsidRPr="000D479D">
              <w:rPr>
                <w:rFonts w:ascii="Aptos Narrow" w:eastAsia="Times New Roman" w:hAnsi="Aptos Narrow" w:cs="Times New Roman"/>
                <w:b/>
                <w:bCs/>
                <w:color w:val="000000"/>
                <w:lang w:val="en-GB" w:eastAsia="en-GB"/>
              </w:rPr>
              <w:t>5. Expand Pipeline via Re-Indications and Skinny Labeling</w:t>
            </w:r>
          </w:p>
        </w:tc>
        <w:tc>
          <w:tcPr>
            <w:tcW w:w="3900" w:type="dxa"/>
            <w:vMerge w:val="restart"/>
            <w:tcBorders>
              <w:top w:val="nil"/>
              <w:left w:val="single" w:sz="4" w:space="0" w:color="auto"/>
              <w:bottom w:val="single" w:sz="4" w:space="0" w:color="auto"/>
              <w:right w:val="single" w:sz="4" w:space="0" w:color="auto"/>
            </w:tcBorders>
            <w:shd w:val="clear" w:color="auto" w:fill="auto"/>
            <w:vAlign w:val="center"/>
            <w:hideMark/>
          </w:tcPr>
          <w:p w14:paraId="17409F3E"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Pursue new indications for Kendizo and use skinny labeling to retain exclusivity over additional therapeutic uses post-patent.</w:t>
            </w:r>
          </w:p>
        </w:tc>
        <w:tc>
          <w:tcPr>
            <w:tcW w:w="4180" w:type="dxa"/>
            <w:tcBorders>
              <w:top w:val="nil"/>
              <w:left w:val="nil"/>
              <w:bottom w:val="single" w:sz="4" w:space="0" w:color="auto"/>
              <w:right w:val="single" w:sz="4" w:space="0" w:color="auto"/>
            </w:tcBorders>
            <w:shd w:val="clear" w:color="auto" w:fill="auto"/>
            <w:vAlign w:val="center"/>
            <w:hideMark/>
          </w:tcPr>
          <w:p w14:paraId="2529DD70"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Two new indications approved by 2030</w:t>
            </w:r>
          </w:p>
        </w:tc>
      </w:tr>
      <w:tr w:rsidR="000D479D" w:rsidRPr="000D479D" w14:paraId="277B05F2" w14:textId="77777777" w:rsidTr="000D479D">
        <w:trPr>
          <w:trHeight w:val="900"/>
        </w:trPr>
        <w:tc>
          <w:tcPr>
            <w:tcW w:w="1940" w:type="dxa"/>
            <w:vMerge/>
            <w:tcBorders>
              <w:top w:val="nil"/>
              <w:left w:val="single" w:sz="4" w:space="0" w:color="auto"/>
              <w:bottom w:val="single" w:sz="4" w:space="0" w:color="auto"/>
              <w:right w:val="single" w:sz="4" w:space="0" w:color="auto"/>
            </w:tcBorders>
            <w:vAlign w:val="center"/>
            <w:hideMark/>
          </w:tcPr>
          <w:p w14:paraId="4F7C0F61" w14:textId="77777777" w:rsidR="000D479D" w:rsidRPr="000D479D" w:rsidRDefault="000D479D" w:rsidP="000D479D">
            <w:pPr>
              <w:spacing w:after="0" w:line="240" w:lineRule="auto"/>
              <w:rPr>
                <w:rFonts w:ascii="Aptos Narrow" w:eastAsia="Times New Roman" w:hAnsi="Aptos Narrow" w:cs="Times New Roman"/>
                <w:b/>
                <w:bCs/>
                <w:color w:val="000000"/>
                <w:lang w:val="en-GB" w:eastAsia="en-GB"/>
              </w:rPr>
            </w:pPr>
          </w:p>
        </w:tc>
        <w:tc>
          <w:tcPr>
            <w:tcW w:w="3900" w:type="dxa"/>
            <w:vMerge/>
            <w:tcBorders>
              <w:top w:val="nil"/>
              <w:left w:val="single" w:sz="4" w:space="0" w:color="auto"/>
              <w:bottom w:val="single" w:sz="4" w:space="0" w:color="auto"/>
              <w:right w:val="single" w:sz="4" w:space="0" w:color="auto"/>
            </w:tcBorders>
            <w:vAlign w:val="center"/>
            <w:hideMark/>
          </w:tcPr>
          <w:p w14:paraId="6566E596"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p>
        </w:tc>
        <w:tc>
          <w:tcPr>
            <w:tcW w:w="4180" w:type="dxa"/>
            <w:tcBorders>
              <w:top w:val="nil"/>
              <w:left w:val="nil"/>
              <w:bottom w:val="single" w:sz="4" w:space="0" w:color="auto"/>
              <w:right w:val="single" w:sz="4" w:space="0" w:color="auto"/>
            </w:tcBorders>
            <w:shd w:val="clear" w:color="auto" w:fill="auto"/>
            <w:vAlign w:val="center"/>
            <w:hideMark/>
          </w:tcPr>
          <w:p w14:paraId="3782942B" w14:textId="77777777" w:rsidR="000D479D" w:rsidRPr="000D479D" w:rsidRDefault="000D479D" w:rsidP="000D479D">
            <w:pPr>
              <w:spacing w:after="0" w:line="240" w:lineRule="auto"/>
              <w:rPr>
                <w:rFonts w:ascii="Aptos Narrow" w:eastAsia="Times New Roman" w:hAnsi="Aptos Narrow" w:cs="Times New Roman"/>
                <w:color w:val="000000"/>
                <w:lang w:val="en-GB" w:eastAsia="en-GB"/>
              </w:rPr>
            </w:pPr>
            <w:r w:rsidRPr="000D479D">
              <w:rPr>
                <w:rFonts w:ascii="Aptos Narrow" w:eastAsia="Times New Roman" w:hAnsi="Aptos Narrow" w:cs="Times New Roman"/>
                <w:color w:val="000000"/>
                <w:lang w:val="en-GB" w:eastAsia="en-GB"/>
              </w:rPr>
              <w:t>- Revenue from new indications contributes 10% of oncology revenue by 2031</w:t>
            </w:r>
          </w:p>
        </w:tc>
      </w:tr>
    </w:tbl>
    <w:p w14:paraId="0F44D914" w14:textId="77777777" w:rsidR="000D479D" w:rsidRPr="000D479D" w:rsidRDefault="000D479D" w:rsidP="00AA688F">
      <w:pPr>
        <w:rPr>
          <w:lang w:val="en-GB"/>
        </w:rPr>
      </w:pPr>
    </w:p>
    <w:p w14:paraId="76347A27" w14:textId="77777777" w:rsidR="000D479D" w:rsidRDefault="000D479D" w:rsidP="00AA688F">
      <w:pPr>
        <w:rPr>
          <w:b/>
          <w:bCs/>
          <w:lang w:val="en-GB"/>
        </w:rPr>
      </w:pPr>
    </w:p>
    <w:p w14:paraId="4CEF6CB3" w14:textId="61C24DED" w:rsidR="00AA688F" w:rsidRPr="00AA688F" w:rsidRDefault="00AA688F" w:rsidP="00AA688F">
      <w:pPr>
        <w:rPr>
          <w:b/>
          <w:bCs/>
          <w:lang w:val="en-GB"/>
        </w:rPr>
      </w:pPr>
      <w:r w:rsidRPr="00AA688F">
        <w:rPr>
          <w:b/>
          <w:bCs/>
          <w:lang w:val="en-GB"/>
        </w:rPr>
        <w:t>Revenue Implications of Generic Entry</w:t>
      </w:r>
    </w:p>
    <w:p w14:paraId="1829EC3E" w14:textId="77777777" w:rsidR="00AA688F" w:rsidRPr="00AA688F" w:rsidRDefault="00AA688F" w:rsidP="00E45D8D">
      <w:pPr>
        <w:jc w:val="both"/>
        <w:rPr>
          <w:lang w:val="en-GB"/>
        </w:rPr>
      </w:pPr>
      <w:r w:rsidRPr="00AA688F">
        <w:rPr>
          <w:lang w:val="en-GB"/>
        </w:rPr>
        <w:t>Upon the patent expiration in 2031, Kendizo’s revenue trajectory will likely face significant downward pressure due to the introduction of generics. As detailed in the case, the average sales price (ASP) reduction upon generic entry can be substantial. The introduction of one generic competitor is associated with a 14.9% reduction in ASP, while two generics decrease ASP by approximately 32.7%. If three or more generics enter, ASP can fall by 68.6%​ (</w:t>
      </w:r>
      <w:r w:rsidRPr="00AA688F">
        <w:rPr>
          <w:b/>
          <w:bCs/>
          <w:lang w:val="en-GB"/>
        </w:rPr>
        <w:t>Appendix C</w:t>
      </w:r>
      <w:r w:rsidRPr="00AA688F">
        <w:rPr>
          <w:lang w:val="en-GB"/>
        </w:rPr>
        <w:t>). This dramatic price reduction underscores the financial impact generic entry will have on Kendizo, as lower-priced generics quickly capture market share and reduce Kendizo’s revenue substantially.</w:t>
      </w:r>
    </w:p>
    <w:p w14:paraId="1B58B881" w14:textId="77777777" w:rsidR="00AA688F" w:rsidRPr="00AA688F" w:rsidRDefault="00AA688F" w:rsidP="00E45D8D">
      <w:pPr>
        <w:jc w:val="both"/>
        <w:rPr>
          <w:lang w:val="en-GB"/>
        </w:rPr>
      </w:pPr>
      <w:r w:rsidRPr="7BCF76D4">
        <w:rPr>
          <w:lang w:val="en-GB"/>
        </w:rPr>
        <w:t>With the entry of these generics, Kendizo will also face market share erosion as it loses its monopoly position. According to the case, generic and biosimilar alternatives “reduce the brand-name drug’s market share and force the originator’s price down” due to the significantly lower manufacturing costs of generics, allowing them to be priced more competitively. Given the competitive nature of oncology drugs and the cost-conscious environment, the ASP reduction will have a profound impact on Kendizo’s revenue, potentially eroding much of the profit it currently generates (see calculations below).</w:t>
      </w:r>
    </w:p>
    <w:p w14:paraId="43AEDF52" w14:textId="5BC0D80C" w:rsidR="7BCF76D4" w:rsidRDefault="7BCF76D4" w:rsidP="7BCF76D4">
      <w:pPr>
        <w:jc w:val="both"/>
        <w:rPr>
          <w:lang w:val="en-GB"/>
        </w:rPr>
      </w:pPr>
    </w:p>
    <w:p w14:paraId="3B4BC7A1" w14:textId="21A6FE74" w:rsidR="7BCF76D4" w:rsidRDefault="7BCF76D4" w:rsidP="7BCF76D4">
      <w:pPr>
        <w:jc w:val="both"/>
        <w:rPr>
          <w:lang w:val="en-GB"/>
        </w:rPr>
      </w:pPr>
    </w:p>
    <w:tbl>
      <w:tblPr>
        <w:tblW w:w="9634" w:type="dxa"/>
        <w:tblLook w:val="04A0" w:firstRow="1" w:lastRow="0" w:firstColumn="1" w:lastColumn="0" w:noHBand="0" w:noVBand="1"/>
      </w:tblPr>
      <w:tblGrid>
        <w:gridCol w:w="2122"/>
        <w:gridCol w:w="1984"/>
        <w:gridCol w:w="1559"/>
        <w:gridCol w:w="993"/>
        <w:gridCol w:w="1559"/>
        <w:gridCol w:w="1417"/>
      </w:tblGrid>
      <w:tr w:rsidR="00E45D8D" w:rsidRPr="00E45D8D" w14:paraId="26592272" w14:textId="77777777" w:rsidTr="3D987D88">
        <w:trPr>
          <w:trHeight w:val="345"/>
        </w:trPr>
        <w:tc>
          <w:tcPr>
            <w:tcW w:w="2122" w:type="dxa"/>
            <w:tcBorders>
              <w:top w:val="single" w:sz="4" w:space="0" w:color="auto"/>
              <w:left w:val="single" w:sz="4" w:space="0" w:color="auto"/>
              <w:bottom w:val="single" w:sz="4" w:space="0" w:color="auto"/>
              <w:right w:val="single" w:sz="4" w:space="0" w:color="auto"/>
            </w:tcBorders>
            <w:shd w:val="clear" w:color="auto" w:fill="ADADAD"/>
            <w:noWrap/>
            <w:vAlign w:val="bottom"/>
            <w:hideMark/>
          </w:tcPr>
          <w:p w14:paraId="318C4D81" w14:textId="77777777" w:rsidR="00E45D8D" w:rsidRPr="00E45D8D" w:rsidRDefault="00E45D8D" w:rsidP="00E45D8D">
            <w:pPr>
              <w:spacing w:after="0" w:line="240" w:lineRule="auto"/>
              <w:rPr>
                <w:rFonts w:ascii="Aptos Narrow" w:eastAsia="Times New Roman" w:hAnsi="Aptos Narrow" w:cs="Times New Roman"/>
                <w:b/>
                <w:bCs/>
                <w:color w:val="0E2841"/>
                <w:sz w:val="26"/>
                <w:szCs w:val="26"/>
                <w:lang w:val="en-GB" w:eastAsia="en-GB"/>
              </w:rPr>
            </w:pPr>
            <w:r w:rsidRPr="00E45D8D">
              <w:rPr>
                <w:rFonts w:ascii="Aptos Narrow" w:eastAsia="Times New Roman" w:hAnsi="Aptos Narrow" w:cs="Times New Roman"/>
                <w:b/>
                <w:bCs/>
                <w:color w:val="0E2841"/>
                <w:sz w:val="26"/>
                <w:szCs w:val="26"/>
                <w:lang w:val="en-GB" w:eastAsia="en-GB"/>
              </w:rPr>
              <w:t>Kendizo Price</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6E8628D3" w14:textId="2179F4F3"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w:t>
            </w:r>
            <w:r w:rsidRPr="00E45D8D">
              <w:rPr>
                <w:rFonts w:ascii="Aptos Narrow" w:eastAsia="Times New Roman" w:hAnsi="Aptos Narrow" w:cs="Times New Roman"/>
                <w:color w:val="000000"/>
                <w:lang w:val="en-GB" w:eastAsia="en-GB"/>
              </w:rPr>
              <w:t>175,000.00</w:t>
            </w:r>
          </w:p>
        </w:tc>
        <w:tc>
          <w:tcPr>
            <w:tcW w:w="1559" w:type="dxa"/>
            <w:tcBorders>
              <w:top w:val="nil"/>
              <w:left w:val="nil"/>
              <w:bottom w:val="nil"/>
              <w:right w:val="nil"/>
            </w:tcBorders>
            <w:shd w:val="clear" w:color="auto" w:fill="auto"/>
            <w:noWrap/>
            <w:vAlign w:val="bottom"/>
            <w:hideMark/>
          </w:tcPr>
          <w:p w14:paraId="2BD91420" w14:textId="77777777"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p>
        </w:tc>
        <w:tc>
          <w:tcPr>
            <w:tcW w:w="993" w:type="dxa"/>
            <w:tcBorders>
              <w:top w:val="nil"/>
              <w:left w:val="nil"/>
              <w:bottom w:val="nil"/>
              <w:right w:val="nil"/>
            </w:tcBorders>
            <w:shd w:val="clear" w:color="auto" w:fill="auto"/>
            <w:noWrap/>
            <w:vAlign w:val="bottom"/>
            <w:hideMark/>
          </w:tcPr>
          <w:p w14:paraId="41E5D1A3"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28A83508"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417" w:type="dxa"/>
            <w:tcBorders>
              <w:top w:val="nil"/>
              <w:left w:val="nil"/>
              <w:bottom w:val="nil"/>
              <w:right w:val="nil"/>
            </w:tcBorders>
            <w:shd w:val="clear" w:color="auto" w:fill="auto"/>
            <w:noWrap/>
            <w:vAlign w:val="bottom"/>
            <w:hideMark/>
          </w:tcPr>
          <w:p w14:paraId="58072D13"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r>
      <w:tr w:rsidR="00E45D8D" w:rsidRPr="00E45D8D" w14:paraId="1E6B71B2" w14:textId="77777777" w:rsidTr="3D987D8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48B4282"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Generic entry (to drugs)</w:t>
            </w:r>
          </w:p>
        </w:tc>
        <w:tc>
          <w:tcPr>
            <w:tcW w:w="1984" w:type="dxa"/>
            <w:tcBorders>
              <w:top w:val="nil"/>
              <w:left w:val="nil"/>
              <w:bottom w:val="single" w:sz="4" w:space="0" w:color="auto"/>
              <w:right w:val="single" w:sz="4" w:space="0" w:color="auto"/>
            </w:tcBorders>
            <w:shd w:val="clear" w:color="auto" w:fill="auto"/>
            <w:noWrap/>
            <w:vAlign w:val="bottom"/>
            <w:hideMark/>
          </w:tcPr>
          <w:p w14:paraId="2D835FED" w14:textId="77777777"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32.70%</w:t>
            </w:r>
          </w:p>
        </w:tc>
        <w:tc>
          <w:tcPr>
            <w:tcW w:w="1559" w:type="dxa"/>
            <w:tcBorders>
              <w:top w:val="nil"/>
              <w:left w:val="nil"/>
              <w:bottom w:val="nil"/>
              <w:right w:val="nil"/>
            </w:tcBorders>
            <w:shd w:val="clear" w:color="auto" w:fill="auto"/>
            <w:noWrap/>
            <w:vAlign w:val="bottom"/>
            <w:hideMark/>
          </w:tcPr>
          <w:p w14:paraId="2403D3C0" w14:textId="77777777"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p>
        </w:tc>
        <w:tc>
          <w:tcPr>
            <w:tcW w:w="993" w:type="dxa"/>
            <w:tcBorders>
              <w:top w:val="nil"/>
              <w:left w:val="nil"/>
              <w:bottom w:val="nil"/>
              <w:right w:val="nil"/>
            </w:tcBorders>
            <w:shd w:val="clear" w:color="auto" w:fill="auto"/>
            <w:noWrap/>
            <w:vAlign w:val="bottom"/>
            <w:hideMark/>
          </w:tcPr>
          <w:p w14:paraId="41DF3F9F"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2C988C8E"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417" w:type="dxa"/>
            <w:tcBorders>
              <w:top w:val="nil"/>
              <w:left w:val="nil"/>
              <w:bottom w:val="nil"/>
              <w:right w:val="nil"/>
            </w:tcBorders>
            <w:shd w:val="clear" w:color="auto" w:fill="auto"/>
            <w:noWrap/>
            <w:vAlign w:val="bottom"/>
            <w:hideMark/>
          </w:tcPr>
          <w:p w14:paraId="7354FC99"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r>
      <w:tr w:rsidR="00E45D8D" w:rsidRPr="00E45D8D" w14:paraId="694DFE5A" w14:textId="77777777" w:rsidTr="3D987D8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AF573BC"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Percentage deduction</w:t>
            </w:r>
          </w:p>
        </w:tc>
        <w:tc>
          <w:tcPr>
            <w:tcW w:w="1984" w:type="dxa"/>
            <w:tcBorders>
              <w:top w:val="nil"/>
              <w:left w:val="nil"/>
              <w:bottom w:val="single" w:sz="4" w:space="0" w:color="auto"/>
              <w:right w:val="single" w:sz="4" w:space="0" w:color="auto"/>
            </w:tcBorders>
            <w:shd w:val="clear" w:color="auto" w:fill="auto"/>
            <w:noWrap/>
            <w:vAlign w:val="bottom"/>
            <w:hideMark/>
          </w:tcPr>
          <w:p w14:paraId="5565C45E" w14:textId="77777777"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67.30%</w:t>
            </w:r>
          </w:p>
        </w:tc>
        <w:tc>
          <w:tcPr>
            <w:tcW w:w="1559" w:type="dxa"/>
            <w:tcBorders>
              <w:top w:val="nil"/>
              <w:left w:val="nil"/>
              <w:bottom w:val="nil"/>
              <w:right w:val="nil"/>
            </w:tcBorders>
            <w:shd w:val="clear" w:color="auto" w:fill="auto"/>
            <w:noWrap/>
            <w:vAlign w:val="bottom"/>
            <w:hideMark/>
          </w:tcPr>
          <w:p w14:paraId="3C2B3885" w14:textId="77777777"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p>
        </w:tc>
        <w:tc>
          <w:tcPr>
            <w:tcW w:w="993" w:type="dxa"/>
            <w:tcBorders>
              <w:top w:val="nil"/>
              <w:left w:val="nil"/>
              <w:bottom w:val="nil"/>
              <w:right w:val="nil"/>
            </w:tcBorders>
            <w:shd w:val="clear" w:color="auto" w:fill="auto"/>
            <w:noWrap/>
            <w:vAlign w:val="bottom"/>
            <w:hideMark/>
          </w:tcPr>
          <w:p w14:paraId="61240F25"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3F65ED8F"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417" w:type="dxa"/>
            <w:tcBorders>
              <w:top w:val="nil"/>
              <w:left w:val="nil"/>
              <w:bottom w:val="nil"/>
              <w:right w:val="nil"/>
            </w:tcBorders>
            <w:shd w:val="clear" w:color="auto" w:fill="auto"/>
            <w:noWrap/>
            <w:vAlign w:val="bottom"/>
            <w:hideMark/>
          </w:tcPr>
          <w:p w14:paraId="44576F19"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r>
      <w:tr w:rsidR="00E45D8D" w:rsidRPr="00E45D8D" w14:paraId="4F603200" w14:textId="77777777" w:rsidTr="3D987D88">
        <w:trPr>
          <w:trHeight w:val="300"/>
        </w:trPr>
        <w:tc>
          <w:tcPr>
            <w:tcW w:w="2122" w:type="dxa"/>
            <w:tcBorders>
              <w:top w:val="nil"/>
              <w:left w:val="single" w:sz="4" w:space="0" w:color="auto"/>
              <w:bottom w:val="single" w:sz="4" w:space="0" w:color="auto"/>
              <w:right w:val="single" w:sz="4" w:space="0" w:color="auto"/>
            </w:tcBorders>
            <w:shd w:val="clear" w:color="auto" w:fill="FFFF00"/>
            <w:vAlign w:val="bottom"/>
            <w:hideMark/>
          </w:tcPr>
          <w:p w14:paraId="7023AE97"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New Price of Kendizo</w:t>
            </w:r>
          </w:p>
        </w:tc>
        <w:tc>
          <w:tcPr>
            <w:tcW w:w="1984" w:type="dxa"/>
            <w:tcBorders>
              <w:top w:val="nil"/>
              <w:left w:val="nil"/>
              <w:bottom w:val="single" w:sz="4" w:space="0" w:color="auto"/>
              <w:right w:val="single" w:sz="4" w:space="0" w:color="auto"/>
            </w:tcBorders>
            <w:shd w:val="clear" w:color="auto" w:fill="FFFF00"/>
            <w:vAlign w:val="bottom"/>
            <w:hideMark/>
          </w:tcPr>
          <w:p w14:paraId="23EDC647" w14:textId="6761795E"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w:t>
            </w:r>
            <w:r w:rsidRPr="00E45D8D">
              <w:rPr>
                <w:rFonts w:ascii="Aptos Narrow" w:eastAsia="Times New Roman" w:hAnsi="Aptos Narrow" w:cs="Times New Roman"/>
                <w:color w:val="000000"/>
                <w:lang w:val="en-GB" w:eastAsia="en-GB"/>
              </w:rPr>
              <w:t>117,775.00</w:t>
            </w:r>
          </w:p>
        </w:tc>
        <w:tc>
          <w:tcPr>
            <w:tcW w:w="1559" w:type="dxa"/>
            <w:tcBorders>
              <w:top w:val="nil"/>
              <w:left w:val="nil"/>
              <w:bottom w:val="nil"/>
              <w:right w:val="nil"/>
            </w:tcBorders>
            <w:shd w:val="clear" w:color="auto" w:fill="auto"/>
            <w:noWrap/>
            <w:vAlign w:val="bottom"/>
            <w:hideMark/>
          </w:tcPr>
          <w:p w14:paraId="73DC492A" w14:textId="77777777"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p>
        </w:tc>
        <w:tc>
          <w:tcPr>
            <w:tcW w:w="993" w:type="dxa"/>
            <w:tcBorders>
              <w:top w:val="nil"/>
              <w:left w:val="nil"/>
              <w:bottom w:val="nil"/>
              <w:right w:val="nil"/>
            </w:tcBorders>
            <w:shd w:val="clear" w:color="auto" w:fill="auto"/>
            <w:noWrap/>
            <w:vAlign w:val="bottom"/>
            <w:hideMark/>
          </w:tcPr>
          <w:p w14:paraId="64EFB303"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5AB36383"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417" w:type="dxa"/>
            <w:tcBorders>
              <w:top w:val="nil"/>
              <w:left w:val="nil"/>
              <w:bottom w:val="nil"/>
              <w:right w:val="nil"/>
            </w:tcBorders>
            <w:shd w:val="clear" w:color="auto" w:fill="auto"/>
            <w:noWrap/>
            <w:vAlign w:val="bottom"/>
            <w:hideMark/>
          </w:tcPr>
          <w:p w14:paraId="2EFD883C"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r>
      <w:tr w:rsidR="00E45D8D" w:rsidRPr="00E45D8D" w14:paraId="267222EC" w14:textId="77777777" w:rsidTr="3D987D88">
        <w:trPr>
          <w:trHeight w:val="300"/>
        </w:trPr>
        <w:tc>
          <w:tcPr>
            <w:tcW w:w="2122" w:type="dxa"/>
            <w:tcBorders>
              <w:top w:val="nil"/>
              <w:left w:val="nil"/>
              <w:bottom w:val="nil"/>
              <w:right w:val="nil"/>
            </w:tcBorders>
            <w:shd w:val="clear" w:color="auto" w:fill="auto"/>
            <w:noWrap/>
            <w:vAlign w:val="bottom"/>
            <w:hideMark/>
          </w:tcPr>
          <w:p w14:paraId="386AF96D"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984" w:type="dxa"/>
            <w:tcBorders>
              <w:top w:val="nil"/>
              <w:left w:val="nil"/>
              <w:bottom w:val="nil"/>
              <w:right w:val="nil"/>
            </w:tcBorders>
            <w:shd w:val="clear" w:color="auto" w:fill="auto"/>
            <w:noWrap/>
            <w:vAlign w:val="bottom"/>
            <w:hideMark/>
          </w:tcPr>
          <w:p w14:paraId="7AEF92C0"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53DDCCE1"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993" w:type="dxa"/>
            <w:tcBorders>
              <w:top w:val="nil"/>
              <w:left w:val="nil"/>
              <w:bottom w:val="nil"/>
              <w:right w:val="nil"/>
            </w:tcBorders>
            <w:shd w:val="clear" w:color="auto" w:fill="auto"/>
            <w:noWrap/>
            <w:vAlign w:val="bottom"/>
            <w:hideMark/>
          </w:tcPr>
          <w:p w14:paraId="7F09BAC3"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334EC1AD"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417" w:type="dxa"/>
            <w:tcBorders>
              <w:top w:val="nil"/>
              <w:left w:val="nil"/>
              <w:bottom w:val="nil"/>
              <w:right w:val="nil"/>
            </w:tcBorders>
            <w:shd w:val="clear" w:color="auto" w:fill="auto"/>
            <w:noWrap/>
            <w:vAlign w:val="bottom"/>
            <w:hideMark/>
          </w:tcPr>
          <w:p w14:paraId="6F68E6FB"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r>
      <w:tr w:rsidR="3D987D88" w14:paraId="0A01AB70" w14:textId="77777777" w:rsidTr="3D987D88">
        <w:trPr>
          <w:trHeight w:val="300"/>
        </w:trPr>
        <w:tc>
          <w:tcPr>
            <w:tcW w:w="2122" w:type="dxa"/>
            <w:tcBorders>
              <w:top w:val="nil"/>
              <w:left w:val="nil"/>
              <w:bottom w:val="nil"/>
              <w:right w:val="nil"/>
            </w:tcBorders>
            <w:shd w:val="clear" w:color="auto" w:fill="auto"/>
            <w:noWrap/>
            <w:vAlign w:val="bottom"/>
            <w:hideMark/>
          </w:tcPr>
          <w:p w14:paraId="19F36361" w14:textId="7A35F713" w:rsidR="3D987D88" w:rsidRDefault="3D987D88" w:rsidP="3D987D88">
            <w:pPr>
              <w:spacing w:line="240" w:lineRule="auto"/>
              <w:rPr>
                <w:rFonts w:ascii="Times New Roman" w:eastAsia="Times New Roman" w:hAnsi="Times New Roman" w:cs="Times New Roman"/>
                <w:sz w:val="20"/>
                <w:szCs w:val="20"/>
                <w:lang w:val="en-GB" w:eastAsia="en-GB"/>
              </w:rPr>
            </w:pPr>
          </w:p>
        </w:tc>
        <w:tc>
          <w:tcPr>
            <w:tcW w:w="1984" w:type="dxa"/>
            <w:tcBorders>
              <w:top w:val="nil"/>
              <w:left w:val="nil"/>
              <w:bottom w:val="nil"/>
              <w:right w:val="nil"/>
            </w:tcBorders>
            <w:shd w:val="clear" w:color="auto" w:fill="auto"/>
            <w:noWrap/>
            <w:vAlign w:val="bottom"/>
            <w:hideMark/>
          </w:tcPr>
          <w:p w14:paraId="11D158F1" w14:textId="15B23430" w:rsidR="3D987D88" w:rsidRDefault="3D987D88" w:rsidP="3D987D88">
            <w:pPr>
              <w:spacing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45B9B2FD" w14:textId="540D6B7E" w:rsidR="3D987D88" w:rsidRDefault="3D987D88" w:rsidP="3D987D88">
            <w:pPr>
              <w:spacing w:line="240" w:lineRule="auto"/>
              <w:rPr>
                <w:rFonts w:ascii="Times New Roman" w:eastAsia="Times New Roman" w:hAnsi="Times New Roman" w:cs="Times New Roman"/>
                <w:sz w:val="20"/>
                <w:szCs w:val="20"/>
                <w:lang w:val="en-GB" w:eastAsia="en-GB"/>
              </w:rPr>
            </w:pPr>
          </w:p>
        </w:tc>
        <w:tc>
          <w:tcPr>
            <w:tcW w:w="993" w:type="dxa"/>
            <w:tcBorders>
              <w:top w:val="nil"/>
              <w:left w:val="nil"/>
              <w:bottom w:val="nil"/>
              <w:right w:val="nil"/>
            </w:tcBorders>
            <w:shd w:val="clear" w:color="auto" w:fill="auto"/>
            <w:noWrap/>
            <w:vAlign w:val="bottom"/>
            <w:hideMark/>
          </w:tcPr>
          <w:p w14:paraId="6F25113D" w14:textId="4BEE5402" w:rsidR="3D987D88" w:rsidRDefault="3D987D88" w:rsidP="3D987D88">
            <w:pPr>
              <w:spacing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42B1CC4D" w14:textId="6E5EB107" w:rsidR="3D987D88" w:rsidRDefault="3D987D88" w:rsidP="3D987D88">
            <w:pPr>
              <w:spacing w:line="240" w:lineRule="auto"/>
              <w:rPr>
                <w:rFonts w:ascii="Times New Roman" w:eastAsia="Times New Roman" w:hAnsi="Times New Roman" w:cs="Times New Roman"/>
                <w:sz w:val="20"/>
                <w:szCs w:val="20"/>
                <w:lang w:val="en-GB" w:eastAsia="en-GB"/>
              </w:rPr>
            </w:pPr>
          </w:p>
        </w:tc>
        <w:tc>
          <w:tcPr>
            <w:tcW w:w="1417" w:type="dxa"/>
            <w:tcBorders>
              <w:top w:val="nil"/>
              <w:left w:val="nil"/>
              <w:bottom w:val="nil"/>
              <w:right w:val="nil"/>
            </w:tcBorders>
            <w:shd w:val="clear" w:color="auto" w:fill="auto"/>
            <w:noWrap/>
            <w:vAlign w:val="bottom"/>
            <w:hideMark/>
          </w:tcPr>
          <w:p w14:paraId="0F9C4BFD" w14:textId="3C93BC5A" w:rsidR="3D987D88" w:rsidRDefault="3D987D88" w:rsidP="3D987D88">
            <w:pPr>
              <w:spacing w:line="240" w:lineRule="auto"/>
              <w:rPr>
                <w:rFonts w:ascii="Times New Roman" w:eastAsia="Times New Roman" w:hAnsi="Times New Roman" w:cs="Times New Roman"/>
                <w:sz w:val="20"/>
                <w:szCs w:val="20"/>
                <w:lang w:val="en-GB" w:eastAsia="en-GB"/>
              </w:rPr>
            </w:pPr>
          </w:p>
        </w:tc>
      </w:tr>
      <w:tr w:rsidR="00E45D8D" w:rsidRPr="00E45D8D" w14:paraId="20BBC5BB" w14:textId="77777777" w:rsidTr="3D987D88">
        <w:trPr>
          <w:trHeight w:val="300"/>
        </w:trPr>
        <w:tc>
          <w:tcPr>
            <w:tcW w:w="2122" w:type="dxa"/>
            <w:tcBorders>
              <w:top w:val="nil"/>
              <w:left w:val="nil"/>
              <w:bottom w:val="nil"/>
              <w:right w:val="nil"/>
            </w:tcBorders>
            <w:shd w:val="clear" w:color="auto" w:fill="auto"/>
            <w:noWrap/>
            <w:vAlign w:val="bottom"/>
            <w:hideMark/>
          </w:tcPr>
          <w:p w14:paraId="03B27568"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984" w:type="dxa"/>
            <w:tcBorders>
              <w:top w:val="nil"/>
              <w:left w:val="nil"/>
              <w:bottom w:val="nil"/>
              <w:right w:val="nil"/>
            </w:tcBorders>
            <w:shd w:val="clear" w:color="auto" w:fill="auto"/>
            <w:noWrap/>
            <w:vAlign w:val="bottom"/>
            <w:hideMark/>
          </w:tcPr>
          <w:p w14:paraId="704EB6B3"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16C3D968"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993" w:type="dxa"/>
            <w:tcBorders>
              <w:top w:val="nil"/>
              <w:left w:val="nil"/>
              <w:bottom w:val="nil"/>
              <w:right w:val="nil"/>
            </w:tcBorders>
            <w:shd w:val="clear" w:color="auto" w:fill="auto"/>
            <w:noWrap/>
            <w:vAlign w:val="bottom"/>
            <w:hideMark/>
          </w:tcPr>
          <w:p w14:paraId="72781F4E"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559" w:type="dxa"/>
            <w:tcBorders>
              <w:top w:val="nil"/>
              <w:left w:val="nil"/>
              <w:bottom w:val="nil"/>
              <w:right w:val="nil"/>
            </w:tcBorders>
            <w:shd w:val="clear" w:color="auto" w:fill="auto"/>
            <w:noWrap/>
            <w:vAlign w:val="bottom"/>
            <w:hideMark/>
          </w:tcPr>
          <w:p w14:paraId="0555D9D7"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c>
          <w:tcPr>
            <w:tcW w:w="1417" w:type="dxa"/>
            <w:tcBorders>
              <w:top w:val="nil"/>
              <w:left w:val="nil"/>
              <w:bottom w:val="nil"/>
              <w:right w:val="nil"/>
            </w:tcBorders>
            <w:shd w:val="clear" w:color="auto" w:fill="auto"/>
            <w:noWrap/>
            <w:vAlign w:val="bottom"/>
            <w:hideMark/>
          </w:tcPr>
          <w:p w14:paraId="4992D32A" w14:textId="77777777" w:rsidR="00E45D8D" w:rsidRPr="00E45D8D" w:rsidRDefault="00E45D8D" w:rsidP="00E45D8D">
            <w:pPr>
              <w:spacing w:after="0" w:line="240" w:lineRule="auto"/>
              <w:rPr>
                <w:rFonts w:ascii="Times New Roman" w:eastAsia="Times New Roman" w:hAnsi="Times New Roman" w:cs="Times New Roman"/>
                <w:sz w:val="20"/>
                <w:szCs w:val="20"/>
                <w:lang w:val="en-GB" w:eastAsia="en-GB"/>
              </w:rPr>
            </w:pPr>
          </w:p>
        </w:tc>
      </w:tr>
      <w:tr w:rsidR="00E45D8D" w:rsidRPr="00E45D8D" w14:paraId="553C18CC" w14:textId="77777777" w:rsidTr="3D987D88">
        <w:trPr>
          <w:trHeight w:val="345"/>
        </w:trPr>
        <w:tc>
          <w:tcPr>
            <w:tcW w:w="9634"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9D57BF" w14:textId="77777777" w:rsidR="00E45D8D" w:rsidRPr="00E45D8D" w:rsidRDefault="00E45D8D" w:rsidP="00E45D8D">
            <w:pPr>
              <w:spacing w:after="0" w:line="240" w:lineRule="auto"/>
              <w:jc w:val="center"/>
              <w:rPr>
                <w:rFonts w:ascii="Aptos Narrow" w:eastAsia="Times New Roman" w:hAnsi="Aptos Narrow" w:cs="Times New Roman"/>
                <w:b/>
                <w:bCs/>
                <w:color w:val="0E2841"/>
                <w:sz w:val="26"/>
                <w:szCs w:val="26"/>
                <w:lang w:val="en-GB" w:eastAsia="en-GB"/>
              </w:rPr>
            </w:pPr>
            <w:r w:rsidRPr="00E45D8D">
              <w:rPr>
                <w:rFonts w:ascii="Aptos Narrow" w:eastAsia="Times New Roman" w:hAnsi="Aptos Narrow" w:cs="Times New Roman"/>
                <w:b/>
                <w:bCs/>
                <w:color w:val="0E2841"/>
                <w:sz w:val="26"/>
                <w:szCs w:val="26"/>
                <w:lang w:val="en-GB" w:eastAsia="en-GB"/>
              </w:rPr>
              <w:t>Revenue Implications of Generic Entry</w:t>
            </w:r>
          </w:p>
        </w:tc>
      </w:tr>
      <w:tr w:rsidR="00E45D8D" w:rsidRPr="00E45D8D" w14:paraId="39199F36" w14:textId="77777777" w:rsidTr="3D987D88">
        <w:trPr>
          <w:trHeight w:val="1035"/>
        </w:trPr>
        <w:tc>
          <w:tcPr>
            <w:tcW w:w="2122" w:type="dxa"/>
            <w:tcBorders>
              <w:top w:val="nil"/>
              <w:left w:val="single" w:sz="4" w:space="0" w:color="auto"/>
              <w:bottom w:val="single" w:sz="4" w:space="0" w:color="auto"/>
              <w:right w:val="single" w:sz="4" w:space="0" w:color="auto"/>
            </w:tcBorders>
            <w:shd w:val="clear" w:color="auto" w:fill="ADADAD"/>
            <w:vAlign w:val="bottom"/>
            <w:hideMark/>
          </w:tcPr>
          <w:p w14:paraId="7D901EDA" w14:textId="77777777" w:rsidR="00E45D8D" w:rsidRPr="00E45D8D" w:rsidRDefault="00E45D8D" w:rsidP="00E45D8D">
            <w:pPr>
              <w:spacing w:after="0" w:line="240" w:lineRule="auto"/>
              <w:rPr>
                <w:rFonts w:ascii="Aptos Narrow" w:eastAsia="Times New Roman" w:hAnsi="Aptos Narrow" w:cs="Times New Roman"/>
                <w:b/>
                <w:bCs/>
                <w:color w:val="0E2841"/>
                <w:sz w:val="26"/>
                <w:szCs w:val="26"/>
                <w:lang w:val="en-GB" w:eastAsia="en-GB"/>
              </w:rPr>
            </w:pPr>
            <w:r w:rsidRPr="00E45D8D">
              <w:rPr>
                <w:rFonts w:ascii="Aptos Narrow" w:eastAsia="Times New Roman" w:hAnsi="Aptos Narrow" w:cs="Times New Roman"/>
                <w:b/>
                <w:bCs/>
                <w:color w:val="0E2841"/>
                <w:sz w:val="26"/>
                <w:szCs w:val="26"/>
                <w:lang w:val="en-GB" w:eastAsia="en-GB"/>
              </w:rPr>
              <w:t> </w:t>
            </w:r>
          </w:p>
        </w:tc>
        <w:tc>
          <w:tcPr>
            <w:tcW w:w="1984" w:type="dxa"/>
            <w:tcBorders>
              <w:top w:val="nil"/>
              <w:left w:val="nil"/>
              <w:bottom w:val="single" w:sz="4" w:space="0" w:color="auto"/>
              <w:right w:val="single" w:sz="4" w:space="0" w:color="auto"/>
            </w:tcBorders>
            <w:shd w:val="clear" w:color="auto" w:fill="ADADAD"/>
            <w:vAlign w:val="bottom"/>
            <w:hideMark/>
          </w:tcPr>
          <w:p w14:paraId="1CFC7BBF" w14:textId="77777777" w:rsidR="00E45D8D" w:rsidRPr="00E45D8D" w:rsidRDefault="00E45D8D" w:rsidP="00E45D8D">
            <w:pPr>
              <w:spacing w:after="0" w:line="240" w:lineRule="auto"/>
              <w:rPr>
                <w:rFonts w:ascii="Aptos Narrow" w:eastAsia="Times New Roman" w:hAnsi="Aptos Narrow" w:cs="Times New Roman"/>
                <w:b/>
                <w:bCs/>
                <w:color w:val="0E2841"/>
                <w:sz w:val="26"/>
                <w:szCs w:val="26"/>
                <w:lang w:val="en-GB" w:eastAsia="en-GB"/>
              </w:rPr>
            </w:pPr>
            <w:r w:rsidRPr="00E45D8D">
              <w:rPr>
                <w:rFonts w:ascii="Aptos Narrow" w:eastAsia="Times New Roman" w:hAnsi="Aptos Narrow" w:cs="Times New Roman"/>
                <w:b/>
                <w:bCs/>
                <w:color w:val="0E2841"/>
                <w:sz w:val="26"/>
                <w:szCs w:val="26"/>
                <w:lang w:val="en-GB" w:eastAsia="en-GB"/>
              </w:rPr>
              <w:t xml:space="preserve">Patients served </w:t>
            </w:r>
          </w:p>
        </w:tc>
        <w:tc>
          <w:tcPr>
            <w:tcW w:w="1559" w:type="dxa"/>
            <w:tcBorders>
              <w:top w:val="nil"/>
              <w:left w:val="nil"/>
              <w:bottom w:val="single" w:sz="4" w:space="0" w:color="auto"/>
              <w:right w:val="single" w:sz="4" w:space="0" w:color="auto"/>
            </w:tcBorders>
            <w:shd w:val="clear" w:color="auto" w:fill="ADADAD"/>
            <w:vAlign w:val="bottom"/>
            <w:hideMark/>
          </w:tcPr>
          <w:p w14:paraId="1D240D41" w14:textId="77777777" w:rsidR="00E45D8D" w:rsidRPr="00E45D8D" w:rsidRDefault="00E45D8D" w:rsidP="00E45D8D">
            <w:pPr>
              <w:spacing w:after="0" w:line="240" w:lineRule="auto"/>
              <w:rPr>
                <w:rFonts w:ascii="Aptos Narrow" w:eastAsia="Times New Roman" w:hAnsi="Aptos Narrow" w:cs="Times New Roman"/>
                <w:b/>
                <w:bCs/>
                <w:color w:val="0E2841"/>
                <w:sz w:val="26"/>
                <w:szCs w:val="26"/>
                <w:lang w:val="en-GB" w:eastAsia="en-GB"/>
              </w:rPr>
            </w:pPr>
            <w:r w:rsidRPr="00E45D8D">
              <w:rPr>
                <w:rFonts w:ascii="Aptos Narrow" w:eastAsia="Times New Roman" w:hAnsi="Aptos Narrow" w:cs="Times New Roman"/>
                <w:b/>
                <w:bCs/>
                <w:color w:val="0E2841"/>
                <w:sz w:val="26"/>
                <w:szCs w:val="26"/>
                <w:lang w:val="en-GB" w:eastAsia="en-GB"/>
              </w:rPr>
              <w:t xml:space="preserve">Gross revenue ($B) </w:t>
            </w:r>
          </w:p>
        </w:tc>
        <w:tc>
          <w:tcPr>
            <w:tcW w:w="993" w:type="dxa"/>
            <w:tcBorders>
              <w:top w:val="nil"/>
              <w:left w:val="nil"/>
              <w:bottom w:val="single" w:sz="4" w:space="0" w:color="auto"/>
              <w:right w:val="single" w:sz="4" w:space="0" w:color="auto"/>
            </w:tcBorders>
            <w:shd w:val="clear" w:color="auto" w:fill="ADADAD"/>
            <w:vAlign w:val="bottom"/>
            <w:hideMark/>
          </w:tcPr>
          <w:p w14:paraId="0B1D394E" w14:textId="77777777" w:rsidR="00E45D8D" w:rsidRPr="00E45D8D" w:rsidRDefault="00E45D8D" w:rsidP="00E45D8D">
            <w:pPr>
              <w:spacing w:after="0" w:line="240" w:lineRule="auto"/>
              <w:rPr>
                <w:rFonts w:ascii="Aptos Narrow" w:eastAsia="Times New Roman" w:hAnsi="Aptos Narrow" w:cs="Times New Roman"/>
                <w:b/>
                <w:bCs/>
                <w:color w:val="0E2841"/>
                <w:sz w:val="26"/>
                <w:szCs w:val="26"/>
                <w:lang w:val="en-GB" w:eastAsia="en-GB"/>
              </w:rPr>
            </w:pPr>
            <w:r w:rsidRPr="00E45D8D">
              <w:rPr>
                <w:rFonts w:ascii="Aptos Narrow" w:eastAsia="Times New Roman" w:hAnsi="Aptos Narrow" w:cs="Times New Roman"/>
                <w:b/>
                <w:bCs/>
                <w:color w:val="0E2841"/>
                <w:sz w:val="26"/>
                <w:szCs w:val="26"/>
                <w:lang w:val="en-GB" w:eastAsia="en-GB"/>
              </w:rPr>
              <w:t xml:space="preserve">Rebate % </w:t>
            </w:r>
          </w:p>
        </w:tc>
        <w:tc>
          <w:tcPr>
            <w:tcW w:w="1559" w:type="dxa"/>
            <w:tcBorders>
              <w:top w:val="nil"/>
              <w:left w:val="nil"/>
              <w:bottom w:val="single" w:sz="4" w:space="0" w:color="auto"/>
              <w:right w:val="single" w:sz="4" w:space="0" w:color="auto"/>
            </w:tcBorders>
            <w:shd w:val="clear" w:color="auto" w:fill="ADADAD"/>
            <w:vAlign w:val="bottom"/>
            <w:hideMark/>
          </w:tcPr>
          <w:p w14:paraId="7B2C0BC5" w14:textId="77777777" w:rsidR="00E45D8D" w:rsidRPr="00E45D8D" w:rsidRDefault="00E45D8D" w:rsidP="00E45D8D">
            <w:pPr>
              <w:spacing w:after="0" w:line="240" w:lineRule="auto"/>
              <w:rPr>
                <w:rFonts w:ascii="Aptos Narrow" w:eastAsia="Times New Roman" w:hAnsi="Aptos Narrow" w:cs="Times New Roman"/>
                <w:b/>
                <w:bCs/>
                <w:color w:val="0E2841"/>
                <w:sz w:val="26"/>
                <w:szCs w:val="26"/>
                <w:lang w:val="en-GB" w:eastAsia="en-GB"/>
              </w:rPr>
            </w:pPr>
            <w:r w:rsidRPr="00E45D8D">
              <w:rPr>
                <w:rFonts w:ascii="Aptos Narrow" w:eastAsia="Times New Roman" w:hAnsi="Aptos Narrow" w:cs="Times New Roman"/>
                <w:b/>
                <w:bCs/>
                <w:color w:val="0E2841"/>
                <w:sz w:val="26"/>
                <w:szCs w:val="26"/>
                <w:lang w:val="en-GB" w:eastAsia="en-GB"/>
              </w:rPr>
              <w:t>Net revenue ($B)</w:t>
            </w:r>
          </w:p>
        </w:tc>
        <w:tc>
          <w:tcPr>
            <w:tcW w:w="1417" w:type="dxa"/>
            <w:tcBorders>
              <w:top w:val="nil"/>
              <w:left w:val="nil"/>
              <w:bottom w:val="single" w:sz="4" w:space="0" w:color="auto"/>
              <w:right w:val="single" w:sz="4" w:space="0" w:color="auto"/>
            </w:tcBorders>
            <w:shd w:val="clear" w:color="auto" w:fill="ADADAD"/>
            <w:vAlign w:val="bottom"/>
            <w:hideMark/>
          </w:tcPr>
          <w:p w14:paraId="63CC8BBC" w14:textId="77777777" w:rsidR="00E45D8D" w:rsidRPr="00E45D8D" w:rsidRDefault="00E45D8D" w:rsidP="00E45D8D">
            <w:pPr>
              <w:spacing w:after="0" w:line="240" w:lineRule="auto"/>
              <w:rPr>
                <w:rFonts w:ascii="Aptos Narrow" w:eastAsia="Times New Roman" w:hAnsi="Aptos Narrow" w:cs="Times New Roman"/>
                <w:b/>
                <w:bCs/>
                <w:color w:val="0E2841"/>
                <w:sz w:val="26"/>
                <w:szCs w:val="26"/>
                <w:lang w:val="en-GB" w:eastAsia="en-GB"/>
              </w:rPr>
            </w:pPr>
            <w:r w:rsidRPr="00E45D8D">
              <w:rPr>
                <w:rFonts w:ascii="Aptos Narrow" w:eastAsia="Times New Roman" w:hAnsi="Aptos Narrow" w:cs="Times New Roman"/>
                <w:b/>
                <w:bCs/>
                <w:color w:val="0E2841"/>
                <w:sz w:val="26"/>
                <w:szCs w:val="26"/>
                <w:lang w:val="en-GB" w:eastAsia="en-GB"/>
              </w:rPr>
              <w:t>Implied Price</w:t>
            </w:r>
          </w:p>
        </w:tc>
      </w:tr>
      <w:tr w:rsidR="00E45D8D" w:rsidRPr="00E45D8D" w14:paraId="1EED0E86" w14:textId="77777777" w:rsidTr="3D987D8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FDB462" w14:textId="77777777" w:rsidR="00E45D8D" w:rsidRPr="00E45D8D" w:rsidRDefault="00E45D8D" w:rsidP="00E45D8D">
            <w:pPr>
              <w:spacing w:after="0" w:line="240" w:lineRule="auto"/>
              <w:rPr>
                <w:rFonts w:ascii="Tahoma" w:eastAsia="Times New Roman" w:hAnsi="Tahoma" w:cs="Tahoma"/>
                <w:color w:val="000000"/>
                <w:lang w:val="en-GB" w:eastAsia="en-GB"/>
              </w:rPr>
            </w:pPr>
            <w:r w:rsidRPr="00E45D8D">
              <w:rPr>
                <w:rFonts w:ascii="Tahoma" w:eastAsia="Times New Roman" w:hAnsi="Tahoma" w:cs="Tahoma"/>
                <w:color w:val="000000"/>
                <w:lang w:val="en-GB" w:eastAsia="en-GB"/>
              </w:rPr>
              <w:t xml:space="preserve">Private plans  </w:t>
            </w:r>
          </w:p>
        </w:tc>
        <w:tc>
          <w:tcPr>
            <w:tcW w:w="1984" w:type="dxa"/>
            <w:tcBorders>
              <w:top w:val="nil"/>
              <w:left w:val="nil"/>
              <w:bottom w:val="single" w:sz="4" w:space="0" w:color="auto"/>
              <w:right w:val="single" w:sz="4" w:space="0" w:color="auto"/>
            </w:tcBorders>
            <w:shd w:val="clear" w:color="auto" w:fill="auto"/>
            <w:noWrap/>
            <w:vAlign w:val="bottom"/>
            <w:hideMark/>
          </w:tcPr>
          <w:p w14:paraId="6DFDDE4D"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67,300</w:t>
            </w:r>
          </w:p>
        </w:tc>
        <w:tc>
          <w:tcPr>
            <w:tcW w:w="1559" w:type="dxa"/>
            <w:tcBorders>
              <w:top w:val="nil"/>
              <w:left w:val="nil"/>
              <w:bottom w:val="single" w:sz="4" w:space="0" w:color="auto"/>
              <w:right w:val="single" w:sz="4" w:space="0" w:color="auto"/>
            </w:tcBorders>
            <w:shd w:val="clear" w:color="auto" w:fill="auto"/>
            <w:noWrap/>
            <w:vAlign w:val="bottom"/>
            <w:hideMark/>
          </w:tcPr>
          <w:p w14:paraId="3F4633D9" w14:textId="77777777"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7.93</w:t>
            </w:r>
          </w:p>
        </w:tc>
        <w:tc>
          <w:tcPr>
            <w:tcW w:w="993" w:type="dxa"/>
            <w:tcBorders>
              <w:top w:val="nil"/>
              <w:left w:val="nil"/>
              <w:bottom w:val="single" w:sz="4" w:space="0" w:color="auto"/>
              <w:right w:val="single" w:sz="4" w:space="0" w:color="auto"/>
            </w:tcBorders>
            <w:shd w:val="clear" w:color="auto" w:fill="auto"/>
            <w:noWrap/>
            <w:vAlign w:val="bottom"/>
            <w:hideMark/>
          </w:tcPr>
          <w:p w14:paraId="033FD9B0"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10%</w:t>
            </w:r>
          </w:p>
        </w:tc>
        <w:tc>
          <w:tcPr>
            <w:tcW w:w="1559" w:type="dxa"/>
            <w:tcBorders>
              <w:top w:val="nil"/>
              <w:left w:val="nil"/>
              <w:bottom w:val="single" w:sz="4" w:space="0" w:color="auto"/>
              <w:right w:val="single" w:sz="4" w:space="0" w:color="auto"/>
            </w:tcBorders>
            <w:shd w:val="clear" w:color="auto" w:fill="auto"/>
            <w:noWrap/>
            <w:vAlign w:val="bottom"/>
            <w:hideMark/>
          </w:tcPr>
          <w:p w14:paraId="438EDDD9"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 xml:space="preserve">$7.13 </w:t>
            </w:r>
          </w:p>
        </w:tc>
        <w:tc>
          <w:tcPr>
            <w:tcW w:w="1417" w:type="dxa"/>
            <w:tcBorders>
              <w:top w:val="nil"/>
              <w:left w:val="nil"/>
              <w:bottom w:val="single" w:sz="4" w:space="0" w:color="auto"/>
              <w:right w:val="single" w:sz="4" w:space="0" w:color="auto"/>
            </w:tcBorders>
            <w:shd w:val="clear" w:color="auto" w:fill="FFFF00"/>
            <w:noWrap/>
            <w:vAlign w:val="bottom"/>
            <w:hideMark/>
          </w:tcPr>
          <w:p w14:paraId="5AE1AE6A"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 xml:space="preserve"> $105,997.50 </w:t>
            </w:r>
          </w:p>
        </w:tc>
      </w:tr>
      <w:tr w:rsidR="00E45D8D" w:rsidRPr="00E45D8D" w14:paraId="2EAF80CB" w14:textId="77777777" w:rsidTr="3D987D8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752E162" w14:textId="77777777" w:rsidR="00E45D8D" w:rsidRPr="00E45D8D" w:rsidRDefault="00E45D8D" w:rsidP="00E45D8D">
            <w:pPr>
              <w:spacing w:after="0" w:line="240" w:lineRule="auto"/>
              <w:rPr>
                <w:rFonts w:ascii="Tahoma" w:eastAsia="Times New Roman" w:hAnsi="Tahoma" w:cs="Tahoma"/>
                <w:color w:val="000000"/>
                <w:lang w:val="en-GB" w:eastAsia="en-GB"/>
              </w:rPr>
            </w:pPr>
            <w:r w:rsidRPr="00E45D8D">
              <w:rPr>
                <w:rFonts w:ascii="Tahoma" w:eastAsia="Times New Roman" w:hAnsi="Tahoma" w:cs="Tahoma"/>
                <w:color w:val="000000"/>
                <w:lang w:val="en-GB" w:eastAsia="en-GB"/>
              </w:rPr>
              <w:t xml:space="preserve">Medicare    </w:t>
            </w:r>
          </w:p>
        </w:tc>
        <w:tc>
          <w:tcPr>
            <w:tcW w:w="1984" w:type="dxa"/>
            <w:tcBorders>
              <w:top w:val="nil"/>
              <w:left w:val="nil"/>
              <w:bottom w:val="single" w:sz="4" w:space="0" w:color="auto"/>
              <w:right w:val="single" w:sz="4" w:space="0" w:color="auto"/>
            </w:tcBorders>
            <w:shd w:val="clear" w:color="auto" w:fill="auto"/>
            <w:noWrap/>
            <w:vAlign w:val="bottom"/>
            <w:hideMark/>
          </w:tcPr>
          <w:p w14:paraId="119D10A5"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32,448</w:t>
            </w:r>
          </w:p>
        </w:tc>
        <w:tc>
          <w:tcPr>
            <w:tcW w:w="1559" w:type="dxa"/>
            <w:tcBorders>
              <w:top w:val="nil"/>
              <w:left w:val="nil"/>
              <w:bottom w:val="single" w:sz="4" w:space="0" w:color="auto"/>
              <w:right w:val="single" w:sz="4" w:space="0" w:color="auto"/>
            </w:tcBorders>
            <w:shd w:val="clear" w:color="auto" w:fill="auto"/>
            <w:noWrap/>
            <w:vAlign w:val="bottom"/>
            <w:hideMark/>
          </w:tcPr>
          <w:p w14:paraId="51944B94" w14:textId="77777777" w:rsidR="00E45D8D" w:rsidRPr="00E45D8D" w:rsidRDefault="00E45D8D" w:rsidP="00E45D8D">
            <w:pPr>
              <w:spacing w:after="0" w:line="240" w:lineRule="auto"/>
              <w:jc w:val="right"/>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3.82</w:t>
            </w:r>
          </w:p>
        </w:tc>
        <w:tc>
          <w:tcPr>
            <w:tcW w:w="993" w:type="dxa"/>
            <w:tcBorders>
              <w:top w:val="nil"/>
              <w:left w:val="nil"/>
              <w:bottom w:val="single" w:sz="4" w:space="0" w:color="auto"/>
              <w:right w:val="single" w:sz="4" w:space="0" w:color="auto"/>
            </w:tcBorders>
            <w:shd w:val="clear" w:color="auto" w:fill="auto"/>
            <w:noWrap/>
            <w:vAlign w:val="bottom"/>
            <w:hideMark/>
          </w:tcPr>
          <w:p w14:paraId="41244B1A"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20%</w:t>
            </w:r>
          </w:p>
        </w:tc>
        <w:tc>
          <w:tcPr>
            <w:tcW w:w="1559" w:type="dxa"/>
            <w:tcBorders>
              <w:top w:val="nil"/>
              <w:left w:val="nil"/>
              <w:bottom w:val="single" w:sz="4" w:space="0" w:color="auto"/>
              <w:right w:val="single" w:sz="4" w:space="0" w:color="auto"/>
            </w:tcBorders>
            <w:shd w:val="clear" w:color="auto" w:fill="auto"/>
            <w:noWrap/>
            <w:vAlign w:val="bottom"/>
            <w:hideMark/>
          </w:tcPr>
          <w:p w14:paraId="2861F239"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 xml:space="preserve">$3.06 </w:t>
            </w:r>
          </w:p>
        </w:tc>
        <w:tc>
          <w:tcPr>
            <w:tcW w:w="1417" w:type="dxa"/>
            <w:tcBorders>
              <w:top w:val="nil"/>
              <w:left w:val="nil"/>
              <w:bottom w:val="single" w:sz="4" w:space="0" w:color="auto"/>
              <w:right w:val="single" w:sz="4" w:space="0" w:color="auto"/>
            </w:tcBorders>
            <w:shd w:val="clear" w:color="auto" w:fill="FFFF00"/>
            <w:noWrap/>
            <w:vAlign w:val="bottom"/>
            <w:hideMark/>
          </w:tcPr>
          <w:p w14:paraId="50963D03"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 xml:space="preserve"> $94,220.00 </w:t>
            </w:r>
          </w:p>
        </w:tc>
      </w:tr>
      <w:tr w:rsidR="00E45D8D" w:rsidRPr="00E45D8D" w14:paraId="6C9A3DC7" w14:textId="77777777" w:rsidTr="3D987D8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DECCA62"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 </w:t>
            </w:r>
          </w:p>
        </w:tc>
        <w:tc>
          <w:tcPr>
            <w:tcW w:w="1984" w:type="dxa"/>
            <w:tcBorders>
              <w:top w:val="nil"/>
              <w:left w:val="nil"/>
              <w:bottom w:val="single" w:sz="4" w:space="0" w:color="auto"/>
              <w:right w:val="single" w:sz="4" w:space="0" w:color="auto"/>
            </w:tcBorders>
            <w:shd w:val="clear" w:color="auto" w:fill="auto"/>
            <w:noWrap/>
            <w:vAlign w:val="bottom"/>
            <w:hideMark/>
          </w:tcPr>
          <w:p w14:paraId="201CD4E4" w14:textId="77777777" w:rsidR="00E45D8D" w:rsidRPr="00E45D8D" w:rsidRDefault="00E45D8D" w:rsidP="00E45D8D">
            <w:pPr>
              <w:spacing w:after="0" w:line="240" w:lineRule="auto"/>
              <w:rPr>
                <w:rFonts w:ascii="Aptos Narrow" w:eastAsia="Times New Roman" w:hAnsi="Aptos Narrow" w:cs="Times New Roman"/>
                <w:b/>
                <w:bCs/>
                <w:color w:val="000000"/>
                <w:lang w:val="en-GB" w:eastAsia="en-GB"/>
              </w:rPr>
            </w:pPr>
            <w:r w:rsidRPr="00E45D8D">
              <w:rPr>
                <w:rFonts w:ascii="Aptos Narrow" w:eastAsia="Times New Roman" w:hAnsi="Aptos Narrow" w:cs="Times New Roman"/>
                <w:b/>
                <w:bCs/>
                <w:color w:val="000000"/>
                <w:lang w:val="en-GB" w:eastAsia="en-GB"/>
              </w:rPr>
              <w:t>99,748</w:t>
            </w:r>
          </w:p>
        </w:tc>
        <w:tc>
          <w:tcPr>
            <w:tcW w:w="1559" w:type="dxa"/>
            <w:tcBorders>
              <w:top w:val="nil"/>
              <w:left w:val="nil"/>
              <w:bottom w:val="single" w:sz="4" w:space="0" w:color="auto"/>
              <w:right w:val="single" w:sz="4" w:space="0" w:color="auto"/>
            </w:tcBorders>
            <w:shd w:val="clear" w:color="auto" w:fill="auto"/>
            <w:noWrap/>
            <w:vAlign w:val="bottom"/>
            <w:hideMark/>
          </w:tcPr>
          <w:p w14:paraId="0D1FE6A7" w14:textId="77777777" w:rsidR="00E45D8D" w:rsidRPr="00E45D8D" w:rsidRDefault="00E45D8D" w:rsidP="00E45D8D">
            <w:pPr>
              <w:spacing w:after="0" w:line="240" w:lineRule="auto"/>
              <w:rPr>
                <w:rFonts w:ascii="Tahoma-Bold" w:eastAsia="Times New Roman" w:hAnsi="Tahoma-Bold" w:cs="Times New Roman"/>
                <w:b/>
                <w:bCs/>
                <w:color w:val="000000"/>
                <w:lang w:val="en-GB" w:eastAsia="en-GB"/>
              </w:rPr>
            </w:pPr>
            <w:r w:rsidRPr="00E45D8D">
              <w:rPr>
                <w:rFonts w:ascii="Tahoma-Bold" w:eastAsia="Times New Roman" w:hAnsi="Tahoma-Bold" w:cs="Times New Roman"/>
                <w:b/>
                <w:bCs/>
                <w:color w:val="000000"/>
                <w:lang w:val="en-GB" w:eastAsia="en-GB"/>
              </w:rPr>
              <w:t xml:space="preserve">$11.75 </w:t>
            </w:r>
          </w:p>
        </w:tc>
        <w:tc>
          <w:tcPr>
            <w:tcW w:w="993" w:type="dxa"/>
            <w:tcBorders>
              <w:top w:val="nil"/>
              <w:left w:val="nil"/>
              <w:bottom w:val="single" w:sz="4" w:space="0" w:color="auto"/>
              <w:right w:val="single" w:sz="4" w:space="0" w:color="auto"/>
            </w:tcBorders>
            <w:shd w:val="clear" w:color="auto" w:fill="auto"/>
            <w:noWrap/>
            <w:vAlign w:val="bottom"/>
            <w:hideMark/>
          </w:tcPr>
          <w:p w14:paraId="1BE05482" w14:textId="77777777" w:rsidR="00E45D8D" w:rsidRPr="00E45D8D" w:rsidRDefault="00E45D8D" w:rsidP="00E45D8D">
            <w:pPr>
              <w:spacing w:after="0" w:line="240" w:lineRule="auto"/>
              <w:rPr>
                <w:rFonts w:ascii="Aptos Narrow" w:eastAsia="Times New Roman" w:hAnsi="Aptos Narrow" w:cs="Times New Roman"/>
                <w:b/>
                <w:bCs/>
                <w:color w:val="000000"/>
                <w:lang w:val="en-GB" w:eastAsia="en-GB"/>
              </w:rPr>
            </w:pPr>
            <w:r w:rsidRPr="00E45D8D">
              <w:rPr>
                <w:rFonts w:ascii="Aptos Narrow" w:eastAsia="Times New Roman" w:hAnsi="Aptos Narrow" w:cs="Times New Roman"/>
                <w:b/>
                <w:bCs/>
                <w:color w:val="000000"/>
                <w:lang w:val="en-GB" w:eastAsia="en-GB"/>
              </w:rPr>
              <w:t> </w:t>
            </w:r>
          </w:p>
        </w:tc>
        <w:tc>
          <w:tcPr>
            <w:tcW w:w="1559" w:type="dxa"/>
            <w:tcBorders>
              <w:top w:val="nil"/>
              <w:left w:val="nil"/>
              <w:bottom w:val="single" w:sz="4" w:space="0" w:color="auto"/>
              <w:right w:val="single" w:sz="4" w:space="0" w:color="auto"/>
            </w:tcBorders>
            <w:shd w:val="clear" w:color="auto" w:fill="auto"/>
            <w:noWrap/>
            <w:vAlign w:val="bottom"/>
            <w:hideMark/>
          </w:tcPr>
          <w:p w14:paraId="0816CFC7" w14:textId="77777777" w:rsidR="00E45D8D" w:rsidRPr="00E45D8D" w:rsidRDefault="00E45D8D" w:rsidP="00E45D8D">
            <w:pPr>
              <w:spacing w:after="0" w:line="240" w:lineRule="auto"/>
              <w:rPr>
                <w:rFonts w:ascii="Tahoma-Bold" w:eastAsia="Times New Roman" w:hAnsi="Tahoma-Bold" w:cs="Times New Roman"/>
                <w:b/>
                <w:bCs/>
                <w:color w:val="000000"/>
                <w:lang w:val="en-GB" w:eastAsia="en-GB"/>
              </w:rPr>
            </w:pPr>
            <w:r w:rsidRPr="00E45D8D">
              <w:rPr>
                <w:rFonts w:ascii="Tahoma-Bold" w:eastAsia="Times New Roman" w:hAnsi="Tahoma-Bold" w:cs="Times New Roman"/>
                <w:b/>
                <w:bCs/>
                <w:color w:val="000000"/>
                <w:lang w:val="en-GB" w:eastAsia="en-GB"/>
              </w:rPr>
              <w:t xml:space="preserve"> $10.19 </w:t>
            </w:r>
          </w:p>
        </w:tc>
        <w:tc>
          <w:tcPr>
            <w:tcW w:w="1417" w:type="dxa"/>
            <w:tcBorders>
              <w:top w:val="nil"/>
              <w:left w:val="nil"/>
              <w:bottom w:val="single" w:sz="4" w:space="0" w:color="auto"/>
              <w:right w:val="single" w:sz="4" w:space="0" w:color="auto"/>
            </w:tcBorders>
            <w:shd w:val="clear" w:color="auto" w:fill="auto"/>
            <w:noWrap/>
            <w:vAlign w:val="bottom"/>
            <w:hideMark/>
          </w:tcPr>
          <w:p w14:paraId="6E2DC2E2" w14:textId="77777777" w:rsidR="00E45D8D" w:rsidRPr="00E45D8D" w:rsidRDefault="00E45D8D" w:rsidP="00E45D8D">
            <w:pPr>
              <w:spacing w:after="0" w:line="240" w:lineRule="auto"/>
              <w:rPr>
                <w:rFonts w:ascii="Aptos Narrow" w:eastAsia="Times New Roman" w:hAnsi="Aptos Narrow" w:cs="Times New Roman"/>
                <w:color w:val="000000"/>
                <w:lang w:val="en-GB" w:eastAsia="en-GB"/>
              </w:rPr>
            </w:pPr>
            <w:r w:rsidRPr="00E45D8D">
              <w:rPr>
                <w:rFonts w:ascii="Aptos Narrow" w:eastAsia="Times New Roman" w:hAnsi="Aptos Narrow" w:cs="Times New Roman"/>
                <w:color w:val="000000"/>
                <w:lang w:val="en-GB" w:eastAsia="en-GB"/>
              </w:rPr>
              <w:t> </w:t>
            </w:r>
          </w:p>
        </w:tc>
      </w:tr>
    </w:tbl>
    <w:p w14:paraId="04D17606" w14:textId="77777777" w:rsidR="00FD3612" w:rsidRDefault="00FD3612">
      <w:pPr>
        <w:rPr>
          <w:lang w:val="en-GB"/>
        </w:rPr>
      </w:pPr>
    </w:p>
    <w:p w14:paraId="2E24E9EF" w14:textId="77777777" w:rsidR="00EC7D69" w:rsidRDefault="00EC7D69">
      <w:pPr>
        <w:rPr>
          <w:lang w:val="en-GB"/>
        </w:rPr>
      </w:pPr>
    </w:p>
    <w:p w14:paraId="02A93121" w14:textId="2FCE7636" w:rsidR="00EC7D69" w:rsidRDefault="00EC7D69">
      <w:pPr>
        <w:rPr>
          <w:lang w:val="en-GB"/>
        </w:rPr>
      </w:pPr>
      <w:r>
        <w:rPr>
          <w:lang w:val="en-GB"/>
        </w:rPr>
        <w:br w:type="page"/>
      </w:r>
    </w:p>
    <w:p w14:paraId="1E2C93DE" w14:textId="77777777" w:rsidR="00EC7D69" w:rsidRPr="00EC7D69" w:rsidRDefault="00EC7D69" w:rsidP="00EC7D69">
      <w:pPr>
        <w:rPr>
          <w:b/>
          <w:bCs/>
          <w:lang w:val="en-GB"/>
        </w:rPr>
      </w:pPr>
      <w:r w:rsidRPr="00EC7D69">
        <w:rPr>
          <w:b/>
          <w:bCs/>
          <w:lang w:val="en-GB"/>
        </w:rPr>
        <w:t>Strategies to Maximize Kendizo’s Pre-Expiry Value</w:t>
      </w:r>
    </w:p>
    <w:p w14:paraId="2F31742E" w14:textId="44D52FFC" w:rsidR="00EC7D69" w:rsidRPr="00EC7D69" w:rsidRDefault="00EC7D69" w:rsidP="00EC7D69">
      <w:pPr>
        <w:rPr>
          <w:lang w:val="en-GB"/>
        </w:rPr>
      </w:pPr>
      <w:r>
        <w:rPr>
          <w:b/>
          <w:bCs/>
          <w:lang w:val="en-GB"/>
        </w:rPr>
        <w:t xml:space="preserve">1. </w:t>
      </w:r>
      <w:r w:rsidRPr="00EC7D69">
        <w:rPr>
          <w:b/>
          <w:bCs/>
          <w:lang w:val="en-GB"/>
        </w:rPr>
        <w:t>Authorized Generics</w:t>
      </w:r>
      <w:r w:rsidRPr="00EC7D69">
        <w:rPr>
          <w:lang w:val="en-GB"/>
        </w:rPr>
        <w:br/>
      </w:r>
      <w:r w:rsidR="0035149E">
        <w:rPr>
          <w:lang w:val="en-GB"/>
        </w:rPr>
        <w:t xml:space="preserve">Exhibit H suggests “Revenue diversification strategies,” leveraging authorized generics </w:t>
      </w:r>
      <w:r w:rsidRPr="00EC7D69">
        <w:rPr>
          <w:lang w:val="en-GB"/>
        </w:rPr>
        <w:t>to sustain revenue streams</w:t>
      </w:r>
      <w:r>
        <w:rPr>
          <w:lang w:val="en-GB"/>
        </w:rPr>
        <w:t>.</w:t>
      </w:r>
      <w:r w:rsidRPr="00EC7D69">
        <w:rPr>
          <w:lang w:val="en-GB"/>
        </w:rPr>
        <w:t xml:space="preserve"> Launching an authorized generic version of Kendizo before patent expiration can be an effective strategy to mitigate revenue loss when generics enter the market. Authorized generics allow Zile to offer a lower-cost version of Kendizo while retaining market share and controlling distribution and pricing. By introducing an authorized generic, Zile can appeal to price-sensitive segments that would otherwise switch to third-party generics, thus capturing a portion of the market that would likely migrate post-patent expiry. </w:t>
      </w:r>
    </w:p>
    <w:p w14:paraId="7AFD1846" w14:textId="2101DB19" w:rsidR="00EC7D69" w:rsidRPr="00EC7D69" w:rsidRDefault="00EC7D69" w:rsidP="00EC7D69">
      <w:pPr>
        <w:rPr>
          <w:lang w:val="en-GB"/>
        </w:rPr>
      </w:pPr>
      <w:r>
        <w:rPr>
          <w:b/>
          <w:bCs/>
          <w:lang w:val="en-GB"/>
        </w:rPr>
        <w:t xml:space="preserve">2. </w:t>
      </w:r>
      <w:r w:rsidRPr="00EC7D69">
        <w:rPr>
          <w:b/>
          <w:bCs/>
          <w:lang w:val="en-GB"/>
        </w:rPr>
        <w:t>Reformulation</w:t>
      </w:r>
      <w:r w:rsidRPr="00EC7D69">
        <w:rPr>
          <w:lang w:val="en-GB"/>
        </w:rPr>
        <w:br/>
        <w:t>Reformulating Kendizo to create differentiated versions, such as modified dosing regimens, enhanced efficacy, or alternative routes of administration, can extend Kendizo’s lifecycle and make it more competitive. Reformulated drugs often have appeal for specific patient subgroups who may prefer more convenient or effective versions. For example, Zile initially launched Kendizo in an intravenous format, but switching to an oral pill improved convenience for patients and enabled Zile to file a new patent, extending its market exclusivity​</w:t>
      </w:r>
      <w:r w:rsidR="005055E1">
        <w:rPr>
          <w:lang w:val="en-GB"/>
        </w:rPr>
        <w:t xml:space="preserve"> </w:t>
      </w:r>
      <w:r w:rsidRPr="00EC7D69">
        <w:rPr>
          <w:lang w:val="en-GB"/>
        </w:rPr>
        <w:t>(</w:t>
      </w:r>
      <w:r w:rsidR="005055E1">
        <w:rPr>
          <w:lang w:val="en-GB"/>
        </w:rPr>
        <w:t>Exhibit F</w:t>
      </w:r>
      <w:r w:rsidRPr="00EC7D69">
        <w:rPr>
          <w:lang w:val="en-GB"/>
        </w:rPr>
        <w:t>).</w:t>
      </w:r>
    </w:p>
    <w:p w14:paraId="5A992034" w14:textId="77777777" w:rsidR="00EC7D69" w:rsidRPr="00EC7D69" w:rsidRDefault="00EC7D69" w:rsidP="00EC7D69">
      <w:pPr>
        <w:rPr>
          <w:lang w:val="en-GB"/>
        </w:rPr>
      </w:pPr>
      <w:r w:rsidRPr="00EC7D69">
        <w:rPr>
          <w:lang w:val="en-GB"/>
        </w:rPr>
        <w:t>Reformulating Kendizo before 2031 could position Zile to file new patents on the reformulation, providing additional barriers to entry for generic versions and creating differentiation in the market. This tactic may lead to renewed interest among providers and patients, ensuring Kendizo remains a preferred option even as generics emerge.</w:t>
      </w:r>
    </w:p>
    <w:p w14:paraId="0FEED637" w14:textId="2521135F" w:rsidR="00EC7D69" w:rsidRPr="00EC7D69" w:rsidRDefault="005055E1" w:rsidP="005055E1">
      <w:pPr>
        <w:rPr>
          <w:lang w:val="en-GB"/>
        </w:rPr>
      </w:pPr>
      <w:r>
        <w:rPr>
          <w:b/>
          <w:bCs/>
          <w:lang w:val="en-GB"/>
        </w:rPr>
        <w:t xml:space="preserve">3. </w:t>
      </w:r>
      <w:r w:rsidR="00EC7D69" w:rsidRPr="00EC7D69">
        <w:rPr>
          <w:b/>
          <w:bCs/>
          <w:lang w:val="en-GB"/>
        </w:rPr>
        <w:t>Re-indication</w:t>
      </w:r>
      <w:r w:rsidR="00EC7D69" w:rsidRPr="00EC7D69">
        <w:rPr>
          <w:lang w:val="en-GB"/>
        </w:rPr>
        <w:br/>
        <w:t>Expanding Kendizo’s indications to new cancer types or conditions with unmet needs is another strategy to maximize its pre-expiry value. Early studies indicate Kendizo’s potential efficacy in treating advanced melanoma and kidney cancer, which could open additional markets and revenue streams</w:t>
      </w:r>
      <w:r>
        <w:rPr>
          <w:lang w:val="en-GB"/>
        </w:rPr>
        <w:t xml:space="preserve"> (Exhibit G)</w:t>
      </w:r>
      <w:r w:rsidR="00EC7D69" w:rsidRPr="00EC7D69">
        <w:rPr>
          <w:lang w:val="en-GB"/>
        </w:rPr>
        <w:t>. By conducting clinical trials and gaining approvals for these indications, Zile could retain exclusivity over these new indications even if generic competitors enter the market for the original uses. Re-indicating Kendizo for additional cancers allows Zile to continue marketing Kendizo exclusively for these new conditions, potentially avoiding ASP reductions and sustaining revenue.</w:t>
      </w:r>
    </w:p>
    <w:p w14:paraId="0CD8FAA1" w14:textId="6D75F9C6" w:rsidR="00EC7D69" w:rsidRPr="00EC7D69" w:rsidRDefault="005055E1" w:rsidP="005055E1">
      <w:pPr>
        <w:rPr>
          <w:lang w:val="en-GB"/>
        </w:rPr>
      </w:pPr>
      <w:r>
        <w:rPr>
          <w:b/>
          <w:bCs/>
          <w:lang w:val="en-GB"/>
        </w:rPr>
        <w:t xml:space="preserve">4. </w:t>
      </w:r>
      <w:r w:rsidR="00EC7D69" w:rsidRPr="00EC7D69">
        <w:rPr>
          <w:b/>
          <w:bCs/>
          <w:lang w:val="en-GB"/>
        </w:rPr>
        <w:t>Pricing Strategy</w:t>
      </w:r>
      <w:r w:rsidR="00EC7D69" w:rsidRPr="00EC7D69">
        <w:rPr>
          <w:lang w:val="en-GB"/>
        </w:rPr>
        <w:br/>
        <w:t xml:space="preserve">Implementing a pricing strategy that gradually reduces Kendizo’s price in the lead-up to patent expiry can help Zile retain its patient base as generic competition approaches. This gradual price reduction could involve strategic discounts or rebate programs, particularly targeted at Medicare patients, </w:t>
      </w:r>
      <w:r w:rsidR="00C73646">
        <w:rPr>
          <w:lang w:val="en-GB"/>
        </w:rPr>
        <w:t>representing</w:t>
      </w:r>
      <w:r w:rsidR="00EC7D69" w:rsidRPr="00EC7D69">
        <w:rPr>
          <w:lang w:val="en-GB"/>
        </w:rPr>
        <w:t xml:space="preserve"> a substantial portion of Kendizo’s user base. </w:t>
      </w:r>
      <w:r w:rsidR="00C73646">
        <w:rPr>
          <w:lang w:val="en-GB"/>
        </w:rPr>
        <w:t>Zile can mitigate revenue erosion by offering competitive pricing to retain patients who may consider switching to generics</w:t>
      </w:r>
      <w:r w:rsidR="00EC7D69" w:rsidRPr="00EC7D69">
        <w:rPr>
          <w:lang w:val="en-GB"/>
        </w:rPr>
        <w:t>. Gradually lowering Kendizo’s price could help Zile align with Medicare pricing regulations and avoid significant revenue loss from patients transitioning to lower-cost generics</w:t>
      </w:r>
      <w:r>
        <w:rPr>
          <w:lang w:val="en-GB"/>
        </w:rPr>
        <w:t xml:space="preserve"> (</w:t>
      </w:r>
      <w:r w:rsidRPr="00EC7D69">
        <w:rPr>
          <w:i/>
          <w:iCs/>
          <w:lang w:val="en-GB"/>
        </w:rPr>
        <w:t>Exhibit F</w:t>
      </w:r>
      <w:r>
        <w:rPr>
          <w:i/>
          <w:iCs/>
          <w:lang w:val="en-GB"/>
        </w:rPr>
        <w:t>)</w:t>
      </w:r>
      <w:r w:rsidR="00EC7D69" w:rsidRPr="00EC7D69">
        <w:rPr>
          <w:lang w:val="en-GB"/>
        </w:rPr>
        <w:t>.</w:t>
      </w:r>
    </w:p>
    <w:p w14:paraId="1E99CA71" w14:textId="322BB66E" w:rsidR="005055E1" w:rsidRDefault="005055E1">
      <w:pPr>
        <w:rPr>
          <w:lang w:val="en-GB"/>
        </w:rPr>
      </w:pPr>
      <w:r>
        <w:rPr>
          <w:lang w:val="en-GB"/>
        </w:rPr>
        <w:br w:type="page"/>
      </w:r>
    </w:p>
    <w:p w14:paraId="7FBC85D0" w14:textId="77777777" w:rsidR="005055E1" w:rsidRPr="005055E1" w:rsidRDefault="005055E1" w:rsidP="005055E1">
      <w:pPr>
        <w:rPr>
          <w:b/>
          <w:bCs/>
          <w:lang w:val="en-GB"/>
        </w:rPr>
      </w:pPr>
      <w:r w:rsidRPr="005055E1">
        <w:rPr>
          <w:b/>
          <w:bCs/>
          <w:lang w:val="en-GB"/>
        </w:rPr>
        <w:t>Strategies to Maximize Kendizo’s Post-Expiry Value</w:t>
      </w:r>
    </w:p>
    <w:p w14:paraId="7E667C29" w14:textId="23CC2A2D" w:rsidR="005055E1" w:rsidRPr="005055E1" w:rsidRDefault="005055E1" w:rsidP="005055E1">
      <w:pPr>
        <w:rPr>
          <w:lang w:val="en-GB"/>
        </w:rPr>
      </w:pPr>
      <w:r>
        <w:rPr>
          <w:b/>
          <w:bCs/>
          <w:lang w:val="en-GB"/>
        </w:rPr>
        <w:t xml:space="preserve">1. </w:t>
      </w:r>
      <w:r w:rsidRPr="005055E1">
        <w:rPr>
          <w:b/>
          <w:bCs/>
          <w:lang w:val="en-GB"/>
        </w:rPr>
        <w:t>Develop a Next-Generation Drug</w:t>
      </w:r>
      <w:r w:rsidRPr="005055E1">
        <w:rPr>
          <w:lang w:val="en-GB"/>
        </w:rPr>
        <w:t xml:space="preserve"> Investing in a next-generation version of Kendizo</w:t>
      </w:r>
      <w:r w:rsidR="002B1381">
        <w:rPr>
          <w:lang w:val="en-GB"/>
        </w:rPr>
        <w:t xml:space="preserve"> (</w:t>
      </w:r>
      <w:r w:rsidR="002B1381" w:rsidRPr="005055E1">
        <w:rPr>
          <w:lang w:val="en-GB"/>
        </w:rPr>
        <w:t>Zile’s oncology R&amp;D allocation is its largest at $5.35 billion</w:t>
      </w:r>
      <w:r w:rsidR="002B1381">
        <w:rPr>
          <w:lang w:val="en-GB"/>
        </w:rPr>
        <w:t xml:space="preserve"> – Exhibit A)</w:t>
      </w:r>
      <w:r w:rsidRPr="005055E1">
        <w:rPr>
          <w:lang w:val="en-GB"/>
        </w:rPr>
        <w:t>, potentially with enhanced efficacy or safety, can help Zile retain patient loyalty and compete against generic options. By launching this new version close to Kendizo’s patent expiry, Zile could effectively transition existing Kendizo users to the next-generation product, sustaining revenue even after generics enter the market. Developing an improved drug could build on Kendizo's brand strength while addressing limitations that generics may not replicate. This approach also leverages Zile’s strengths in R&amp;D</w:t>
      </w:r>
      <w:r w:rsidR="002B1381">
        <w:rPr>
          <w:lang w:val="en-GB"/>
        </w:rPr>
        <w:t xml:space="preserve"> (Exhibit A)</w:t>
      </w:r>
      <w:r w:rsidRPr="005055E1">
        <w:rPr>
          <w:lang w:val="en-GB"/>
        </w:rPr>
        <w:t>, ensuring Kendizo’s successor offers clear benefits that incentivize users to stick with Zile’s products rather than switch to generics.</w:t>
      </w:r>
    </w:p>
    <w:p w14:paraId="3674C796" w14:textId="0D471AC7" w:rsidR="005055E1" w:rsidRPr="005055E1" w:rsidRDefault="002B1381" w:rsidP="002B1381">
      <w:pPr>
        <w:rPr>
          <w:lang w:val="en-GB"/>
        </w:rPr>
      </w:pPr>
      <w:r>
        <w:rPr>
          <w:b/>
          <w:bCs/>
          <w:lang w:val="en-GB"/>
        </w:rPr>
        <w:t xml:space="preserve">2. </w:t>
      </w:r>
      <w:r w:rsidR="005055E1" w:rsidRPr="005055E1">
        <w:rPr>
          <w:b/>
          <w:bCs/>
          <w:lang w:val="en-GB"/>
        </w:rPr>
        <w:t>Re-purpose for New Therapeutic Areas</w:t>
      </w:r>
      <w:r w:rsidR="005055E1" w:rsidRPr="005055E1">
        <w:rPr>
          <w:lang w:val="en-GB"/>
        </w:rPr>
        <w:t xml:space="preserve"> Another strategy for extending Kendizo’s market life involves re-purposing it for non-oncological therapeutic areas where similar molecular pathways are relevant. Expanding into chronic or non-cancer conditions could diversify Kendizo’s indications, targeting conditions with unmet needs and extending its utility beyond the original cancer indications</w:t>
      </w:r>
      <w:r w:rsidR="00EA68AF">
        <w:rPr>
          <w:lang w:val="en-GB"/>
        </w:rPr>
        <w:t xml:space="preserve"> (</w:t>
      </w:r>
      <w:r w:rsidR="00EA68AF" w:rsidRPr="005055E1">
        <w:rPr>
          <w:i/>
          <w:iCs/>
          <w:lang w:val="en-GB"/>
        </w:rPr>
        <w:t>Exhibit G</w:t>
      </w:r>
      <w:r w:rsidR="00EA68AF">
        <w:rPr>
          <w:i/>
          <w:iCs/>
          <w:lang w:val="en-GB"/>
        </w:rPr>
        <w:t>)</w:t>
      </w:r>
      <w:r w:rsidR="005055E1" w:rsidRPr="005055E1">
        <w:rPr>
          <w:lang w:val="en-GB"/>
        </w:rPr>
        <w:t xml:space="preserve">. This approach could open new revenue streams while bypassing generic competition, typically tied to the original indications. Exploring therapeutic areas like autoimmune diseases or metabolic conditions—where Zile already </w:t>
      </w:r>
      <w:r w:rsidR="00DF745D">
        <w:rPr>
          <w:lang w:val="en-GB"/>
        </w:rPr>
        <w:t>exists</w:t>
      </w:r>
      <w:r w:rsidR="005055E1" w:rsidRPr="005055E1">
        <w:rPr>
          <w:lang w:val="en-GB"/>
        </w:rPr>
        <w:t>—could lead to synergies within the company’s portfolio.</w:t>
      </w:r>
    </w:p>
    <w:p w14:paraId="253F05DB" w14:textId="7CD89618" w:rsidR="005055E1" w:rsidRPr="005055E1" w:rsidRDefault="00EA68AF" w:rsidP="00EA68AF">
      <w:pPr>
        <w:rPr>
          <w:lang w:val="en-GB"/>
        </w:rPr>
      </w:pPr>
      <w:r>
        <w:rPr>
          <w:b/>
          <w:bCs/>
          <w:lang w:val="en-GB"/>
        </w:rPr>
        <w:t xml:space="preserve">3. </w:t>
      </w:r>
      <w:r w:rsidR="005055E1" w:rsidRPr="005055E1">
        <w:rPr>
          <w:b/>
          <w:bCs/>
          <w:lang w:val="en-GB"/>
        </w:rPr>
        <w:t>Change Route of Administration</w:t>
      </w:r>
      <w:r w:rsidR="005055E1" w:rsidRPr="005055E1">
        <w:rPr>
          <w:lang w:val="en-GB"/>
        </w:rPr>
        <w:t xml:space="preserve"> Altering Kendizo’s route of administration, such as developing an extended-release oral format</w:t>
      </w:r>
      <w:r>
        <w:rPr>
          <w:lang w:val="en-GB"/>
        </w:rPr>
        <w:t xml:space="preserve"> (</w:t>
      </w:r>
      <w:r w:rsidRPr="005055E1">
        <w:rPr>
          <w:i/>
          <w:iCs/>
          <w:lang w:val="en-GB"/>
        </w:rPr>
        <w:t>Exhibit F</w:t>
      </w:r>
      <w:r>
        <w:rPr>
          <w:i/>
          <w:iCs/>
          <w:lang w:val="en-GB"/>
        </w:rPr>
        <w:t>)</w:t>
      </w:r>
      <w:r w:rsidR="005055E1" w:rsidRPr="005055E1">
        <w:rPr>
          <w:lang w:val="en-GB"/>
        </w:rPr>
        <w:t>, could differentiate it from incoming generics and maintain its appeal among patients and providers. This approach would provide a convenience factor that generics may lack and could be particularly appealing if it improves the patient experience or treatment efficacy. Given Kendizo’s history, such reformulation could also allow Zile to pursue additional patent protection on the new administration method, extending some exclusivity in the market.</w:t>
      </w:r>
    </w:p>
    <w:p w14:paraId="4169906D" w14:textId="37A27E09" w:rsidR="005055E1" w:rsidRPr="005055E1" w:rsidRDefault="00EA68AF" w:rsidP="00EA68AF">
      <w:pPr>
        <w:rPr>
          <w:lang w:val="en-GB"/>
        </w:rPr>
      </w:pPr>
      <w:r>
        <w:rPr>
          <w:b/>
          <w:bCs/>
          <w:lang w:val="en-GB"/>
        </w:rPr>
        <w:t xml:space="preserve">4. </w:t>
      </w:r>
      <w:r w:rsidR="005055E1" w:rsidRPr="005055E1">
        <w:rPr>
          <w:b/>
          <w:bCs/>
          <w:lang w:val="en-GB"/>
        </w:rPr>
        <w:t>Utilize Skinny Labeling for New Indications</w:t>
      </w:r>
      <w:r w:rsidR="005055E1" w:rsidRPr="005055E1">
        <w:rPr>
          <w:lang w:val="en-GB"/>
        </w:rPr>
        <w:t xml:space="preserve"> Skinny labeling allows Zile to retain exclusive marketing rights over new indications for Kendizo even after the original patent expires. This approach would entail expanding Kendizo’s indications beyond those initially approved and included in generic versions, allowing Zile to maintain revenue from these unique uses without direct competition from generics. </w:t>
      </w:r>
      <w:r w:rsidRPr="005055E1">
        <w:rPr>
          <w:i/>
          <w:iCs/>
          <w:lang w:val="en-GB"/>
        </w:rPr>
        <w:t>Exhibit F</w:t>
      </w:r>
      <w:r w:rsidRPr="005055E1">
        <w:rPr>
          <w:lang w:val="en-GB"/>
        </w:rPr>
        <w:t xml:space="preserve"> reflects Zile’s proactive IP strategy, supporting the potential to maintain exclusivity in select indications as generics enter the market</w:t>
      </w:r>
    </w:p>
    <w:p w14:paraId="520262F1" w14:textId="2ACB3D6B" w:rsidR="00EC7D69" w:rsidRPr="00894CAD" w:rsidRDefault="000B45E1">
      <w:pPr>
        <w:rPr>
          <w:b/>
          <w:bCs/>
          <w:lang w:val="en-GB"/>
        </w:rPr>
      </w:pPr>
      <w:r w:rsidRPr="00FC7A36">
        <w:rPr>
          <w:b/>
          <w:bCs/>
          <w:highlight w:val="yellow"/>
          <w:lang w:val="en-GB"/>
        </w:rPr>
        <w:t>Revenue Diversification reducing dependence on Kendizo</w:t>
      </w:r>
    </w:p>
    <w:p w14:paraId="788C9D1D" w14:textId="15F658C7" w:rsidR="00446098" w:rsidRDefault="00446098">
      <w:r>
        <w:t xml:space="preserve">1. </w:t>
      </w:r>
      <w:r w:rsidRPr="00816B0F">
        <w:rPr>
          <w:b/>
          <w:bCs/>
        </w:rPr>
        <w:t>Acquisition of Belvedere Biosciences</w:t>
      </w:r>
      <w:r w:rsidR="00DF745D">
        <w:rPr>
          <w:b/>
          <w:bCs/>
        </w:rPr>
        <w:t>,</w:t>
      </w:r>
      <w:r w:rsidRPr="00446098">
        <w:t xml:space="preserve"> </w:t>
      </w:r>
      <w:r>
        <w:t xml:space="preserve">which </w:t>
      </w:r>
      <w:r w:rsidRPr="00446098">
        <w:t>has advanced assets targeting autoimmune diseases, including a highly promising biologic for rheumatoid arthritis (RA) and systemic lupus erythematosus (SLE), both significant markets within the immunology space</w:t>
      </w:r>
      <w:r w:rsidR="00816B0F">
        <w:t xml:space="preserve"> at $900M</w:t>
      </w:r>
      <w:r w:rsidRPr="00446098">
        <w:t>. Zile’s immunology segment is growing steadily, accounting for 20% of U.S. revenues in 2023, and expanding this area could significantly bolster Zile's diversification strategy​</w:t>
      </w:r>
      <w:r>
        <w:t xml:space="preserve">. </w:t>
      </w:r>
      <w:r w:rsidRPr="00446098">
        <w:t>The biologic in Belvedere’s pipeline shows strong efficacy data and could be positioned as a best-in-class option in a market dominated by high-revenue drugs like AbbVie’s Humira.</w:t>
      </w:r>
    </w:p>
    <w:p w14:paraId="0795A21A" w14:textId="77777777" w:rsidR="00816B0F" w:rsidRPr="00816B0F" w:rsidRDefault="00446098" w:rsidP="00816B0F">
      <w:pPr>
        <w:rPr>
          <w:lang w:val="en-GB"/>
        </w:rPr>
      </w:pPr>
      <w:r>
        <w:t xml:space="preserve">2. </w:t>
      </w:r>
      <w:r w:rsidR="00816B0F" w:rsidRPr="00816B0F">
        <w:rPr>
          <w:b/>
          <w:bCs/>
          <w:lang w:val="en-GB"/>
        </w:rPr>
        <w:t>Pursue Partnerships and Licensing in Non-Core Areas</w:t>
      </w:r>
    </w:p>
    <w:p w14:paraId="3095E827" w14:textId="4DDE077C" w:rsidR="00816B0F" w:rsidRDefault="00816B0F" w:rsidP="00816B0F">
      <w:pPr>
        <w:rPr>
          <w:lang w:val="en-GB"/>
        </w:rPr>
      </w:pPr>
      <w:r w:rsidRPr="00816B0F">
        <w:rPr>
          <w:lang w:val="en-GB"/>
        </w:rPr>
        <w:t>Given that Velocity</w:t>
      </w:r>
      <w:r>
        <w:rPr>
          <w:lang w:val="en-GB"/>
        </w:rPr>
        <w:t xml:space="preserve"> Sciences</w:t>
      </w:r>
      <w:r w:rsidRPr="00816B0F">
        <w:rPr>
          <w:lang w:val="en-GB"/>
        </w:rPr>
        <w:t xml:space="preserve"> is a smaller, R&amp;D-focused firm, Zile could propose an initial partnership investment </w:t>
      </w:r>
      <w:r w:rsidR="000B45E1">
        <w:rPr>
          <w:lang w:val="en-GB"/>
        </w:rPr>
        <w:t>to support R&amp;D for the m</w:t>
      </w:r>
      <w:r w:rsidR="000B45E1" w:rsidRPr="000B45E1">
        <w:rPr>
          <w:lang w:val="en-GB"/>
        </w:rPr>
        <w:t xml:space="preserve">etabolic </w:t>
      </w:r>
      <w:r w:rsidR="000B45E1">
        <w:rPr>
          <w:lang w:val="en-GB"/>
        </w:rPr>
        <w:t>d</w:t>
      </w:r>
      <w:r w:rsidR="000B45E1" w:rsidRPr="000B45E1">
        <w:rPr>
          <w:lang w:val="en-GB"/>
        </w:rPr>
        <w:t xml:space="preserve">isease and </w:t>
      </w:r>
      <w:r w:rsidR="000B45E1">
        <w:rPr>
          <w:lang w:val="en-GB"/>
        </w:rPr>
        <w:t>p</w:t>
      </w:r>
      <w:r w:rsidR="000B45E1" w:rsidRPr="000B45E1">
        <w:rPr>
          <w:lang w:val="en-GB"/>
        </w:rPr>
        <w:t xml:space="preserve">romising GLP-1 </w:t>
      </w:r>
      <w:r w:rsidR="000B45E1">
        <w:rPr>
          <w:lang w:val="en-GB"/>
        </w:rPr>
        <w:t xml:space="preserve">in exchange </w:t>
      </w:r>
      <w:r w:rsidR="00DF745D">
        <w:rPr>
          <w:lang w:val="en-GB"/>
        </w:rPr>
        <w:t xml:space="preserve">for </w:t>
      </w:r>
      <w:r w:rsidRPr="00816B0F">
        <w:rPr>
          <w:b/>
          <w:bCs/>
          <w:lang w:val="en-GB"/>
        </w:rPr>
        <w:t>securing licensing rights</w:t>
      </w:r>
      <w:r w:rsidRPr="00816B0F">
        <w:rPr>
          <w:lang w:val="en-GB"/>
        </w:rPr>
        <w:t>.</w:t>
      </w:r>
      <w:r w:rsidR="000B45E1">
        <w:rPr>
          <w:lang w:val="en-GB"/>
        </w:rPr>
        <w:t xml:space="preserve"> </w:t>
      </w:r>
      <w:r w:rsidR="000B45E1" w:rsidRPr="000B45E1">
        <w:t>Velocity's GLP-1 agonist, with superior efficacy in weight loss and lipid reduction and a high probability of approval within two years, offers Zile a near-term blockbuster opportunity to reduce reliance on Kendizo's revenue.</w:t>
      </w:r>
    </w:p>
    <w:p w14:paraId="0822AC1B" w14:textId="77777777" w:rsidR="00894CAD" w:rsidRPr="00894CAD" w:rsidRDefault="000B45E1" w:rsidP="00894CAD">
      <w:pPr>
        <w:rPr>
          <w:lang w:val="en-GB"/>
        </w:rPr>
      </w:pPr>
      <w:r>
        <w:rPr>
          <w:lang w:val="en-GB"/>
        </w:rPr>
        <w:t xml:space="preserve">3. </w:t>
      </w:r>
      <w:r w:rsidR="00894CAD" w:rsidRPr="00894CAD">
        <w:rPr>
          <w:b/>
          <w:bCs/>
          <w:lang w:val="en-GB"/>
        </w:rPr>
        <w:t>Enter the Biosimilars Market</w:t>
      </w:r>
    </w:p>
    <w:p w14:paraId="6410B658" w14:textId="701A14D2" w:rsidR="000B45E1" w:rsidRPr="00816B0F" w:rsidRDefault="00894CAD" w:rsidP="00894CAD">
      <w:pPr>
        <w:rPr>
          <w:lang w:val="en-GB"/>
        </w:rPr>
      </w:pPr>
      <w:r w:rsidRPr="00894CAD">
        <w:rPr>
          <w:lang w:val="en-GB"/>
        </w:rPr>
        <w:t>As patents expire across the industry, biosimilars represent a growing opportunity</w:t>
      </w:r>
      <w:r>
        <w:rPr>
          <w:lang w:val="en-GB"/>
        </w:rPr>
        <w:t xml:space="preserve"> (Exhibit H)</w:t>
      </w:r>
      <w:r w:rsidRPr="00894CAD">
        <w:rPr>
          <w:lang w:val="en-GB"/>
        </w:rPr>
        <w:t>. Zile could enter the biosimilar market by creating cost-effective alternatives to existing blockbuster drugs in oncology or immunology, tapping into the demand for affordable treatments.</w:t>
      </w:r>
    </w:p>
    <w:p w14:paraId="2EE5DC8E" w14:textId="68F41E10" w:rsidR="00446098" w:rsidRDefault="00F32AB3">
      <w:pPr>
        <w:rPr>
          <w:lang w:val="en-GB"/>
        </w:rPr>
      </w:pPr>
      <w:r>
        <w:rPr>
          <w:b/>
          <w:bCs/>
          <w:lang w:val="en-GB"/>
        </w:rPr>
        <w:t>Financial Plan</w:t>
      </w:r>
    </w:p>
    <w:tbl>
      <w:tblPr>
        <w:tblW w:w="9680" w:type="dxa"/>
        <w:tblLook w:val="04A0" w:firstRow="1" w:lastRow="0" w:firstColumn="1" w:lastColumn="0" w:noHBand="0" w:noVBand="1"/>
      </w:tblPr>
      <w:tblGrid>
        <w:gridCol w:w="1680"/>
        <w:gridCol w:w="1120"/>
        <w:gridCol w:w="2440"/>
        <w:gridCol w:w="2200"/>
        <w:gridCol w:w="2240"/>
      </w:tblGrid>
      <w:tr w:rsidR="00F32AB3" w:rsidRPr="00F32AB3" w14:paraId="3080C0BF" w14:textId="77777777" w:rsidTr="00F32AB3">
        <w:trPr>
          <w:trHeight w:val="600"/>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74103" w14:textId="77777777" w:rsidR="00F32AB3" w:rsidRPr="00F32AB3" w:rsidRDefault="00F32AB3" w:rsidP="00F32AB3">
            <w:pPr>
              <w:spacing w:after="0" w:line="240" w:lineRule="auto"/>
              <w:jc w:val="center"/>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Area of Fund Allocation</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04C5C179" w14:textId="77777777" w:rsidR="00F32AB3" w:rsidRPr="00F32AB3" w:rsidRDefault="00F32AB3" w:rsidP="00F32AB3">
            <w:pPr>
              <w:spacing w:after="0" w:line="240" w:lineRule="auto"/>
              <w:jc w:val="center"/>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Amount ($B)</w:t>
            </w:r>
          </w:p>
        </w:tc>
        <w:tc>
          <w:tcPr>
            <w:tcW w:w="2440" w:type="dxa"/>
            <w:tcBorders>
              <w:top w:val="single" w:sz="4" w:space="0" w:color="auto"/>
              <w:left w:val="nil"/>
              <w:bottom w:val="single" w:sz="4" w:space="0" w:color="auto"/>
              <w:right w:val="single" w:sz="4" w:space="0" w:color="auto"/>
            </w:tcBorders>
            <w:shd w:val="clear" w:color="auto" w:fill="auto"/>
            <w:vAlign w:val="center"/>
            <w:hideMark/>
          </w:tcPr>
          <w:p w14:paraId="319BE6F8" w14:textId="77777777" w:rsidR="00F32AB3" w:rsidRPr="00F32AB3" w:rsidRDefault="00F32AB3" w:rsidP="00F32AB3">
            <w:pPr>
              <w:spacing w:after="0" w:line="240" w:lineRule="auto"/>
              <w:jc w:val="center"/>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Justification</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44F891C8" w14:textId="77777777" w:rsidR="00F32AB3" w:rsidRPr="00F32AB3" w:rsidRDefault="00F32AB3" w:rsidP="00F32AB3">
            <w:pPr>
              <w:spacing w:after="0" w:line="240" w:lineRule="auto"/>
              <w:jc w:val="center"/>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Expected ROI and Metrics</w:t>
            </w:r>
          </w:p>
        </w:tc>
        <w:tc>
          <w:tcPr>
            <w:tcW w:w="2240" w:type="dxa"/>
            <w:tcBorders>
              <w:top w:val="single" w:sz="4" w:space="0" w:color="auto"/>
              <w:left w:val="nil"/>
              <w:bottom w:val="single" w:sz="4" w:space="0" w:color="auto"/>
              <w:right w:val="single" w:sz="4" w:space="0" w:color="auto"/>
            </w:tcBorders>
            <w:shd w:val="clear" w:color="auto" w:fill="auto"/>
            <w:vAlign w:val="center"/>
            <w:hideMark/>
          </w:tcPr>
          <w:p w14:paraId="0EFD8FC2" w14:textId="77777777" w:rsidR="00F32AB3" w:rsidRPr="00F32AB3" w:rsidRDefault="00F32AB3" w:rsidP="00F32AB3">
            <w:pPr>
              <w:spacing w:after="0" w:line="240" w:lineRule="auto"/>
              <w:jc w:val="center"/>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Supporting Quotes/Exhibits</w:t>
            </w:r>
          </w:p>
        </w:tc>
      </w:tr>
      <w:tr w:rsidR="00F32AB3" w:rsidRPr="00F32AB3" w14:paraId="094FE070" w14:textId="77777777" w:rsidTr="00F32AB3">
        <w:trPr>
          <w:trHeight w:val="900"/>
        </w:trPr>
        <w:tc>
          <w:tcPr>
            <w:tcW w:w="1680" w:type="dxa"/>
            <w:vMerge w:val="restart"/>
            <w:tcBorders>
              <w:top w:val="nil"/>
              <w:left w:val="single" w:sz="4" w:space="0" w:color="auto"/>
              <w:bottom w:val="single" w:sz="4" w:space="0" w:color="auto"/>
              <w:right w:val="single" w:sz="4" w:space="0" w:color="auto"/>
            </w:tcBorders>
            <w:shd w:val="clear" w:color="auto" w:fill="auto"/>
            <w:vAlign w:val="center"/>
            <w:hideMark/>
          </w:tcPr>
          <w:p w14:paraId="566F2CDD"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Next-Generation Oncology Drug Development</w:t>
            </w:r>
          </w:p>
        </w:tc>
        <w:tc>
          <w:tcPr>
            <w:tcW w:w="1120" w:type="dxa"/>
            <w:vMerge w:val="restart"/>
            <w:tcBorders>
              <w:top w:val="nil"/>
              <w:left w:val="single" w:sz="4" w:space="0" w:color="auto"/>
              <w:bottom w:val="single" w:sz="4" w:space="0" w:color="auto"/>
              <w:right w:val="single" w:sz="4" w:space="0" w:color="auto"/>
            </w:tcBorders>
            <w:shd w:val="clear" w:color="auto" w:fill="auto"/>
            <w:vAlign w:val="center"/>
            <w:hideMark/>
          </w:tcPr>
          <w:p w14:paraId="0218ED16"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$1.8</w:t>
            </w:r>
          </w:p>
        </w:tc>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114C0D75"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Investing in R&amp;D for a successor to Kendizo in oncology ensures revenue continuity post-patent expiry, leveraging Zile’s established oncology leadership to maintain market share.</w:t>
            </w:r>
          </w:p>
        </w:tc>
        <w:tc>
          <w:tcPr>
            <w:tcW w:w="2200" w:type="dxa"/>
            <w:tcBorders>
              <w:top w:val="nil"/>
              <w:left w:val="nil"/>
              <w:bottom w:val="single" w:sz="4" w:space="0" w:color="auto"/>
              <w:right w:val="single" w:sz="4" w:space="0" w:color="auto"/>
            </w:tcBorders>
            <w:shd w:val="clear" w:color="auto" w:fill="auto"/>
            <w:vAlign w:val="center"/>
            <w:hideMark/>
          </w:tcPr>
          <w:p w14:paraId="2DACF848"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ROI: 20-25% from sustained oncology revenue</w:t>
            </w:r>
          </w:p>
        </w:tc>
        <w:tc>
          <w:tcPr>
            <w:tcW w:w="2240" w:type="dxa"/>
            <w:tcBorders>
              <w:top w:val="nil"/>
              <w:left w:val="nil"/>
              <w:bottom w:val="single" w:sz="4" w:space="0" w:color="auto"/>
              <w:right w:val="single" w:sz="4" w:space="0" w:color="auto"/>
            </w:tcBorders>
            <w:shd w:val="clear" w:color="auto" w:fill="auto"/>
            <w:vAlign w:val="center"/>
            <w:hideMark/>
          </w:tcPr>
          <w:p w14:paraId="5FBDA42B"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"Zile’s oncology R&amp;D allocation is its largest at $5.35 billion"</w:t>
            </w:r>
            <w:r w:rsidRPr="00F32AB3">
              <w:rPr>
                <w:rFonts w:ascii="Arial" w:eastAsia="Times New Roman" w:hAnsi="Arial" w:cs="Arial"/>
                <w:color w:val="000000"/>
                <w:lang w:val="en-GB" w:eastAsia="en-GB"/>
              </w:rPr>
              <w:t>​</w:t>
            </w:r>
            <w:r w:rsidRPr="00F32AB3">
              <w:rPr>
                <w:rFonts w:ascii="Aptos Narrow" w:eastAsia="Times New Roman" w:hAnsi="Aptos Narrow" w:cs="Times New Roman"/>
                <w:color w:val="000000"/>
                <w:lang w:val="en-GB" w:eastAsia="en-GB"/>
              </w:rPr>
              <w:t xml:space="preserve"> </w:t>
            </w:r>
          </w:p>
        </w:tc>
      </w:tr>
      <w:tr w:rsidR="00F32AB3" w:rsidRPr="00F32AB3" w14:paraId="5A8B7CDA" w14:textId="77777777" w:rsidTr="00F32AB3">
        <w:trPr>
          <w:trHeight w:val="1200"/>
        </w:trPr>
        <w:tc>
          <w:tcPr>
            <w:tcW w:w="1680" w:type="dxa"/>
            <w:vMerge/>
            <w:tcBorders>
              <w:top w:val="nil"/>
              <w:left w:val="single" w:sz="4" w:space="0" w:color="auto"/>
              <w:bottom w:val="single" w:sz="4" w:space="0" w:color="auto"/>
              <w:right w:val="single" w:sz="4" w:space="0" w:color="auto"/>
            </w:tcBorders>
            <w:vAlign w:val="center"/>
            <w:hideMark/>
          </w:tcPr>
          <w:p w14:paraId="5861E1DB"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p>
        </w:tc>
        <w:tc>
          <w:tcPr>
            <w:tcW w:w="1120" w:type="dxa"/>
            <w:vMerge/>
            <w:tcBorders>
              <w:top w:val="nil"/>
              <w:left w:val="single" w:sz="4" w:space="0" w:color="auto"/>
              <w:bottom w:val="single" w:sz="4" w:space="0" w:color="auto"/>
              <w:right w:val="single" w:sz="4" w:space="0" w:color="auto"/>
            </w:tcBorders>
            <w:vAlign w:val="center"/>
            <w:hideMark/>
          </w:tcPr>
          <w:p w14:paraId="3E227F1A"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440" w:type="dxa"/>
            <w:vMerge/>
            <w:tcBorders>
              <w:top w:val="nil"/>
              <w:left w:val="single" w:sz="4" w:space="0" w:color="auto"/>
              <w:bottom w:val="single" w:sz="4" w:space="0" w:color="auto"/>
              <w:right w:val="single" w:sz="4" w:space="0" w:color="auto"/>
            </w:tcBorders>
            <w:vAlign w:val="center"/>
            <w:hideMark/>
          </w:tcPr>
          <w:p w14:paraId="4C72DB8A"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200" w:type="dxa"/>
            <w:tcBorders>
              <w:top w:val="nil"/>
              <w:left w:val="nil"/>
              <w:bottom w:val="single" w:sz="4" w:space="0" w:color="auto"/>
              <w:right w:val="single" w:sz="4" w:space="0" w:color="auto"/>
            </w:tcBorders>
            <w:shd w:val="clear" w:color="auto" w:fill="auto"/>
            <w:vAlign w:val="center"/>
            <w:hideMark/>
          </w:tcPr>
          <w:p w14:paraId="6D5D27D4"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Metrics: Phase III trial by 2029, patient retention at 70% post-launch</w:t>
            </w:r>
          </w:p>
        </w:tc>
        <w:tc>
          <w:tcPr>
            <w:tcW w:w="2240" w:type="dxa"/>
            <w:tcBorders>
              <w:top w:val="nil"/>
              <w:left w:val="nil"/>
              <w:bottom w:val="single" w:sz="4" w:space="0" w:color="auto"/>
              <w:right w:val="single" w:sz="4" w:space="0" w:color="auto"/>
            </w:tcBorders>
            <w:shd w:val="clear" w:color="auto" w:fill="auto"/>
            <w:vAlign w:val="center"/>
            <w:hideMark/>
          </w:tcPr>
          <w:p w14:paraId="29CDE308" w14:textId="77777777" w:rsidR="00F32AB3" w:rsidRPr="00F32AB3" w:rsidRDefault="00F32AB3" w:rsidP="00F32AB3">
            <w:pPr>
              <w:spacing w:after="0" w:line="240" w:lineRule="auto"/>
              <w:rPr>
                <w:rFonts w:ascii="Aptos Narrow" w:eastAsia="Times New Roman" w:hAnsi="Aptos Narrow" w:cs="Times New Roman"/>
                <w:i/>
                <w:iCs/>
                <w:color w:val="000000"/>
                <w:lang w:val="en-GB" w:eastAsia="en-GB"/>
              </w:rPr>
            </w:pPr>
            <w:r w:rsidRPr="00F32AB3">
              <w:rPr>
                <w:rFonts w:ascii="Aptos Narrow" w:eastAsia="Times New Roman" w:hAnsi="Aptos Narrow" w:cs="Times New Roman"/>
                <w:i/>
                <w:iCs/>
                <w:color w:val="000000"/>
                <w:lang w:val="en-GB" w:eastAsia="en-GB"/>
              </w:rPr>
              <w:t xml:space="preserve">Exhibit A: R&amp;D Allocation </w:t>
            </w:r>
          </w:p>
        </w:tc>
      </w:tr>
      <w:tr w:rsidR="00F32AB3" w:rsidRPr="00F32AB3" w14:paraId="4946E78F" w14:textId="77777777" w:rsidTr="00F32AB3">
        <w:trPr>
          <w:trHeight w:val="900"/>
        </w:trPr>
        <w:tc>
          <w:tcPr>
            <w:tcW w:w="1680" w:type="dxa"/>
            <w:vMerge w:val="restart"/>
            <w:tcBorders>
              <w:top w:val="nil"/>
              <w:left w:val="single" w:sz="4" w:space="0" w:color="auto"/>
              <w:bottom w:val="single" w:sz="4" w:space="0" w:color="auto"/>
              <w:right w:val="single" w:sz="4" w:space="0" w:color="auto"/>
            </w:tcBorders>
            <w:shd w:val="clear" w:color="auto" w:fill="auto"/>
            <w:vAlign w:val="center"/>
            <w:hideMark/>
          </w:tcPr>
          <w:p w14:paraId="344193F5"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Acquisition in Immunology (e.g., Belvedere)</w:t>
            </w:r>
          </w:p>
        </w:tc>
        <w:tc>
          <w:tcPr>
            <w:tcW w:w="1120" w:type="dxa"/>
            <w:vMerge w:val="restart"/>
            <w:tcBorders>
              <w:top w:val="nil"/>
              <w:left w:val="single" w:sz="4" w:space="0" w:color="auto"/>
              <w:bottom w:val="single" w:sz="4" w:space="0" w:color="auto"/>
              <w:right w:val="single" w:sz="4" w:space="0" w:color="auto"/>
            </w:tcBorders>
            <w:shd w:val="clear" w:color="auto" w:fill="auto"/>
            <w:vAlign w:val="center"/>
            <w:hideMark/>
          </w:tcPr>
          <w:p w14:paraId="52D5F2E6"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$3.5</w:t>
            </w:r>
          </w:p>
        </w:tc>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74D433AC"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Acquiring Belvedere Biosciences to enhance the immunology portfolio, specifically targeting high-growth RA and SLE segments, which align with rising immunology demand.</w:t>
            </w:r>
          </w:p>
        </w:tc>
        <w:tc>
          <w:tcPr>
            <w:tcW w:w="2200" w:type="dxa"/>
            <w:tcBorders>
              <w:top w:val="nil"/>
              <w:left w:val="nil"/>
              <w:bottom w:val="single" w:sz="4" w:space="0" w:color="auto"/>
              <w:right w:val="single" w:sz="4" w:space="0" w:color="auto"/>
            </w:tcBorders>
            <w:shd w:val="clear" w:color="auto" w:fill="auto"/>
            <w:vAlign w:val="center"/>
            <w:hideMark/>
          </w:tcPr>
          <w:p w14:paraId="0BCF50B0"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ROI: 15% increase in immunology revenue over 3 years</w:t>
            </w:r>
          </w:p>
        </w:tc>
        <w:tc>
          <w:tcPr>
            <w:tcW w:w="2240" w:type="dxa"/>
            <w:vMerge w:val="restart"/>
            <w:tcBorders>
              <w:top w:val="nil"/>
              <w:left w:val="single" w:sz="4" w:space="0" w:color="auto"/>
              <w:bottom w:val="single" w:sz="4" w:space="0" w:color="auto"/>
              <w:right w:val="single" w:sz="4" w:space="0" w:color="auto"/>
            </w:tcBorders>
            <w:shd w:val="clear" w:color="auto" w:fill="auto"/>
            <w:vAlign w:val="center"/>
            <w:hideMark/>
          </w:tcPr>
          <w:p w14:paraId="2B572583"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"Belvedere... targeting autoimmune diseases including a highly promising biologic"</w:t>
            </w:r>
            <w:r w:rsidRPr="00F32AB3">
              <w:rPr>
                <w:rFonts w:ascii="Arial" w:eastAsia="Times New Roman" w:hAnsi="Arial" w:cs="Arial"/>
                <w:color w:val="000000"/>
                <w:lang w:val="en-GB" w:eastAsia="en-GB"/>
              </w:rPr>
              <w:t>​</w:t>
            </w:r>
            <w:r w:rsidRPr="00F32AB3">
              <w:rPr>
                <w:rFonts w:ascii="Aptos Narrow" w:eastAsia="Times New Roman" w:hAnsi="Aptos Narrow" w:cs="Times New Roman"/>
                <w:color w:val="000000"/>
                <w:lang w:val="en-GB" w:eastAsia="en-GB"/>
              </w:rPr>
              <w:t xml:space="preserve"> </w:t>
            </w:r>
          </w:p>
        </w:tc>
      </w:tr>
      <w:tr w:rsidR="00F32AB3" w:rsidRPr="00F32AB3" w14:paraId="30BAB4F3" w14:textId="77777777" w:rsidTr="00F32AB3">
        <w:trPr>
          <w:trHeight w:val="1680"/>
        </w:trPr>
        <w:tc>
          <w:tcPr>
            <w:tcW w:w="1680" w:type="dxa"/>
            <w:vMerge/>
            <w:tcBorders>
              <w:top w:val="nil"/>
              <w:left w:val="single" w:sz="4" w:space="0" w:color="auto"/>
              <w:bottom w:val="single" w:sz="4" w:space="0" w:color="auto"/>
              <w:right w:val="single" w:sz="4" w:space="0" w:color="auto"/>
            </w:tcBorders>
            <w:vAlign w:val="center"/>
            <w:hideMark/>
          </w:tcPr>
          <w:p w14:paraId="402E320A"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p>
        </w:tc>
        <w:tc>
          <w:tcPr>
            <w:tcW w:w="1120" w:type="dxa"/>
            <w:vMerge/>
            <w:tcBorders>
              <w:top w:val="nil"/>
              <w:left w:val="single" w:sz="4" w:space="0" w:color="auto"/>
              <w:bottom w:val="single" w:sz="4" w:space="0" w:color="auto"/>
              <w:right w:val="single" w:sz="4" w:space="0" w:color="auto"/>
            </w:tcBorders>
            <w:vAlign w:val="center"/>
            <w:hideMark/>
          </w:tcPr>
          <w:p w14:paraId="47428259"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440" w:type="dxa"/>
            <w:vMerge/>
            <w:tcBorders>
              <w:top w:val="nil"/>
              <w:left w:val="single" w:sz="4" w:space="0" w:color="auto"/>
              <w:bottom w:val="single" w:sz="4" w:space="0" w:color="auto"/>
              <w:right w:val="single" w:sz="4" w:space="0" w:color="auto"/>
            </w:tcBorders>
            <w:vAlign w:val="center"/>
            <w:hideMark/>
          </w:tcPr>
          <w:p w14:paraId="5D8F6C91"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200" w:type="dxa"/>
            <w:tcBorders>
              <w:top w:val="nil"/>
              <w:left w:val="nil"/>
              <w:bottom w:val="single" w:sz="4" w:space="0" w:color="auto"/>
              <w:right w:val="single" w:sz="4" w:space="0" w:color="auto"/>
            </w:tcBorders>
            <w:shd w:val="clear" w:color="auto" w:fill="auto"/>
            <w:vAlign w:val="center"/>
            <w:hideMark/>
          </w:tcPr>
          <w:p w14:paraId="6244E784"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Metrics: Acquisition completion, integration by 2026</w:t>
            </w:r>
          </w:p>
        </w:tc>
        <w:tc>
          <w:tcPr>
            <w:tcW w:w="2240" w:type="dxa"/>
            <w:vMerge/>
            <w:tcBorders>
              <w:top w:val="nil"/>
              <w:left w:val="single" w:sz="4" w:space="0" w:color="auto"/>
              <w:bottom w:val="single" w:sz="4" w:space="0" w:color="auto"/>
              <w:right w:val="single" w:sz="4" w:space="0" w:color="auto"/>
            </w:tcBorders>
            <w:vAlign w:val="center"/>
            <w:hideMark/>
          </w:tcPr>
          <w:p w14:paraId="0872A1ED"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r>
      <w:tr w:rsidR="00F32AB3" w:rsidRPr="00F32AB3" w14:paraId="7C8CDB5F" w14:textId="77777777" w:rsidTr="00F32AB3">
        <w:trPr>
          <w:trHeight w:val="900"/>
        </w:trPr>
        <w:tc>
          <w:tcPr>
            <w:tcW w:w="1680" w:type="dxa"/>
            <w:vMerge w:val="restart"/>
            <w:tcBorders>
              <w:top w:val="nil"/>
              <w:left w:val="single" w:sz="4" w:space="0" w:color="auto"/>
              <w:bottom w:val="single" w:sz="4" w:space="0" w:color="auto"/>
              <w:right w:val="single" w:sz="4" w:space="0" w:color="auto"/>
            </w:tcBorders>
            <w:shd w:val="clear" w:color="auto" w:fill="auto"/>
            <w:vAlign w:val="center"/>
            <w:hideMark/>
          </w:tcPr>
          <w:p w14:paraId="05BC9C6E"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Expansion in Metabolic Disease (GLP-1)</w:t>
            </w:r>
          </w:p>
        </w:tc>
        <w:tc>
          <w:tcPr>
            <w:tcW w:w="1120" w:type="dxa"/>
            <w:vMerge w:val="restart"/>
            <w:tcBorders>
              <w:top w:val="nil"/>
              <w:left w:val="single" w:sz="4" w:space="0" w:color="auto"/>
              <w:bottom w:val="single" w:sz="4" w:space="0" w:color="auto"/>
              <w:right w:val="single" w:sz="4" w:space="0" w:color="auto"/>
            </w:tcBorders>
            <w:shd w:val="clear" w:color="auto" w:fill="auto"/>
            <w:vAlign w:val="center"/>
            <w:hideMark/>
          </w:tcPr>
          <w:p w14:paraId="2FC9ECBF"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$0.7</w:t>
            </w:r>
          </w:p>
        </w:tc>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708C2B7C"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Partnering with Velocity Sciences for GLP-1 agonist development positions Zile to capture significant market share in the expanding obesity/diabetes segment, reducing Kendizo dependence.</w:t>
            </w:r>
          </w:p>
        </w:tc>
        <w:tc>
          <w:tcPr>
            <w:tcW w:w="2200" w:type="dxa"/>
            <w:tcBorders>
              <w:top w:val="nil"/>
              <w:left w:val="nil"/>
              <w:bottom w:val="single" w:sz="4" w:space="0" w:color="auto"/>
              <w:right w:val="single" w:sz="4" w:space="0" w:color="auto"/>
            </w:tcBorders>
            <w:shd w:val="clear" w:color="auto" w:fill="auto"/>
            <w:vAlign w:val="center"/>
            <w:hideMark/>
          </w:tcPr>
          <w:p w14:paraId="4C6D148E"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ROI: 10% market share in metabolic disease by 2027</w:t>
            </w:r>
          </w:p>
        </w:tc>
        <w:tc>
          <w:tcPr>
            <w:tcW w:w="2240" w:type="dxa"/>
            <w:tcBorders>
              <w:top w:val="nil"/>
              <w:left w:val="nil"/>
              <w:bottom w:val="single" w:sz="4" w:space="0" w:color="auto"/>
              <w:right w:val="single" w:sz="4" w:space="0" w:color="auto"/>
            </w:tcBorders>
            <w:shd w:val="clear" w:color="auto" w:fill="auto"/>
            <w:vAlign w:val="center"/>
            <w:hideMark/>
          </w:tcPr>
          <w:p w14:paraId="0FBA63A1"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 xml:space="preserve">"GLP-1 agonists... market size of &gt;$125B in the country by 2033" </w:t>
            </w:r>
          </w:p>
        </w:tc>
      </w:tr>
      <w:tr w:rsidR="00F32AB3" w:rsidRPr="00F32AB3" w14:paraId="5232A36F" w14:textId="77777777" w:rsidTr="00F32AB3">
        <w:trPr>
          <w:trHeight w:val="1950"/>
        </w:trPr>
        <w:tc>
          <w:tcPr>
            <w:tcW w:w="1680" w:type="dxa"/>
            <w:vMerge/>
            <w:tcBorders>
              <w:top w:val="nil"/>
              <w:left w:val="single" w:sz="4" w:space="0" w:color="auto"/>
              <w:bottom w:val="single" w:sz="4" w:space="0" w:color="auto"/>
              <w:right w:val="single" w:sz="4" w:space="0" w:color="auto"/>
            </w:tcBorders>
            <w:vAlign w:val="center"/>
            <w:hideMark/>
          </w:tcPr>
          <w:p w14:paraId="42C8BB15"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p>
        </w:tc>
        <w:tc>
          <w:tcPr>
            <w:tcW w:w="1120" w:type="dxa"/>
            <w:vMerge/>
            <w:tcBorders>
              <w:top w:val="nil"/>
              <w:left w:val="single" w:sz="4" w:space="0" w:color="auto"/>
              <w:bottom w:val="single" w:sz="4" w:space="0" w:color="auto"/>
              <w:right w:val="single" w:sz="4" w:space="0" w:color="auto"/>
            </w:tcBorders>
            <w:vAlign w:val="center"/>
            <w:hideMark/>
          </w:tcPr>
          <w:p w14:paraId="29BDD9F0"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440" w:type="dxa"/>
            <w:vMerge/>
            <w:tcBorders>
              <w:top w:val="nil"/>
              <w:left w:val="single" w:sz="4" w:space="0" w:color="auto"/>
              <w:bottom w:val="single" w:sz="4" w:space="0" w:color="auto"/>
              <w:right w:val="single" w:sz="4" w:space="0" w:color="auto"/>
            </w:tcBorders>
            <w:vAlign w:val="center"/>
            <w:hideMark/>
          </w:tcPr>
          <w:p w14:paraId="735EA6B3"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200" w:type="dxa"/>
            <w:tcBorders>
              <w:top w:val="nil"/>
              <w:left w:val="nil"/>
              <w:bottom w:val="single" w:sz="4" w:space="0" w:color="auto"/>
              <w:right w:val="single" w:sz="4" w:space="0" w:color="auto"/>
            </w:tcBorders>
            <w:shd w:val="clear" w:color="auto" w:fill="auto"/>
            <w:vAlign w:val="center"/>
            <w:hideMark/>
          </w:tcPr>
          <w:p w14:paraId="112E0B0E"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Metrics: Market launch of GLP-1 product within 2 years</w:t>
            </w:r>
          </w:p>
        </w:tc>
        <w:tc>
          <w:tcPr>
            <w:tcW w:w="2240" w:type="dxa"/>
            <w:tcBorders>
              <w:top w:val="nil"/>
              <w:left w:val="nil"/>
              <w:bottom w:val="single" w:sz="4" w:space="0" w:color="auto"/>
              <w:right w:val="single" w:sz="4" w:space="0" w:color="auto"/>
            </w:tcBorders>
            <w:shd w:val="clear" w:color="auto" w:fill="auto"/>
            <w:vAlign w:val="center"/>
            <w:hideMark/>
          </w:tcPr>
          <w:p w14:paraId="2E6ACC76" w14:textId="77777777" w:rsidR="00F32AB3" w:rsidRPr="00F32AB3" w:rsidRDefault="00F32AB3" w:rsidP="00F32AB3">
            <w:pPr>
              <w:spacing w:after="0" w:line="240" w:lineRule="auto"/>
              <w:rPr>
                <w:rFonts w:ascii="Aptos Narrow" w:eastAsia="Times New Roman" w:hAnsi="Aptos Narrow" w:cs="Times New Roman"/>
                <w:i/>
                <w:iCs/>
                <w:color w:val="000000"/>
                <w:lang w:val="en-GB" w:eastAsia="en-GB"/>
              </w:rPr>
            </w:pPr>
            <w:r w:rsidRPr="00F32AB3">
              <w:rPr>
                <w:rFonts w:ascii="Aptos Narrow" w:eastAsia="Times New Roman" w:hAnsi="Aptos Narrow" w:cs="Times New Roman"/>
                <w:i/>
                <w:iCs/>
                <w:color w:val="000000"/>
                <w:lang w:val="en-GB" w:eastAsia="en-GB"/>
              </w:rPr>
              <w:t>Exhibit H: Revenue Strategies</w:t>
            </w:r>
            <w:r w:rsidRPr="00F32AB3">
              <w:rPr>
                <w:rFonts w:ascii="Arial" w:eastAsia="Times New Roman" w:hAnsi="Arial" w:cs="Arial"/>
                <w:color w:val="000000"/>
                <w:lang w:val="en-GB" w:eastAsia="en-GB"/>
              </w:rPr>
              <w:t>​</w:t>
            </w:r>
            <w:r w:rsidRPr="00F32AB3">
              <w:rPr>
                <w:rFonts w:ascii="Aptos Narrow" w:eastAsia="Times New Roman" w:hAnsi="Aptos Narrow" w:cs="Times New Roman"/>
                <w:i/>
                <w:iCs/>
                <w:color w:val="000000"/>
                <w:lang w:val="en-GB" w:eastAsia="en-GB"/>
              </w:rPr>
              <w:t xml:space="preserve"> </w:t>
            </w:r>
          </w:p>
        </w:tc>
      </w:tr>
      <w:tr w:rsidR="00F32AB3" w:rsidRPr="00F32AB3" w14:paraId="7A406B4B" w14:textId="77777777" w:rsidTr="00F32AB3">
        <w:trPr>
          <w:trHeight w:val="900"/>
        </w:trPr>
        <w:tc>
          <w:tcPr>
            <w:tcW w:w="1680" w:type="dxa"/>
            <w:vMerge w:val="restart"/>
            <w:tcBorders>
              <w:top w:val="nil"/>
              <w:left w:val="single" w:sz="4" w:space="0" w:color="auto"/>
              <w:bottom w:val="single" w:sz="4" w:space="0" w:color="auto"/>
              <w:right w:val="single" w:sz="4" w:space="0" w:color="auto"/>
            </w:tcBorders>
            <w:shd w:val="clear" w:color="auto" w:fill="auto"/>
            <w:vAlign w:val="center"/>
            <w:hideMark/>
          </w:tcPr>
          <w:p w14:paraId="7BB4A79F"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Biosimilars Market Entry</w:t>
            </w:r>
          </w:p>
        </w:tc>
        <w:tc>
          <w:tcPr>
            <w:tcW w:w="1120" w:type="dxa"/>
            <w:vMerge w:val="restart"/>
            <w:tcBorders>
              <w:top w:val="nil"/>
              <w:left w:val="single" w:sz="4" w:space="0" w:color="auto"/>
              <w:bottom w:val="single" w:sz="4" w:space="0" w:color="auto"/>
              <w:right w:val="single" w:sz="4" w:space="0" w:color="auto"/>
            </w:tcBorders>
            <w:shd w:val="clear" w:color="auto" w:fill="auto"/>
            <w:vAlign w:val="center"/>
            <w:hideMark/>
          </w:tcPr>
          <w:p w14:paraId="5C8F77D8"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$0.6</w:t>
            </w:r>
          </w:p>
        </w:tc>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06F587B1"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Entry into biosimilars for high-demand oncology and immunology drugs provides Zile access to cost-sensitive markets, counterbalancing revenue loss from Kendizo generics post-2031.</w:t>
            </w:r>
          </w:p>
        </w:tc>
        <w:tc>
          <w:tcPr>
            <w:tcW w:w="2200" w:type="dxa"/>
            <w:tcBorders>
              <w:top w:val="nil"/>
              <w:left w:val="nil"/>
              <w:bottom w:val="single" w:sz="4" w:space="0" w:color="auto"/>
              <w:right w:val="single" w:sz="4" w:space="0" w:color="auto"/>
            </w:tcBorders>
            <w:shd w:val="clear" w:color="auto" w:fill="auto"/>
            <w:vAlign w:val="center"/>
            <w:hideMark/>
          </w:tcPr>
          <w:p w14:paraId="14634C33"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ROI: Capture 20% market share in target biosimilars</w:t>
            </w:r>
          </w:p>
        </w:tc>
        <w:tc>
          <w:tcPr>
            <w:tcW w:w="2240" w:type="dxa"/>
            <w:vMerge w:val="restart"/>
            <w:tcBorders>
              <w:top w:val="nil"/>
              <w:left w:val="single" w:sz="4" w:space="0" w:color="auto"/>
              <w:bottom w:val="single" w:sz="4" w:space="0" w:color="auto"/>
              <w:right w:val="single" w:sz="4" w:space="0" w:color="auto"/>
            </w:tcBorders>
            <w:shd w:val="clear" w:color="auto" w:fill="auto"/>
            <w:vAlign w:val="center"/>
            <w:hideMark/>
          </w:tcPr>
          <w:p w14:paraId="406EEB29"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 xml:space="preserve">"Generics and biosimilars reduce... market share and force the originator’s price down" </w:t>
            </w:r>
          </w:p>
        </w:tc>
      </w:tr>
      <w:tr w:rsidR="00F32AB3" w:rsidRPr="00F32AB3" w14:paraId="773DA2ED" w14:textId="77777777" w:rsidTr="00F32AB3">
        <w:trPr>
          <w:trHeight w:val="1500"/>
        </w:trPr>
        <w:tc>
          <w:tcPr>
            <w:tcW w:w="1680" w:type="dxa"/>
            <w:vMerge/>
            <w:tcBorders>
              <w:top w:val="nil"/>
              <w:left w:val="single" w:sz="4" w:space="0" w:color="auto"/>
              <w:bottom w:val="single" w:sz="4" w:space="0" w:color="auto"/>
              <w:right w:val="single" w:sz="4" w:space="0" w:color="auto"/>
            </w:tcBorders>
            <w:vAlign w:val="center"/>
            <w:hideMark/>
          </w:tcPr>
          <w:p w14:paraId="14610F90"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p>
        </w:tc>
        <w:tc>
          <w:tcPr>
            <w:tcW w:w="1120" w:type="dxa"/>
            <w:vMerge/>
            <w:tcBorders>
              <w:top w:val="nil"/>
              <w:left w:val="single" w:sz="4" w:space="0" w:color="auto"/>
              <w:bottom w:val="single" w:sz="4" w:space="0" w:color="auto"/>
              <w:right w:val="single" w:sz="4" w:space="0" w:color="auto"/>
            </w:tcBorders>
            <w:vAlign w:val="center"/>
            <w:hideMark/>
          </w:tcPr>
          <w:p w14:paraId="6A9ECFC4"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440" w:type="dxa"/>
            <w:vMerge/>
            <w:tcBorders>
              <w:top w:val="nil"/>
              <w:left w:val="single" w:sz="4" w:space="0" w:color="auto"/>
              <w:bottom w:val="single" w:sz="4" w:space="0" w:color="auto"/>
              <w:right w:val="single" w:sz="4" w:space="0" w:color="auto"/>
            </w:tcBorders>
            <w:vAlign w:val="center"/>
            <w:hideMark/>
          </w:tcPr>
          <w:p w14:paraId="699584D7"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200" w:type="dxa"/>
            <w:tcBorders>
              <w:top w:val="nil"/>
              <w:left w:val="nil"/>
              <w:bottom w:val="single" w:sz="4" w:space="0" w:color="auto"/>
              <w:right w:val="single" w:sz="4" w:space="0" w:color="auto"/>
            </w:tcBorders>
            <w:shd w:val="clear" w:color="auto" w:fill="auto"/>
            <w:vAlign w:val="center"/>
            <w:hideMark/>
          </w:tcPr>
          <w:p w14:paraId="281628DD"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Metrics: Launch 2 biosimilars by 2032</w:t>
            </w:r>
          </w:p>
        </w:tc>
        <w:tc>
          <w:tcPr>
            <w:tcW w:w="2240" w:type="dxa"/>
            <w:vMerge/>
            <w:tcBorders>
              <w:top w:val="nil"/>
              <w:left w:val="single" w:sz="4" w:space="0" w:color="auto"/>
              <w:bottom w:val="single" w:sz="4" w:space="0" w:color="auto"/>
              <w:right w:val="single" w:sz="4" w:space="0" w:color="auto"/>
            </w:tcBorders>
            <w:vAlign w:val="center"/>
            <w:hideMark/>
          </w:tcPr>
          <w:p w14:paraId="752A6A51"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r>
      <w:tr w:rsidR="00F32AB3" w:rsidRPr="00F32AB3" w14:paraId="402C19AF" w14:textId="77777777" w:rsidTr="00F32AB3">
        <w:trPr>
          <w:trHeight w:val="1200"/>
        </w:trPr>
        <w:tc>
          <w:tcPr>
            <w:tcW w:w="1680" w:type="dxa"/>
            <w:vMerge w:val="restart"/>
            <w:tcBorders>
              <w:top w:val="nil"/>
              <w:left w:val="single" w:sz="4" w:space="0" w:color="auto"/>
              <w:bottom w:val="single" w:sz="4" w:space="0" w:color="auto"/>
              <w:right w:val="single" w:sz="4" w:space="0" w:color="auto"/>
            </w:tcBorders>
            <w:shd w:val="clear" w:color="auto" w:fill="auto"/>
            <w:vAlign w:val="center"/>
            <w:hideMark/>
          </w:tcPr>
          <w:p w14:paraId="12A067E5"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r w:rsidRPr="00F32AB3">
              <w:rPr>
                <w:rFonts w:ascii="Aptos Narrow" w:eastAsia="Times New Roman" w:hAnsi="Aptos Narrow" w:cs="Times New Roman"/>
                <w:b/>
                <w:bCs/>
                <w:color w:val="000000"/>
                <w:lang w:val="en-GB" w:eastAsia="en-GB"/>
              </w:rPr>
              <w:t>Expand Pipeline via Re-Indications and Skinny Labeling</w:t>
            </w:r>
          </w:p>
        </w:tc>
        <w:tc>
          <w:tcPr>
            <w:tcW w:w="1120" w:type="dxa"/>
            <w:vMerge w:val="restart"/>
            <w:tcBorders>
              <w:top w:val="nil"/>
              <w:left w:val="single" w:sz="4" w:space="0" w:color="auto"/>
              <w:bottom w:val="single" w:sz="4" w:space="0" w:color="auto"/>
              <w:right w:val="single" w:sz="4" w:space="0" w:color="auto"/>
            </w:tcBorders>
            <w:shd w:val="clear" w:color="auto" w:fill="auto"/>
            <w:vAlign w:val="center"/>
            <w:hideMark/>
          </w:tcPr>
          <w:p w14:paraId="2EBE712B"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$0.5</w:t>
            </w:r>
          </w:p>
        </w:tc>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5B084235"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Utilizing skinny labeling and re-indications for Kendizo will extend its exclusivity in new therapeutic areas, helping sustain revenue even as generics compete for original indications.</w:t>
            </w:r>
          </w:p>
        </w:tc>
        <w:tc>
          <w:tcPr>
            <w:tcW w:w="2200" w:type="dxa"/>
            <w:tcBorders>
              <w:top w:val="nil"/>
              <w:left w:val="nil"/>
              <w:bottom w:val="single" w:sz="4" w:space="0" w:color="auto"/>
              <w:right w:val="single" w:sz="4" w:space="0" w:color="auto"/>
            </w:tcBorders>
            <w:shd w:val="clear" w:color="auto" w:fill="auto"/>
            <w:vAlign w:val="center"/>
            <w:hideMark/>
          </w:tcPr>
          <w:p w14:paraId="66E0BEF2"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ROI: New indications contribute 10% of oncology revenue by 2031</w:t>
            </w:r>
          </w:p>
        </w:tc>
        <w:tc>
          <w:tcPr>
            <w:tcW w:w="2240" w:type="dxa"/>
            <w:tcBorders>
              <w:top w:val="nil"/>
              <w:left w:val="nil"/>
              <w:bottom w:val="single" w:sz="4" w:space="0" w:color="auto"/>
              <w:right w:val="single" w:sz="4" w:space="0" w:color="auto"/>
            </w:tcBorders>
            <w:shd w:val="clear" w:color="auto" w:fill="auto"/>
            <w:vAlign w:val="center"/>
            <w:hideMark/>
          </w:tcPr>
          <w:p w14:paraId="570A45FF"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"Skinny labeling could prevent generics from fully competing in new indications"</w:t>
            </w:r>
            <w:r w:rsidRPr="00F32AB3">
              <w:rPr>
                <w:rFonts w:ascii="Arial" w:eastAsia="Times New Roman" w:hAnsi="Arial" w:cs="Arial"/>
                <w:color w:val="000000"/>
                <w:lang w:val="en-GB" w:eastAsia="en-GB"/>
              </w:rPr>
              <w:t>​</w:t>
            </w:r>
            <w:r w:rsidRPr="00F32AB3">
              <w:rPr>
                <w:rFonts w:ascii="Aptos Narrow" w:eastAsia="Times New Roman" w:hAnsi="Aptos Narrow" w:cs="Times New Roman"/>
                <w:color w:val="000000"/>
                <w:lang w:val="en-GB" w:eastAsia="en-GB"/>
              </w:rPr>
              <w:t xml:space="preserve"> </w:t>
            </w:r>
          </w:p>
        </w:tc>
      </w:tr>
      <w:tr w:rsidR="00F32AB3" w:rsidRPr="00F32AB3" w14:paraId="6A95AD5F" w14:textId="77777777" w:rsidTr="00F32AB3">
        <w:trPr>
          <w:trHeight w:val="900"/>
        </w:trPr>
        <w:tc>
          <w:tcPr>
            <w:tcW w:w="1680" w:type="dxa"/>
            <w:vMerge/>
            <w:tcBorders>
              <w:top w:val="nil"/>
              <w:left w:val="single" w:sz="4" w:space="0" w:color="auto"/>
              <w:bottom w:val="single" w:sz="4" w:space="0" w:color="auto"/>
              <w:right w:val="single" w:sz="4" w:space="0" w:color="auto"/>
            </w:tcBorders>
            <w:vAlign w:val="center"/>
            <w:hideMark/>
          </w:tcPr>
          <w:p w14:paraId="76E22470" w14:textId="77777777" w:rsidR="00F32AB3" w:rsidRPr="00F32AB3" w:rsidRDefault="00F32AB3" w:rsidP="00F32AB3">
            <w:pPr>
              <w:spacing w:after="0" w:line="240" w:lineRule="auto"/>
              <w:rPr>
                <w:rFonts w:ascii="Aptos Narrow" w:eastAsia="Times New Roman" w:hAnsi="Aptos Narrow" w:cs="Times New Roman"/>
                <w:b/>
                <w:bCs/>
                <w:color w:val="000000"/>
                <w:lang w:val="en-GB" w:eastAsia="en-GB"/>
              </w:rPr>
            </w:pPr>
          </w:p>
        </w:tc>
        <w:tc>
          <w:tcPr>
            <w:tcW w:w="1120" w:type="dxa"/>
            <w:vMerge/>
            <w:tcBorders>
              <w:top w:val="nil"/>
              <w:left w:val="single" w:sz="4" w:space="0" w:color="auto"/>
              <w:bottom w:val="single" w:sz="4" w:space="0" w:color="auto"/>
              <w:right w:val="single" w:sz="4" w:space="0" w:color="auto"/>
            </w:tcBorders>
            <w:vAlign w:val="center"/>
            <w:hideMark/>
          </w:tcPr>
          <w:p w14:paraId="5C9CE308"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440" w:type="dxa"/>
            <w:vMerge/>
            <w:tcBorders>
              <w:top w:val="nil"/>
              <w:left w:val="single" w:sz="4" w:space="0" w:color="auto"/>
              <w:bottom w:val="single" w:sz="4" w:space="0" w:color="auto"/>
              <w:right w:val="single" w:sz="4" w:space="0" w:color="auto"/>
            </w:tcBorders>
            <w:vAlign w:val="center"/>
            <w:hideMark/>
          </w:tcPr>
          <w:p w14:paraId="09BE9DF9"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p>
        </w:tc>
        <w:tc>
          <w:tcPr>
            <w:tcW w:w="2200" w:type="dxa"/>
            <w:tcBorders>
              <w:top w:val="nil"/>
              <w:left w:val="nil"/>
              <w:bottom w:val="single" w:sz="4" w:space="0" w:color="auto"/>
              <w:right w:val="single" w:sz="4" w:space="0" w:color="auto"/>
            </w:tcBorders>
            <w:shd w:val="clear" w:color="auto" w:fill="auto"/>
            <w:vAlign w:val="center"/>
            <w:hideMark/>
          </w:tcPr>
          <w:p w14:paraId="70BF1ACB" w14:textId="77777777" w:rsidR="00F32AB3" w:rsidRPr="00F32AB3" w:rsidRDefault="00F32AB3" w:rsidP="00F32AB3">
            <w:pPr>
              <w:spacing w:after="0" w:line="240" w:lineRule="auto"/>
              <w:rPr>
                <w:rFonts w:ascii="Aptos Narrow" w:eastAsia="Times New Roman" w:hAnsi="Aptos Narrow" w:cs="Times New Roman"/>
                <w:color w:val="000000"/>
                <w:lang w:val="en-GB" w:eastAsia="en-GB"/>
              </w:rPr>
            </w:pPr>
            <w:r w:rsidRPr="00F32AB3">
              <w:rPr>
                <w:rFonts w:ascii="Aptos Narrow" w:eastAsia="Times New Roman" w:hAnsi="Aptos Narrow" w:cs="Times New Roman"/>
                <w:color w:val="000000"/>
                <w:lang w:val="en-GB" w:eastAsia="en-GB"/>
              </w:rPr>
              <w:t>Metrics: Two new indications approved by 2030</w:t>
            </w:r>
          </w:p>
        </w:tc>
        <w:tc>
          <w:tcPr>
            <w:tcW w:w="2240" w:type="dxa"/>
            <w:tcBorders>
              <w:top w:val="nil"/>
              <w:left w:val="nil"/>
              <w:bottom w:val="single" w:sz="4" w:space="0" w:color="auto"/>
              <w:right w:val="single" w:sz="4" w:space="0" w:color="auto"/>
            </w:tcBorders>
            <w:shd w:val="clear" w:color="auto" w:fill="auto"/>
            <w:vAlign w:val="center"/>
            <w:hideMark/>
          </w:tcPr>
          <w:p w14:paraId="6E73C691" w14:textId="77777777" w:rsidR="00F32AB3" w:rsidRPr="00F32AB3" w:rsidRDefault="00F32AB3" w:rsidP="00F32AB3">
            <w:pPr>
              <w:spacing w:after="0" w:line="240" w:lineRule="auto"/>
              <w:rPr>
                <w:rFonts w:ascii="Aptos Narrow" w:eastAsia="Times New Roman" w:hAnsi="Aptos Narrow" w:cs="Times New Roman"/>
                <w:i/>
                <w:iCs/>
                <w:color w:val="000000"/>
                <w:lang w:val="en-GB" w:eastAsia="en-GB"/>
              </w:rPr>
            </w:pPr>
            <w:r w:rsidRPr="00F32AB3">
              <w:rPr>
                <w:rFonts w:ascii="Aptos Narrow" w:eastAsia="Times New Roman" w:hAnsi="Aptos Narrow" w:cs="Times New Roman"/>
                <w:i/>
                <w:iCs/>
                <w:color w:val="000000"/>
                <w:lang w:val="en-GB" w:eastAsia="en-GB"/>
              </w:rPr>
              <w:t>Exhibit F: Portfolio Review</w:t>
            </w:r>
            <w:r w:rsidRPr="00F32AB3">
              <w:rPr>
                <w:rFonts w:ascii="Arial" w:eastAsia="Times New Roman" w:hAnsi="Arial" w:cs="Arial"/>
                <w:color w:val="000000"/>
                <w:lang w:val="en-GB" w:eastAsia="en-GB"/>
              </w:rPr>
              <w:t>​</w:t>
            </w:r>
            <w:r w:rsidRPr="00F32AB3">
              <w:rPr>
                <w:rFonts w:ascii="Aptos Narrow" w:eastAsia="Times New Roman" w:hAnsi="Aptos Narrow" w:cs="Times New Roman"/>
                <w:i/>
                <w:iCs/>
                <w:color w:val="000000"/>
                <w:lang w:val="en-GB" w:eastAsia="en-GB"/>
              </w:rPr>
              <w:t xml:space="preserve"> </w:t>
            </w:r>
          </w:p>
        </w:tc>
      </w:tr>
    </w:tbl>
    <w:p w14:paraId="3B44F684" w14:textId="77777777" w:rsidR="00F32AB3" w:rsidRDefault="00F32AB3">
      <w:pPr>
        <w:rPr>
          <w:lang w:val="en-GB"/>
        </w:rPr>
      </w:pPr>
    </w:p>
    <w:p w14:paraId="4CE8558E" w14:textId="7D9E8097" w:rsidR="00F32AB3" w:rsidRPr="00AF0E19" w:rsidRDefault="00AF0E19">
      <w:pPr>
        <w:rPr>
          <w:b/>
          <w:bCs/>
          <w:lang w:val="en-GB"/>
        </w:rPr>
      </w:pPr>
      <w:r w:rsidRPr="00AF0E19">
        <w:rPr>
          <w:b/>
          <w:bCs/>
          <w:lang w:val="en-GB"/>
        </w:rPr>
        <w:t>10-year timeline for core activities &amp; major investments Include key milestones, decision points, and contingency plans</w:t>
      </w:r>
    </w:p>
    <w:tbl>
      <w:tblPr>
        <w:tblW w:w="9220" w:type="dxa"/>
        <w:tblLook w:val="04A0" w:firstRow="1" w:lastRow="0" w:firstColumn="1" w:lastColumn="0" w:noHBand="0" w:noVBand="1"/>
      </w:tblPr>
      <w:tblGrid>
        <w:gridCol w:w="960"/>
        <w:gridCol w:w="2140"/>
        <w:gridCol w:w="2140"/>
        <w:gridCol w:w="1900"/>
        <w:gridCol w:w="2080"/>
      </w:tblGrid>
      <w:tr w:rsidR="00AF0E19" w:rsidRPr="00AF0E19" w14:paraId="61CFD1F2" w14:textId="77777777" w:rsidTr="00AF0E19">
        <w:trPr>
          <w:trHeight w:val="150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C5AA2F" w14:textId="77777777" w:rsidR="00AF0E19" w:rsidRPr="00AF0E19" w:rsidRDefault="00AF0E19" w:rsidP="00AF0E19">
            <w:pPr>
              <w:spacing w:after="0" w:line="240" w:lineRule="auto"/>
              <w:jc w:val="center"/>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Year</w:t>
            </w:r>
          </w:p>
        </w:tc>
        <w:tc>
          <w:tcPr>
            <w:tcW w:w="2140" w:type="dxa"/>
            <w:tcBorders>
              <w:top w:val="single" w:sz="4" w:space="0" w:color="auto"/>
              <w:left w:val="nil"/>
              <w:bottom w:val="single" w:sz="4" w:space="0" w:color="auto"/>
              <w:right w:val="single" w:sz="4" w:space="0" w:color="auto"/>
            </w:tcBorders>
            <w:shd w:val="clear" w:color="auto" w:fill="auto"/>
            <w:vAlign w:val="center"/>
            <w:hideMark/>
          </w:tcPr>
          <w:p w14:paraId="611E9C6C" w14:textId="77777777" w:rsidR="00AF0E19" w:rsidRPr="00AF0E19" w:rsidRDefault="00AF0E19" w:rsidP="00AF0E19">
            <w:pPr>
              <w:spacing w:after="0" w:line="240" w:lineRule="auto"/>
              <w:jc w:val="center"/>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Core Activities &amp; Major Investments</w:t>
            </w:r>
          </w:p>
        </w:tc>
        <w:tc>
          <w:tcPr>
            <w:tcW w:w="2140" w:type="dxa"/>
            <w:tcBorders>
              <w:top w:val="single" w:sz="4" w:space="0" w:color="auto"/>
              <w:left w:val="nil"/>
              <w:bottom w:val="single" w:sz="4" w:space="0" w:color="auto"/>
              <w:right w:val="single" w:sz="4" w:space="0" w:color="auto"/>
            </w:tcBorders>
            <w:shd w:val="clear" w:color="auto" w:fill="auto"/>
            <w:vAlign w:val="center"/>
            <w:hideMark/>
          </w:tcPr>
          <w:p w14:paraId="6E63C2C8" w14:textId="77777777" w:rsidR="00AF0E19" w:rsidRPr="00AF0E19" w:rsidRDefault="00AF0E19" w:rsidP="00AF0E19">
            <w:pPr>
              <w:spacing w:after="0" w:line="240" w:lineRule="auto"/>
              <w:jc w:val="center"/>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Key Milestones</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043473E9" w14:textId="77777777" w:rsidR="00AF0E19" w:rsidRPr="00AF0E19" w:rsidRDefault="00AF0E19" w:rsidP="00AF0E19">
            <w:pPr>
              <w:spacing w:after="0" w:line="240" w:lineRule="auto"/>
              <w:jc w:val="center"/>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Decision Points</w:t>
            </w: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6B4F71DB" w14:textId="77777777" w:rsidR="00AF0E19" w:rsidRPr="00AF0E19" w:rsidRDefault="00AF0E19" w:rsidP="00AF0E19">
            <w:pPr>
              <w:spacing w:after="0" w:line="240" w:lineRule="auto"/>
              <w:jc w:val="center"/>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Contingency Plans</w:t>
            </w:r>
          </w:p>
        </w:tc>
      </w:tr>
      <w:tr w:rsidR="00AF0E19" w:rsidRPr="00AF0E19" w14:paraId="7B6FE92B" w14:textId="77777777" w:rsidTr="00AF0E19">
        <w:trPr>
          <w:trHeight w:val="12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CB6269F"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2024</w:t>
            </w:r>
          </w:p>
        </w:tc>
        <w:tc>
          <w:tcPr>
            <w:tcW w:w="2140" w:type="dxa"/>
            <w:tcBorders>
              <w:top w:val="nil"/>
              <w:left w:val="nil"/>
              <w:bottom w:val="single" w:sz="4" w:space="0" w:color="auto"/>
              <w:right w:val="single" w:sz="4" w:space="0" w:color="auto"/>
            </w:tcBorders>
            <w:shd w:val="clear" w:color="auto" w:fill="auto"/>
            <w:vAlign w:val="center"/>
            <w:hideMark/>
          </w:tcPr>
          <w:p w14:paraId="72F4AFAC"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Begin R&amp;D for Next-Generation Oncology Drug (successor to Kendizo)</w:t>
            </w:r>
          </w:p>
        </w:tc>
        <w:tc>
          <w:tcPr>
            <w:tcW w:w="2140" w:type="dxa"/>
            <w:tcBorders>
              <w:top w:val="nil"/>
              <w:left w:val="nil"/>
              <w:bottom w:val="single" w:sz="4" w:space="0" w:color="auto"/>
              <w:right w:val="single" w:sz="4" w:space="0" w:color="auto"/>
            </w:tcBorders>
            <w:shd w:val="clear" w:color="auto" w:fill="auto"/>
            <w:vAlign w:val="center"/>
            <w:hideMark/>
          </w:tcPr>
          <w:p w14:paraId="30045AE3"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Initiate Phase I trials</w:t>
            </w:r>
          </w:p>
        </w:tc>
        <w:tc>
          <w:tcPr>
            <w:tcW w:w="1900" w:type="dxa"/>
            <w:tcBorders>
              <w:top w:val="nil"/>
              <w:left w:val="nil"/>
              <w:bottom w:val="single" w:sz="4" w:space="0" w:color="auto"/>
              <w:right w:val="single" w:sz="4" w:space="0" w:color="auto"/>
            </w:tcBorders>
            <w:shd w:val="clear" w:color="auto" w:fill="auto"/>
            <w:vAlign w:val="center"/>
            <w:hideMark/>
          </w:tcPr>
          <w:p w14:paraId="321F849E"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Review initial trial data for efficacy and safety</w:t>
            </w:r>
          </w:p>
        </w:tc>
        <w:tc>
          <w:tcPr>
            <w:tcW w:w="2080" w:type="dxa"/>
            <w:tcBorders>
              <w:top w:val="nil"/>
              <w:left w:val="nil"/>
              <w:bottom w:val="single" w:sz="4" w:space="0" w:color="auto"/>
              <w:right w:val="single" w:sz="4" w:space="0" w:color="auto"/>
            </w:tcBorders>
            <w:shd w:val="clear" w:color="auto" w:fill="auto"/>
            <w:vAlign w:val="center"/>
            <w:hideMark/>
          </w:tcPr>
          <w:p w14:paraId="7E2F662E"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Reassess project scope or alternative oncology drugs if progress lags</w:t>
            </w:r>
          </w:p>
        </w:tc>
      </w:tr>
      <w:tr w:rsidR="00AF0E19" w:rsidRPr="00AF0E19" w14:paraId="292F674B" w14:textId="77777777" w:rsidTr="00AF0E19">
        <w:trPr>
          <w:trHeight w:val="12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F511D92"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2025</w:t>
            </w:r>
          </w:p>
        </w:tc>
        <w:tc>
          <w:tcPr>
            <w:tcW w:w="2140" w:type="dxa"/>
            <w:tcBorders>
              <w:top w:val="nil"/>
              <w:left w:val="nil"/>
              <w:bottom w:val="single" w:sz="4" w:space="0" w:color="auto"/>
              <w:right w:val="single" w:sz="4" w:space="0" w:color="auto"/>
            </w:tcBorders>
            <w:shd w:val="clear" w:color="auto" w:fill="auto"/>
            <w:vAlign w:val="center"/>
            <w:hideMark/>
          </w:tcPr>
          <w:p w14:paraId="35E822C3"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Partner with Velocity Sciences for GLP-1 agonist development</w:t>
            </w:r>
          </w:p>
        </w:tc>
        <w:tc>
          <w:tcPr>
            <w:tcW w:w="2140" w:type="dxa"/>
            <w:tcBorders>
              <w:top w:val="nil"/>
              <w:left w:val="nil"/>
              <w:bottom w:val="single" w:sz="4" w:space="0" w:color="auto"/>
              <w:right w:val="single" w:sz="4" w:space="0" w:color="auto"/>
            </w:tcBorders>
            <w:shd w:val="clear" w:color="auto" w:fill="auto"/>
            <w:vAlign w:val="center"/>
            <w:hideMark/>
          </w:tcPr>
          <w:p w14:paraId="258A5993"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Finalize partnership agreement</w:t>
            </w:r>
          </w:p>
        </w:tc>
        <w:tc>
          <w:tcPr>
            <w:tcW w:w="1900" w:type="dxa"/>
            <w:tcBorders>
              <w:top w:val="nil"/>
              <w:left w:val="nil"/>
              <w:bottom w:val="single" w:sz="4" w:space="0" w:color="auto"/>
              <w:right w:val="single" w:sz="4" w:space="0" w:color="auto"/>
            </w:tcBorders>
            <w:shd w:val="clear" w:color="auto" w:fill="auto"/>
            <w:vAlign w:val="center"/>
            <w:hideMark/>
          </w:tcPr>
          <w:p w14:paraId="479B21DC"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Confirm exclusivity and licensing terms</w:t>
            </w:r>
          </w:p>
        </w:tc>
        <w:tc>
          <w:tcPr>
            <w:tcW w:w="2080" w:type="dxa"/>
            <w:tcBorders>
              <w:top w:val="nil"/>
              <w:left w:val="nil"/>
              <w:bottom w:val="single" w:sz="4" w:space="0" w:color="auto"/>
              <w:right w:val="single" w:sz="4" w:space="0" w:color="auto"/>
            </w:tcBorders>
            <w:shd w:val="clear" w:color="auto" w:fill="auto"/>
            <w:vAlign w:val="center"/>
            <w:hideMark/>
          </w:tcPr>
          <w:p w14:paraId="256EDD60"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Seek additional partners if licensing issues arise with Velocity</w:t>
            </w:r>
          </w:p>
        </w:tc>
      </w:tr>
      <w:tr w:rsidR="00AF0E19" w:rsidRPr="00AF0E19" w14:paraId="67460868" w14:textId="77777777" w:rsidTr="00AF0E19">
        <w:trPr>
          <w:trHeight w:val="15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A9A83A9"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2026</w:t>
            </w:r>
          </w:p>
        </w:tc>
        <w:tc>
          <w:tcPr>
            <w:tcW w:w="2140" w:type="dxa"/>
            <w:tcBorders>
              <w:top w:val="nil"/>
              <w:left w:val="nil"/>
              <w:bottom w:val="single" w:sz="4" w:space="0" w:color="auto"/>
              <w:right w:val="single" w:sz="4" w:space="0" w:color="auto"/>
            </w:tcBorders>
            <w:shd w:val="clear" w:color="auto" w:fill="auto"/>
            <w:vAlign w:val="center"/>
            <w:hideMark/>
          </w:tcPr>
          <w:p w14:paraId="34B9B4F3"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Acquisition of Belvedere Biosciences to expand immunology portfolio</w:t>
            </w:r>
          </w:p>
        </w:tc>
        <w:tc>
          <w:tcPr>
            <w:tcW w:w="2140" w:type="dxa"/>
            <w:tcBorders>
              <w:top w:val="nil"/>
              <w:left w:val="nil"/>
              <w:bottom w:val="single" w:sz="4" w:space="0" w:color="auto"/>
              <w:right w:val="single" w:sz="4" w:space="0" w:color="auto"/>
            </w:tcBorders>
            <w:shd w:val="clear" w:color="auto" w:fill="auto"/>
            <w:vAlign w:val="center"/>
            <w:hideMark/>
          </w:tcPr>
          <w:p w14:paraId="535F9DDA" w14:textId="17976015"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Acquisition completed</w:t>
            </w:r>
            <w:r w:rsidR="00DF745D">
              <w:rPr>
                <w:rFonts w:ascii="Aptos Narrow" w:eastAsia="Times New Roman" w:hAnsi="Aptos Narrow" w:cs="Times New Roman"/>
                <w:color w:val="000000"/>
                <w:lang w:val="en-GB" w:eastAsia="en-GB"/>
              </w:rPr>
              <w:t>,</w:t>
            </w:r>
            <w:r w:rsidRPr="00AF0E19">
              <w:rPr>
                <w:rFonts w:ascii="Aptos Narrow" w:eastAsia="Times New Roman" w:hAnsi="Aptos Narrow" w:cs="Times New Roman"/>
                <w:color w:val="000000"/>
                <w:lang w:val="en-GB" w:eastAsia="en-GB"/>
              </w:rPr>
              <w:t xml:space="preserve"> and integration begins</w:t>
            </w:r>
          </w:p>
        </w:tc>
        <w:tc>
          <w:tcPr>
            <w:tcW w:w="1900" w:type="dxa"/>
            <w:tcBorders>
              <w:top w:val="nil"/>
              <w:left w:val="nil"/>
              <w:bottom w:val="single" w:sz="4" w:space="0" w:color="auto"/>
              <w:right w:val="single" w:sz="4" w:space="0" w:color="auto"/>
            </w:tcBorders>
            <w:shd w:val="clear" w:color="auto" w:fill="auto"/>
            <w:vAlign w:val="center"/>
            <w:hideMark/>
          </w:tcPr>
          <w:p w14:paraId="16378A4A"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Decide on key integrations with Zile's existing operations</w:t>
            </w:r>
          </w:p>
        </w:tc>
        <w:tc>
          <w:tcPr>
            <w:tcW w:w="2080" w:type="dxa"/>
            <w:tcBorders>
              <w:top w:val="nil"/>
              <w:left w:val="nil"/>
              <w:bottom w:val="single" w:sz="4" w:space="0" w:color="auto"/>
              <w:right w:val="single" w:sz="4" w:space="0" w:color="auto"/>
            </w:tcBorders>
            <w:shd w:val="clear" w:color="auto" w:fill="auto"/>
            <w:vAlign w:val="center"/>
            <w:hideMark/>
          </w:tcPr>
          <w:p w14:paraId="6BC10768"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Identify alternative immunology firms if acquisition is delayed</w:t>
            </w:r>
          </w:p>
        </w:tc>
      </w:tr>
      <w:tr w:rsidR="00AF0E19" w:rsidRPr="00AF0E19" w14:paraId="337B7AFE" w14:textId="77777777" w:rsidTr="00AF0E19">
        <w:trPr>
          <w:trHeight w:val="12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4BD5FB7"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2027</w:t>
            </w:r>
          </w:p>
        </w:tc>
        <w:tc>
          <w:tcPr>
            <w:tcW w:w="2140" w:type="dxa"/>
            <w:tcBorders>
              <w:top w:val="nil"/>
              <w:left w:val="nil"/>
              <w:bottom w:val="single" w:sz="4" w:space="0" w:color="auto"/>
              <w:right w:val="single" w:sz="4" w:space="0" w:color="auto"/>
            </w:tcBorders>
            <w:shd w:val="clear" w:color="auto" w:fill="auto"/>
            <w:vAlign w:val="center"/>
            <w:hideMark/>
          </w:tcPr>
          <w:p w14:paraId="700DB277"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Expand clinical trials for Next-Generation Oncology Drug</w:t>
            </w:r>
          </w:p>
        </w:tc>
        <w:tc>
          <w:tcPr>
            <w:tcW w:w="2140" w:type="dxa"/>
            <w:tcBorders>
              <w:top w:val="nil"/>
              <w:left w:val="nil"/>
              <w:bottom w:val="single" w:sz="4" w:space="0" w:color="auto"/>
              <w:right w:val="single" w:sz="4" w:space="0" w:color="auto"/>
            </w:tcBorders>
            <w:shd w:val="clear" w:color="auto" w:fill="auto"/>
            <w:vAlign w:val="center"/>
            <w:hideMark/>
          </w:tcPr>
          <w:p w14:paraId="588467E7"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Advance to Phase II trials</w:t>
            </w:r>
          </w:p>
        </w:tc>
        <w:tc>
          <w:tcPr>
            <w:tcW w:w="1900" w:type="dxa"/>
            <w:tcBorders>
              <w:top w:val="nil"/>
              <w:left w:val="nil"/>
              <w:bottom w:val="single" w:sz="4" w:space="0" w:color="auto"/>
              <w:right w:val="single" w:sz="4" w:space="0" w:color="auto"/>
            </w:tcBorders>
            <w:shd w:val="clear" w:color="auto" w:fill="auto"/>
            <w:vAlign w:val="center"/>
            <w:hideMark/>
          </w:tcPr>
          <w:p w14:paraId="6A92FFAD"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Evaluate interim trial results for continued R&amp;D investment</w:t>
            </w:r>
          </w:p>
        </w:tc>
        <w:tc>
          <w:tcPr>
            <w:tcW w:w="2080" w:type="dxa"/>
            <w:tcBorders>
              <w:top w:val="nil"/>
              <w:left w:val="nil"/>
              <w:bottom w:val="single" w:sz="4" w:space="0" w:color="auto"/>
              <w:right w:val="single" w:sz="4" w:space="0" w:color="auto"/>
            </w:tcBorders>
            <w:shd w:val="clear" w:color="auto" w:fill="auto"/>
            <w:vAlign w:val="center"/>
            <w:hideMark/>
          </w:tcPr>
          <w:p w14:paraId="24678C3B"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Allocate additional resources or pivot to biosimilars if trials show risk</w:t>
            </w:r>
          </w:p>
        </w:tc>
      </w:tr>
      <w:tr w:rsidR="00AF0E19" w:rsidRPr="00AF0E19" w14:paraId="73466E43" w14:textId="77777777" w:rsidTr="00AF0E19">
        <w:trPr>
          <w:trHeight w:val="15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32A27A9"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2028</w:t>
            </w:r>
          </w:p>
        </w:tc>
        <w:tc>
          <w:tcPr>
            <w:tcW w:w="2140" w:type="dxa"/>
            <w:tcBorders>
              <w:top w:val="nil"/>
              <w:left w:val="nil"/>
              <w:bottom w:val="single" w:sz="4" w:space="0" w:color="auto"/>
              <w:right w:val="single" w:sz="4" w:space="0" w:color="auto"/>
            </w:tcBorders>
            <w:shd w:val="clear" w:color="auto" w:fill="auto"/>
            <w:vAlign w:val="center"/>
            <w:hideMark/>
          </w:tcPr>
          <w:p w14:paraId="23403984"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Launch GLP-1 agonist for metabolic disease in partnership with Velocity</w:t>
            </w:r>
          </w:p>
        </w:tc>
        <w:tc>
          <w:tcPr>
            <w:tcW w:w="2140" w:type="dxa"/>
            <w:tcBorders>
              <w:top w:val="nil"/>
              <w:left w:val="nil"/>
              <w:bottom w:val="single" w:sz="4" w:space="0" w:color="auto"/>
              <w:right w:val="single" w:sz="4" w:space="0" w:color="auto"/>
            </w:tcBorders>
            <w:shd w:val="clear" w:color="auto" w:fill="auto"/>
            <w:vAlign w:val="center"/>
            <w:hideMark/>
          </w:tcPr>
          <w:p w14:paraId="71EB3C7D"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Product launch in key markets</w:t>
            </w:r>
          </w:p>
        </w:tc>
        <w:tc>
          <w:tcPr>
            <w:tcW w:w="1900" w:type="dxa"/>
            <w:tcBorders>
              <w:top w:val="nil"/>
              <w:left w:val="nil"/>
              <w:bottom w:val="single" w:sz="4" w:space="0" w:color="auto"/>
              <w:right w:val="single" w:sz="4" w:space="0" w:color="auto"/>
            </w:tcBorders>
            <w:shd w:val="clear" w:color="auto" w:fill="auto"/>
            <w:vAlign w:val="center"/>
            <w:hideMark/>
          </w:tcPr>
          <w:p w14:paraId="687C88CF"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Review initial market response and adjust pricing strategy</w:t>
            </w:r>
          </w:p>
        </w:tc>
        <w:tc>
          <w:tcPr>
            <w:tcW w:w="2080" w:type="dxa"/>
            <w:tcBorders>
              <w:top w:val="nil"/>
              <w:left w:val="nil"/>
              <w:bottom w:val="single" w:sz="4" w:space="0" w:color="auto"/>
              <w:right w:val="single" w:sz="4" w:space="0" w:color="auto"/>
            </w:tcBorders>
            <w:shd w:val="clear" w:color="auto" w:fill="auto"/>
            <w:vAlign w:val="center"/>
            <w:hideMark/>
          </w:tcPr>
          <w:p w14:paraId="0C9961B7"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Implement aggressive marketing campaigns if uptake is slower than expected</w:t>
            </w:r>
          </w:p>
        </w:tc>
      </w:tr>
      <w:tr w:rsidR="00AF0E19" w:rsidRPr="00AF0E19" w14:paraId="286F2151" w14:textId="77777777" w:rsidTr="00AF0E19">
        <w:trPr>
          <w:trHeight w:val="9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000F6CD"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2029</w:t>
            </w:r>
          </w:p>
        </w:tc>
        <w:tc>
          <w:tcPr>
            <w:tcW w:w="2140" w:type="dxa"/>
            <w:tcBorders>
              <w:top w:val="nil"/>
              <w:left w:val="nil"/>
              <w:bottom w:val="single" w:sz="4" w:space="0" w:color="auto"/>
              <w:right w:val="single" w:sz="4" w:space="0" w:color="auto"/>
            </w:tcBorders>
            <w:shd w:val="clear" w:color="auto" w:fill="auto"/>
            <w:vAlign w:val="center"/>
            <w:hideMark/>
          </w:tcPr>
          <w:p w14:paraId="7008F70D" w14:textId="4EE58A56"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 xml:space="preserve">Develop and launch </w:t>
            </w:r>
            <w:r w:rsidR="00DF745D">
              <w:rPr>
                <w:rFonts w:ascii="Aptos Narrow" w:eastAsia="Times New Roman" w:hAnsi="Aptos Narrow" w:cs="Times New Roman"/>
                <w:color w:val="000000"/>
                <w:lang w:val="en-GB" w:eastAsia="en-GB"/>
              </w:rPr>
              <w:t xml:space="preserve">an </w:t>
            </w:r>
            <w:r w:rsidRPr="00AF0E19">
              <w:rPr>
                <w:rFonts w:ascii="Aptos Narrow" w:eastAsia="Times New Roman" w:hAnsi="Aptos Narrow" w:cs="Times New Roman"/>
                <w:color w:val="000000"/>
                <w:lang w:val="en-GB" w:eastAsia="en-GB"/>
              </w:rPr>
              <w:t>authorized generic for Kendizo</w:t>
            </w:r>
          </w:p>
        </w:tc>
        <w:tc>
          <w:tcPr>
            <w:tcW w:w="2140" w:type="dxa"/>
            <w:tcBorders>
              <w:top w:val="nil"/>
              <w:left w:val="nil"/>
              <w:bottom w:val="single" w:sz="4" w:space="0" w:color="auto"/>
              <w:right w:val="single" w:sz="4" w:space="0" w:color="auto"/>
            </w:tcBorders>
            <w:shd w:val="clear" w:color="auto" w:fill="auto"/>
            <w:vAlign w:val="center"/>
            <w:hideMark/>
          </w:tcPr>
          <w:p w14:paraId="22FAB32C"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Authorized generic available pre-patent expiry</w:t>
            </w:r>
          </w:p>
        </w:tc>
        <w:tc>
          <w:tcPr>
            <w:tcW w:w="1900" w:type="dxa"/>
            <w:tcBorders>
              <w:top w:val="nil"/>
              <w:left w:val="nil"/>
              <w:bottom w:val="single" w:sz="4" w:space="0" w:color="auto"/>
              <w:right w:val="single" w:sz="4" w:space="0" w:color="auto"/>
            </w:tcBorders>
            <w:shd w:val="clear" w:color="auto" w:fill="auto"/>
            <w:vAlign w:val="center"/>
            <w:hideMark/>
          </w:tcPr>
          <w:p w14:paraId="06B865CC"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Analyze market share retention and price elasticity</w:t>
            </w:r>
          </w:p>
        </w:tc>
        <w:tc>
          <w:tcPr>
            <w:tcW w:w="2080" w:type="dxa"/>
            <w:tcBorders>
              <w:top w:val="nil"/>
              <w:left w:val="nil"/>
              <w:bottom w:val="single" w:sz="4" w:space="0" w:color="auto"/>
              <w:right w:val="single" w:sz="4" w:space="0" w:color="auto"/>
            </w:tcBorders>
            <w:shd w:val="clear" w:color="auto" w:fill="auto"/>
            <w:vAlign w:val="center"/>
            <w:hideMark/>
          </w:tcPr>
          <w:p w14:paraId="6B25E92C"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Consider additional rebates or discounts to boost retention</w:t>
            </w:r>
          </w:p>
        </w:tc>
      </w:tr>
      <w:tr w:rsidR="00AF0E19" w:rsidRPr="00AF0E19" w14:paraId="78960B61" w14:textId="77777777" w:rsidTr="00AF0E19">
        <w:trPr>
          <w:trHeight w:val="12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5DDC4B"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2030</w:t>
            </w:r>
          </w:p>
        </w:tc>
        <w:tc>
          <w:tcPr>
            <w:tcW w:w="2140" w:type="dxa"/>
            <w:tcBorders>
              <w:top w:val="nil"/>
              <w:left w:val="nil"/>
              <w:bottom w:val="single" w:sz="4" w:space="0" w:color="auto"/>
              <w:right w:val="single" w:sz="4" w:space="0" w:color="auto"/>
            </w:tcBorders>
            <w:shd w:val="clear" w:color="auto" w:fill="auto"/>
            <w:vAlign w:val="center"/>
            <w:hideMark/>
          </w:tcPr>
          <w:p w14:paraId="0DD9081C"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Seek regulatory approval for new indications under skinny labeling</w:t>
            </w:r>
          </w:p>
        </w:tc>
        <w:tc>
          <w:tcPr>
            <w:tcW w:w="2140" w:type="dxa"/>
            <w:tcBorders>
              <w:top w:val="nil"/>
              <w:left w:val="nil"/>
              <w:bottom w:val="single" w:sz="4" w:space="0" w:color="auto"/>
              <w:right w:val="single" w:sz="4" w:space="0" w:color="auto"/>
            </w:tcBorders>
            <w:shd w:val="clear" w:color="auto" w:fill="auto"/>
            <w:vAlign w:val="center"/>
            <w:hideMark/>
          </w:tcPr>
          <w:p w14:paraId="5A18CBFF"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Secure FDA approval for 2 new Kendizo indications</w:t>
            </w:r>
          </w:p>
        </w:tc>
        <w:tc>
          <w:tcPr>
            <w:tcW w:w="1900" w:type="dxa"/>
            <w:tcBorders>
              <w:top w:val="nil"/>
              <w:left w:val="nil"/>
              <w:bottom w:val="single" w:sz="4" w:space="0" w:color="auto"/>
              <w:right w:val="single" w:sz="4" w:space="0" w:color="auto"/>
            </w:tcBorders>
            <w:shd w:val="clear" w:color="auto" w:fill="auto"/>
            <w:vAlign w:val="center"/>
            <w:hideMark/>
          </w:tcPr>
          <w:p w14:paraId="0456EDD3"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Decide on pricing and marketing strategy for new indications</w:t>
            </w:r>
          </w:p>
        </w:tc>
        <w:tc>
          <w:tcPr>
            <w:tcW w:w="2080" w:type="dxa"/>
            <w:tcBorders>
              <w:top w:val="nil"/>
              <w:left w:val="nil"/>
              <w:bottom w:val="single" w:sz="4" w:space="0" w:color="auto"/>
              <w:right w:val="single" w:sz="4" w:space="0" w:color="auto"/>
            </w:tcBorders>
            <w:shd w:val="clear" w:color="auto" w:fill="auto"/>
            <w:vAlign w:val="center"/>
            <w:hideMark/>
          </w:tcPr>
          <w:p w14:paraId="15EE789E"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Adjust target markets based on FDA feedback or approval timelines</w:t>
            </w:r>
          </w:p>
        </w:tc>
      </w:tr>
      <w:tr w:rsidR="00AF0E19" w:rsidRPr="00AF0E19" w14:paraId="60B493A4" w14:textId="77777777" w:rsidTr="00AF0E19">
        <w:trPr>
          <w:trHeight w:val="15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F3F7B1B"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2031</w:t>
            </w:r>
          </w:p>
        </w:tc>
        <w:tc>
          <w:tcPr>
            <w:tcW w:w="2140" w:type="dxa"/>
            <w:tcBorders>
              <w:top w:val="nil"/>
              <w:left w:val="nil"/>
              <w:bottom w:val="single" w:sz="4" w:space="0" w:color="auto"/>
              <w:right w:val="single" w:sz="4" w:space="0" w:color="auto"/>
            </w:tcBorders>
            <w:shd w:val="clear" w:color="auto" w:fill="auto"/>
            <w:vAlign w:val="center"/>
            <w:hideMark/>
          </w:tcPr>
          <w:p w14:paraId="31627FD2"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Patent expiry for Kendizo; Biosimilars market entry for oncology drugs</w:t>
            </w:r>
          </w:p>
        </w:tc>
        <w:tc>
          <w:tcPr>
            <w:tcW w:w="2140" w:type="dxa"/>
            <w:tcBorders>
              <w:top w:val="nil"/>
              <w:left w:val="nil"/>
              <w:bottom w:val="single" w:sz="4" w:space="0" w:color="auto"/>
              <w:right w:val="single" w:sz="4" w:space="0" w:color="auto"/>
            </w:tcBorders>
            <w:shd w:val="clear" w:color="auto" w:fill="auto"/>
            <w:vAlign w:val="center"/>
            <w:hideMark/>
          </w:tcPr>
          <w:p w14:paraId="2ACE59EE"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Launch first biosimilar product in oncology</w:t>
            </w:r>
          </w:p>
        </w:tc>
        <w:tc>
          <w:tcPr>
            <w:tcW w:w="1900" w:type="dxa"/>
            <w:tcBorders>
              <w:top w:val="nil"/>
              <w:left w:val="nil"/>
              <w:bottom w:val="single" w:sz="4" w:space="0" w:color="auto"/>
              <w:right w:val="single" w:sz="4" w:space="0" w:color="auto"/>
            </w:tcBorders>
            <w:shd w:val="clear" w:color="auto" w:fill="auto"/>
            <w:vAlign w:val="center"/>
            <w:hideMark/>
          </w:tcPr>
          <w:p w14:paraId="495CD39B"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Reassess market pricing strategy and adapt to generic competition</w:t>
            </w:r>
          </w:p>
        </w:tc>
        <w:tc>
          <w:tcPr>
            <w:tcW w:w="2080" w:type="dxa"/>
            <w:tcBorders>
              <w:top w:val="nil"/>
              <w:left w:val="nil"/>
              <w:bottom w:val="single" w:sz="4" w:space="0" w:color="auto"/>
              <w:right w:val="single" w:sz="4" w:space="0" w:color="auto"/>
            </w:tcBorders>
            <w:shd w:val="clear" w:color="auto" w:fill="auto"/>
            <w:vAlign w:val="center"/>
            <w:hideMark/>
          </w:tcPr>
          <w:p w14:paraId="092EBA7A"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Expand biosimilar offerings to additional high-demand areas</w:t>
            </w:r>
          </w:p>
        </w:tc>
      </w:tr>
      <w:tr w:rsidR="00AF0E19" w:rsidRPr="00AF0E19" w14:paraId="68860125" w14:textId="77777777" w:rsidTr="00AF0E19">
        <w:trPr>
          <w:trHeight w:val="12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A90D2B3"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2032</w:t>
            </w:r>
          </w:p>
        </w:tc>
        <w:tc>
          <w:tcPr>
            <w:tcW w:w="2140" w:type="dxa"/>
            <w:tcBorders>
              <w:top w:val="nil"/>
              <w:left w:val="nil"/>
              <w:bottom w:val="single" w:sz="4" w:space="0" w:color="auto"/>
              <w:right w:val="single" w:sz="4" w:space="0" w:color="auto"/>
            </w:tcBorders>
            <w:shd w:val="clear" w:color="auto" w:fill="auto"/>
            <w:vAlign w:val="center"/>
            <w:hideMark/>
          </w:tcPr>
          <w:p w14:paraId="70EFC184" w14:textId="31B5C238"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 xml:space="preserve">Launch </w:t>
            </w:r>
            <w:r w:rsidR="00FF12DC">
              <w:rPr>
                <w:rFonts w:ascii="Aptos Narrow" w:eastAsia="Times New Roman" w:hAnsi="Aptos Narrow" w:cs="Times New Roman"/>
                <w:color w:val="000000"/>
                <w:lang w:val="en-GB" w:eastAsia="en-GB"/>
              </w:rPr>
              <w:t xml:space="preserve">the </w:t>
            </w:r>
            <w:r w:rsidRPr="00AF0E19">
              <w:rPr>
                <w:rFonts w:ascii="Aptos Narrow" w:eastAsia="Times New Roman" w:hAnsi="Aptos Narrow" w:cs="Times New Roman"/>
                <w:color w:val="000000"/>
                <w:lang w:val="en-GB" w:eastAsia="en-GB"/>
              </w:rPr>
              <w:t>second biosimilar in immunology</w:t>
            </w:r>
          </w:p>
        </w:tc>
        <w:tc>
          <w:tcPr>
            <w:tcW w:w="2140" w:type="dxa"/>
            <w:tcBorders>
              <w:top w:val="nil"/>
              <w:left w:val="nil"/>
              <w:bottom w:val="single" w:sz="4" w:space="0" w:color="auto"/>
              <w:right w:val="single" w:sz="4" w:space="0" w:color="auto"/>
            </w:tcBorders>
            <w:shd w:val="clear" w:color="auto" w:fill="auto"/>
            <w:vAlign w:val="center"/>
            <w:hideMark/>
          </w:tcPr>
          <w:p w14:paraId="38DFD067" w14:textId="22C03E20" w:rsidR="00AF0E19" w:rsidRPr="00AF0E19" w:rsidRDefault="00FF12DC" w:rsidP="00AF0E19">
            <w:pPr>
              <w:spacing w:after="0" w:line="240" w:lineRule="auto"/>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Product</w:t>
            </w:r>
            <w:r w:rsidR="00AF0E19" w:rsidRPr="00AF0E19">
              <w:rPr>
                <w:rFonts w:ascii="Aptos Narrow" w:eastAsia="Times New Roman" w:hAnsi="Aptos Narrow" w:cs="Times New Roman"/>
                <w:color w:val="000000"/>
                <w:lang w:val="en-GB" w:eastAsia="en-GB"/>
              </w:rPr>
              <w:t xml:space="preserve"> available in selected immunology markets</w:t>
            </w:r>
          </w:p>
        </w:tc>
        <w:tc>
          <w:tcPr>
            <w:tcW w:w="1900" w:type="dxa"/>
            <w:tcBorders>
              <w:top w:val="nil"/>
              <w:left w:val="nil"/>
              <w:bottom w:val="single" w:sz="4" w:space="0" w:color="auto"/>
              <w:right w:val="single" w:sz="4" w:space="0" w:color="auto"/>
            </w:tcBorders>
            <w:shd w:val="clear" w:color="auto" w:fill="auto"/>
            <w:vAlign w:val="center"/>
            <w:hideMark/>
          </w:tcPr>
          <w:p w14:paraId="7D4AC52C"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Evaluate performance and expand if market share is favorable</w:t>
            </w:r>
          </w:p>
        </w:tc>
        <w:tc>
          <w:tcPr>
            <w:tcW w:w="2080" w:type="dxa"/>
            <w:tcBorders>
              <w:top w:val="nil"/>
              <w:left w:val="nil"/>
              <w:bottom w:val="single" w:sz="4" w:space="0" w:color="auto"/>
              <w:right w:val="single" w:sz="4" w:space="0" w:color="auto"/>
            </w:tcBorders>
            <w:shd w:val="clear" w:color="auto" w:fill="auto"/>
            <w:vAlign w:val="center"/>
            <w:hideMark/>
          </w:tcPr>
          <w:p w14:paraId="387B2D4F"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Explore further biosimilar entry based on revenue trends</w:t>
            </w:r>
          </w:p>
        </w:tc>
      </w:tr>
      <w:tr w:rsidR="00AF0E19" w:rsidRPr="00AF0E19" w14:paraId="4DDD9F63" w14:textId="77777777" w:rsidTr="00AF0E19">
        <w:trPr>
          <w:trHeight w:val="12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7E6D349"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2033</w:t>
            </w:r>
          </w:p>
        </w:tc>
        <w:tc>
          <w:tcPr>
            <w:tcW w:w="2140" w:type="dxa"/>
            <w:tcBorders>
              <w:top w:val="nil"/>
              <w:left w:val="nil"/>
              <w:bottom w:val="single" w:sz="4" w:space="0" w:color="auto"/>
              <w:right w:val="single" w:sz="4" w:space="0" w:color="auto"/>
            </w:tcBorders>
            <w:shd w:val="clear" w:color="auto" w:fill="auto"/>
            <w:vAlign w:val="center"/>
            <w:hideMark/>
          </w:tcPr>
          <w:p w14:paraId="6D449878"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Final Phase III trials for Next-Generation Oncology Drug</w:t>
            </w:r>
          </w:p>
        </w:tc>
        <w:tc>
          <w:tcPr>
            <w:tcW w:w="2140" w:type="dxa"/>
            <w:tcBorders>
              <w:top w:val="nil"/>
              <w:left w:val="nil"/>
              <w:bottom w:val="single" w:sz="4" w:space="0" w:color="auto"/>
              <w:right w:val="single" w:sz="4" w:space="0" w:color="auto"/>
            </w:tcBorders>
            <w:shd w:val="clear" w:color="auto" w:fill="auto"/>
            <w:vAlign w:val="center"/>
            <w:hideMark/>
          </w:tcPr>
          <w:p w14:paraId="7B9A24A8"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Prepare for market launch and regulatory review</w:t>
            </w:r>
          </w:p>
        </w:tc>
        <w:tc>
          <w:tcPr>
            <w:tcW w:w="1900" w:type="dxa"/>
            <w:tcBorders>
              <w:top w:val="nil"/>
              <w:left w:val="nil"/>
              <w:bottom w:val="single" w:sz="4" w:space="0" w:color="auto"/>
              <w:right w:val="single" w:sz="4" w:space="0" w:color="auto"/>
            </w:tcBorders>
            <w:shd w:val="clear" w:color="auto" w:fill="auto"/>
            <w:vAlign w:val="center"/>
            <w:hideMark/>
          </w:tcPr>
          <w:p w14:paraId="637D44FA"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Confirm launch readiness and distribution channels</w:t>
            </w:r>
          </w:p>
        </w:tc>
        <w:tc>
          <w:tcPr>
            <w:tcW w:w="2080" w:type="dxa"/>
            <w:tcBorders>
              <w:top w:val="nil"/>
              <w:left w:val="nil"/>
              <w:bottom w:val="single" w:sz="4" w:space="0" w:color="auto"/>
              <w:right w:val="single" w:sz="4" w:space="0" w:color="auto"/>
            </w:tcBorders>
            <w:shd w:val="clear" w:color="auto" w:fill="auto"/>
            <w:vAlign w:val="center"/>
            <w:hideMark/>
          </w:tcPr>
          <w:p w14:paraId="57CC2614"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Delay launch to resolve clinical or regulatory issues if necessary</w:t>
            </w:r>
          </w:p>
        </w:tc>
      </w:tr>
      <w:tr w:rsidR="00AF0E19" w:rsidRPr="00AF0E19" w14:paraId="1C3263DE" w14:textId="77777777" w:rsidTr="00AF0E19">
        <w:trPr>
          <w:trHeight w:val="9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3875CD" w14:textId="77777777" w:rsidR="00AF0E19" w:rsidRPr="00AF0E19" w:rsidRDefault="00AF0E19" w:rsidP="00AF0E19">
            <w:pPr>
              <w:spacing w:after="0" w:line="240" w:lineRule="auto"/>
              <w:jc w:val="right"/>
              <w:rPr>
                <w:rFonts w:ascii="Aptos Narrow" w:eastAsia="Times New Roman" w:hAnsi="Aptos Narrow" w:cs="Times New Roman"/>
                <w:b/>
                <w:bCs/>
                <w:color w:val="000000"/>
                <w:lang w:val="en-GB" w:eastAsia="en-GB"/>
              </w:rPr>
            </w:pPr>
            <w:r w:rsidRPr="00AF0E19">
              <w:rPr>
                <w:rFonts w:ascii="Aptos Narrow" w:eastAsia="Times New Roman" w:hAnsi="Aptos Narrow" w:cs="Times New Roman"/>
                <w:b/>
                <w:bCs/>
                <w:color w:val="000000"/>
                <w:lang w:val="en-GB" w:eastAsia="en-GB"/>
              </w:rPr>
              <w:t>2034</w:t>
            </w:r>
          </w:p>
        </w:tc>
        <w:tc>
          <w:tcPr>
            <w:tcW w:w="2140" w:type="dxa"/>
            <w:tcBorders>
              <w:top w:val="nil"/>
              <w:left w:val="nil"/>
              <w:bottom w:val="single" w:sz="4" w:space="0" w:color="auto"/>
              <w:right w:val="single" w:sz="4" w:space="0" w:color="auto"/>
            </w:tcBorders>
            <w:shd w:val="clear" w:color="auto" w:fill="auto"/>
            <w:vAlign w:val="center"/>
            <w:hideMark/>
          </w:tcPr>
          <w:p w14:paraId="730C1555"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Launch Next-Generation Oncology Drug</w:t>
            </w:r>
          </w:p>
        </w:tc>
        <w:tc>
          <w:tcPr>
            <w:tcW w:w="2140" w:type="dxa"/>
            <w:tcBorders>
              <w:top w:val="nil"/>
              <w:left w:val="nil"/>
              <w:bottom w:val="single" w:sz="4" w:space="0" w:color="auto"/>
              <w:right w:val="single" w:sz="4" w:space="0" w:color="auto"/>
            </w:tcBorders>
            <w:shd w:val="clear" w:color="auto" w:fill="auto"/>
            <w:vAlign w:val="center"/>
            <w:hideMark/>
          </w:tcPr>
          <w:p w14:paraId="319B523E" w14:textId="77777777"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Successful product launch as Kendizo replacement</w:t>
            </w:r>
          </w:p>
        </w:tc>
        <w:tc>
          <w:tcPr>
            <w:tcW w:w="1900" w:type="dxa"/>
            <w:tcBorders>
              <w:top w:val="nil"/>
              <w:left w:val="nil"/>
              <w:bottom w:val="single" w:sz="4" w:space="0" w:color="auto"/>
              <w:right w:val="single" w:sz="4" w:space="0" w:color="auto"/>
            </w:tcBorders>
            <w:shd w:val="clear" w:color="auto" w:fill="auto"/>
            <w:vAlign w:val="center"/>
            <w:hideMark/>
          </w:tcPr>
          <w:p w14:paraId="2EAEF1CF" w14:textId="441C1403"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 xml:space="preserve">Monitor </w:t>
            </w:r>
            <w:r w:rsidR="00FF12DC">
              <w:rPr>
                <w:rFonts w:ascii="Aptos Narrow" w:eastAsia="Times New Roman" w:hAnsi="Aptos Narrow" w:cs="Times New Roman"/>
                <w:color w:val="000000"/>
                <w:lang w:val="en-GB" w:eastAsia="en-GB"/>
              </w:rPr>
              <w:t xml:space="preserve">the </w:t>
            </w:r>
            <w:r w:rsidRPr="00AF0E19">
              <w:rPr>
                <w:rFonts w:ascii="Aptos Narrow" w:eastAsia="Times New Roman" w:hAnsi="Aptos Narrow" w:cs="Times New Roman"/>
                <w:color w:val="000000"/>
                <w:lang w:val="en-GB" w:eastAsia="en-GB"/>
              </w:rPr>
              <w:t>transition of Kendizo patients to new therapy</w:t>
            </w:r>
          </w:p>
        </w:tc>
        <w:tc>
          <w:tcPr>
            <w:tcW w:w="2080" w:type="dxa"/>
            <w:tcBorders>
              <w:top w:val="nil"/>
              <w:left w:val="nil"/>
              <w:bottom w:val="single" w:sz="4" w:space="0" w:color="auto"/>
              <w:right w:val="single" w:sz="4" w:space="0" w:color="auto"/>
            </w:tcBorders>
            <w:shd w:val="clear" w:color="auto" w:fill="auto"/>
            <w:vAlign w:val="center"/>
            <w:hideMark/>
          </w:tcPr>
          <w:p w14:paraId="087F7183" w14:textId="484E34FA" w:rsidR="00AF0E19" w:rsidRPr="00AF0E19" w:rsidRDefault="00AF0E19" w:rsidP="00AF0E19">
            <w:pPr>
              <w:spacing w:after="0" w:line="240" w:lineRule="auto"/>
              <w:rPr>
                <w:rFonts w:ascii="Aptos Narrow" w:eastAsia="Times New Roman" w:hAnsi="Aptos Narrow" w:cs="Times New Roman"/>
                <w:color w:val="000000"/>
                <w:lang w:val="en-GB" w:eastAsia="en-GB"/>
              </w:rPr>
            </w:pPr>
            <w:r w:rsidRPr="00AF0E19">
              <w:rPr>
                <w:rFonts w:ascii="Aptos Narrow" w:eastAsia="Times New Roman" w:hAnsi="Aptos Narrow" w:cs="Times New Roman"/>
                <w:color w:val="000000"/>
                <w:lang w:val="en-GB" w:eastAsia="en-GB"/>
              </w:rPr>
              <w:t xml:space="preserve">Reinforce patient education to ensure </w:t>
            </w:r>
            <w:r w:rsidR="00FF12DC">
              <w:rPr>
                <w:rFonts w:ascii="Aptos Narrow" w:eastAsia="Times New Roman" w:hAnsi="Aptos Narrow" w:cs="Times New Roman"/>
                <w:color w:val="000000"/>
                <w:lang w:val="en-GB" w:eastAsia="en-GB"/>
              </w:rPr>
              <w:t xml:space="preserve">a </w:t>
            </w:r>
            <w:r w:rsidRPr="00AF0E19">
              <w:rPr>
                <w:rFonts w:ascii="Aptos Narrow" w:eastAsia="Times New Roman" w:hAnsi="Aptos Narrow" w:cs="Times New Roman"/>
                <w:color w:val="000000"/>
                <w:lang w:val="en-GB" w:eastAsia="en-GB"/>
              </w:rPr>
              <w:t>smooth transition</w:t>
            </w:r>
          </w:p>
        </w:tc>
      </w:tr>
    </w:tbl>
    <w:p w14:paraId="17EBED71" w14:textId="77777777" w:rsidR="00AF0E19" w:rsidRPr="00F32AB3" w:rsidRDefault="00AF0E19">
      <w:pPr>
        <w:rPr>
          <w:lang w:val="en-GB"/>
        </w:rPr>
      </w:pPr>
    </w:p>
    <w:sectPr w:rsidR="00AF0E19" w:rsidRPr="00F32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ahoma-Bold">
    <w:altName w:val="Tahoma"/>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AE40A9"/>
    <w:multiLevelType w:val="multilevel"/>
    <w:tmpl w:val="8C5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2757E9"/>
    <w:multiLevelType w:val="multilevel"/>
    <w:tmpl w:val="B97C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124A57"/>
    <w:multiLevelType w:val="multilevel"/>
    <w:tmpl w:val="4254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940549">
    <w:abstractNumId w:val="1"/>
  </w:num>
  <w:num w:numId="2" w16cid:durableId="143395429">
    <w:abstractNumId w:val="0"/>
  </w:num>
  <w:num w:numId="3" w16cid:durableId="1330719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8F"/>
    <w:rsid w:val="0005177D"/>
    <w:rsid w:val="000B45E1"/>
    <w:rsid w:val="000D479D"/>
    <w:rsid w:val="002B1381"/>
    <w:rsid w:val="0035149E"/>
    <w:rsid w:val="003F24B8"/>
    <w:rsid w:val="00446098"/>
    <w:rsid w:val="005055E1"/>
    <w:rsid w:val="00534C1A"/>
    <w:rsid w:val="006F0D8B"/>
    <w:rsid w:val="00816B0F"/>
    <w:rsid w:val="00894CAD"/>
    <w:rsid w:val="008F198E"/>
    <w:rsid w:val="00AA688F"/>
    <w:rsid w:val="00AF0E19"/>
    <w:rsid w:val="00C73646"/>
    <w:rsid w:val="00DF745D"/>
    <w:rsid w:val="00E36A1B"/>
    <w:rsid w:val="00E45D8D"/>
    <w:rsid w:val="00EA68AF"/>
    <w:rsid w:val="00EC7D69"/>
    <w:rsid w:val="00ED20D0"/>
    <w:rsid w:val="00F32AB3"/>
    <w:rsid w:val="00FC7A36"/>
    <w:rsid w:val="00FD3612"/>
    <w:rsid w:val="00FF12DC"/>
    <w:rsid w:val="3D987D88"/>
    <w:rsid w:val="7BCF76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38DA7"/>
  <w15:chartTrackingRefBased/>
  <w15:docId w15:val="{FD56362F-CC4F-459F-9713-4CECE735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A68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8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8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8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8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8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A688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A688F"/>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A688F"/>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A688F"/>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A688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A688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A688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A688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A6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88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A6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88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A688F"/>
    <w:pPr>
      <w:spacing w:before="160"/>
      <w:jc w:val="center"/>
    </w:pPr>
    <w:rPr>
      <w:i/>
      <w:iCs/>
      <w:color w:val="404040" w:themeColor="text1" w:themeTint="BF"/>
    </w:rPr>
  </w:style>
  <w:style w:type="character" w:customStyle="1" w:styleId="QuoteChar">
    <w:name w:val="Quote Char"/>
    <w:basedOn w:val="DefaultParagraphFont"/>
    <w:link w:val="Quote"/>
    <w:uiPriority w:val="29"/>
    <w:rsid w:val="00AA688F"/>
    <w:rPr>
      <w:i/>
      <w:iCs/>
      <w:color w:val="404040" w:themeColor="text1" w:themeTint="BF"/>
      <w:lang w:val="en-US"/>
    </w:rPr>
  </w:style>
  <w:style w:type="paragraph" w:styleId="ListParagraph">
    <w:name w:val="List Paragraph"/>
    <w:basedOn w:val="Normal"/>
    <w:uiPriority w:val="34"/>
    <w:qFormat/>
    <w:rsid w:val="00AA688F"/>
    <w:pPr>
      <w:ind w:left="720"/>
      <w:contextualSpacing/>
    </w:pPr>
  </w:style>
  <w:style w:type="character" w:styleId="IntenseEmphasis">
    <w:name w:val="Intense Emphasis"/>
    <w:basedOn w:val="DefaultParagraphFont"/>
    <w:uiPriority w:val="21"/>
    <w:qFormat/>
    <w:rsid w:val="00AA688F"/>
    <w:rPr>
      <w:i/>
      <w:iCs/>
      <w:color w:val="2F5496" w:themeColor="accent1" w:themeShade="BF"/>
    </w:rPr>
  </w:style>
  <w:style w:type="paragraph" w:styleId="IntenseQuote">
    <w:name w:val="Intense Quote"/>
    <w:basedOn w:val="Normal"/>
    <w:next w:val="Normal"/>
    <w:link w:val="IntenseQuoteChar"/>
    <w:uiPriority w:val="30"/>
    <w:qFormat/>
    <w:rsid w:val="00AA68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88F"/>
    <w:rPr>
      <w:i/>
      <w:iCs/>
      <w:color w:val="2F5496" w:themeColor="accent1" w:themeShade="BF"/>
      <w:lang w:val="en-US"/>
    </w:rPr>
  </w:style>
  <w:style w:type="character" w:styleId="IntenseReference">
    <w:name w:val="Intense Reference"/>
    <w:basedOn w:val="DefaultParagraphFont"/>
    <w:uiPriority w:val="32"/>
    <w:qFormat/>
    <w:rsid w:val="00AA688F"/>
    <w:rPr>
      <w:b/>
      <w:bCs/>
      <w:smallCaps/>
      <w:color w:val="2F5496" w:themeColor="accent1" w:themeShade="BF"/>
      <w:spacing w:val="5"/>
    </w:rPr>
  </w:style>
  <w:style w:type="paragraph" w:styleId="NormalWeb">
    <w:name w:val="Normal (Web)"/>
    <w:basedOn w:val="Normal"/>
    <w:uiPriority w:val="99"/>
    <w:semiHidden/>
    <w:unhideWhenUsed/>
    <w:rsid w:val="00816B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435986">
      <w:bodyDiv w:val="1"/>
      <w:marLeft w:val="0"/>
      <w:marRight w:val="0"/>
      <w:marTop w:val="0"/>
      <w:marBottom w:val="0"/>
      <w:divBdr>
        <w:top w:val="none" w:sz="0" w:space="0" w:color="auto"/>
        <w:left w:val="none" w:sz="0" w:space="0" w:color="auto"/>
        <w:bottom w:val="none" w:sz="0" w:space="0" w:color="auto"/>
        <w:right w:val="none" w:sz="0" w:space="0" w:color="auto"/>
      </w:divBdr>
    </w:div>
    <w:div w:id="393235865">
      <w:bodyDiv w:val="1"/>
      <w:marLeft w:val="0"/>
      <w:marRight w:val="0"/>
      <w:marTop w:val="0"/>
      <w:marBottom w:val="0"/>
      <w:divBdr>
        <w:top w:val="none" w:sz="0" w:space="0" w:color="auto"/>
        <w:left w:val="none" w:sz="0" w:space="0" w:color="auto"/>
        <w:bottom w:val="none" w:sz="0" w:space="0" w:color="auto"/>
        <w:right w:val="none" w:sz="0" w:space="0" w:color="auto"/>
      </w:divBdr>
    </w:div>
    <w:div w:id="556546757">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1116828579">
      <w:bodyDiv w:val="1"/>
      <w:marLeft w:val="0"/>
      <w:marRight w:val="0"/>
      <w:marTop w:val="0"/>
      <w:marBottom w:val="0"/>
      <w:divBdr>
        <w:top w:val="none" w:sz="0" w:space="0" w:color="auto"/>
        <w:left w:val="none" w:sz="0" w:space="0" w:color="auto"/>
        <w:bottom w:val="none" w:sz="0" w:space="0" w:color="auto"/>
        <w:right w:val="none" w:sz="0" w:space="0" w:color="auto"/>
      </w:divBdr>
    </w:div>
    <w:div w:id="1552418947">
      <w:bodyDiv w:val="1"/>
      <w:marLeft w:val="0"/>
      <w:marRight w:val="0"/>
      <w:marTop w:val="0"/>
      <w:marBottom w:val="0"/>
      <w:divBdr>
        <w:top w:val="none" w:sz="0" w:space="0" w:color="auto"/>
        <w:left w:val="none" w:sz="0" w:space="0" w:color="auto"/>
        <w:bottom w:val="none" w:sz="0" w:space="0" w:color="auto"/>
        <w:right w:val="none" w:sz="0" w:space="0" w:color="auto"/>
      </w:divBdr>
      <w:divsChild>
        <w:div w:id="271323308">
          <w:marLeft w:val="0"/>
          <w:marRight w:val="0"/>
          <w:marTop w:val="0"/>
          <w:marBottom w:val="0"/>
          <w:divBdr>
            <w:top w:val="none" w:sz="0" w:space="0" w:color="auto"/>
            <w:left w:val="none" w:sz="0" w:space="0" w:color="auto"/>
            <w:bottom w:val="none" w:sz="0" w:space="0" w:color="auto"/>
            <w:right w:val="none" w:sz="0" w:space="0" w:color="auto"/>
          </w:divBdr>
        </w:div>
      </w:divsChild>
    </w:div>
    <w:div w:id="1645741072">
      <w:bodyDiv w:val="1"/>
      <w:marLeft w:val="0"/>
      <w:marRight w:val="0"/>
      <w:marTop w:val="0"/>
      <w:marBottom w:val="0"/>
      <w:divBdr>
        <w:top w:val="none" w:sz="0" w:space="0" w:color="auto"/>
        <w:left w:val="none" w:sz="0" w:space="0" w:color="auto"/>
        <w:bottom w:val="none" w:sz="0" w:space="0" w:color="auto"/>
        <w:right w:val="none" w:sz="0" w:space="0" w:color="auto"/>
      </w:divBdr>
      <w:divsChild>
        <w:div w:id="415444070">
          <w:marLeft w:val="0"/>
          <w:marRight w:val="0"/>
          <w:marTop w:val="0"/>
          <w:marBottom w:val="0"/>
          <w:divBdr>
            <w:top w:val="none" w:sz="0" w:space="0" w:color="auto"/>
            <w:left w:val="none" w:sz="0" w:space="0" w:color="auto"/>
            <w:bottom w:val="none" w:sz="0" w:space="0" w:color="auto"/>
            <w:right w:val="none" w:sz="0" w:space="0" w:color="auto"/>
          </w:divBdr>
          <w:divsChild>
            <w:div w:id="1994135965">
              <w:marLeft w:val="0"/>
              <w:marRight w:val="0"/>
              <w:marTop w:val="0"/>
              <w:marBottom w:val="0"/>
              <w:divBdr>
                <w:top w:val="none" w:sz="0" w:space="0" w:color="auto"/>
                <w:left w:val="none" w:sz="0" w:space="0" w:color="auto"/>
                <w:bottom w:val="none" w:sz="0" w:space="0" w:color="auto"/>
                <w:right w:val="none" w:sz="0" w:space="0" w:color="auto"/>
              </w:divBdr>
              <w:divsChild>
                <w:div w:id="1421490597">
                  <w:marLeft w:val="0"/>
                  <w:marRight w:val="0"/>
                  <w:marTop w:val="0"/>
                  <w:marBottom w:val="0"/>
                  <w:divBdr>
                    <w:top w:val="none" w:sz="0" w:space="0" w:color="auto"/>
                    <w:left w:val="none" w:sz="0" w:space="0" w:color="auto"/>
                    <w:bottom w:val="none" w:sz="0" w:space="0" w:color="auto"/>
                    <w:right w:val="none" w:sz="0" w:space="0" w:color="auto"/>
                  </w:divBdr>
                  <w:divsChild>
                    <w:div w:id="12413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52289">
          <w:marLeft w:val="0"/>
          <w:marRight w:val="0"/>
          <w:marTop w:val="0"/>
          <w:marBottom w:val="0"/>
          <w:divBdr>
            <w:top w:val="none" w:sz="0" w:space="0" w:color="auto"/>
            <w:left w:val="none" w:sz="0" w:space="0" w:color="auto"/>
            <w:bottom w:val="none" w:sz="0" w:space="0" w:color="auto"/>
            <w:right w:val="none" w:sz="0" w:space="0" w:color="auto"/>
          </w:divBdr>
          <w:divsChild>
            <w:div w:id="519513372">
              <w:marLeft w:val="0"/>
              <w:marRight w:val="0"/>
              <w:marTop w:val="0"/>
              <w:marBottom w:val="0"/>
              <w:divBdr>
                <w:top w:val="none" w:sz="0" w:space="0" w:color="auto"/>
                <w:left w:val="none" w:sz="0" w:space="0" w:color="auto"/>
                <w:bottom w:val="none" w:sz="0" w:space="0" w:color="auto"/>
                <w:right w:val="none" w:sz="0" w:space="0" w:color="auto"/>
              </w:divBdr>
              <w:divsChild>
                <w:div w:id="2049379543">
                  <w:marLeft w:val="0"/>
                  <w:marRight w:val="0"/>
                  <w:marTop w:val="0"/>
                  <w:marBottom w:val="0"/>
                  <w:divBdr>
                    <w:top w:val="none" w:sz="0" w:space="0" w:color="auto"/>
                    <w:left w:val="none" w:sz="0" w:space="0" w:color="auto"/>
                    <w:bottom w:val="none" w:sz="0" w:space="0" w:color="auto"/>
                    <w:right w:val="none" w:sz="0" w:space="0" w:color="auto"/>
                  </w:divBdr>
                  <w:divsChild>
                    <w:div w:id="17243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793931">
      <w:bodyDiv w:val="1"/>
      <w:marLeft w:val="0"/>
      <w:marRight w:val="0"/>
      <w:marTop w:val="0"/>
      <w:marBottom w:val="0"/>
      <w:divBdr>
        <w:top w:val="none" w:sz="0" w:space="0" w:color="auto"/>
        <w:left w:val="none" w:sz="0" w:space="0" w:color="auto"/>
        <w:bottom w:val="none" w:sz="0" w:space="0" w:color="auto"/>
        <w:right w:val="none" w:sz="0" w:space="0" w:color="auto"/>
      </w:divBdr>
    </w:div>
    <w:div w:id="196045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a9a829c-229a-4b71-af56-fff140185c0a" xsi:nil="true"/>
    <lcf76f155ced4ddcb4097134ff3c332f xmlns="9e627e65-24bb-4966-9e9a-c8a53fba972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FE5634CA59F84FAFDE705530147E03" ma:contentTypeVersion="11" ma:contentTypeDescription="Create a new document." ma:contentTypeScope="" ma:versionID="a9ccfedeb46f404654570b984dc18419">
  <xsd:schema xmlns:xsd="http://www.w3.org/2001/XMLSchema" xmlns:xs="http://www.w3.org/2001/XMLSchema" xmlns:p="http://schemas.microsoft.com/office/2006/metadata/properties" xmlns:ns2="9e627e65-24bb-4966-9e9a-c8a53fba9725" xmlns:ns3="9a9a829c-229a-4b71-af56-fff140185c0a" targetNamespace="http://schemas.microsoft.com/office/2006/metadata/properties" ma:root="true" ma:fieldsID="9ba2b0a740c6e9f30838596b2314e3e8" ns2:_="" ns3:_="">
    <xsd:import namespace="9e627e65-24bb-4966-9e9a-c8a53fba9725"/>
    <xsd:import namespace="9a9a829c-229a-4b71-af56-fff140185c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27e65-24bb-4966-9e9a-c8a53fba9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a829c-229a-4b71-af56-fff140185c0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9a17f1-ca22-41e2-805c-f8b5670ab2ca}" ma:internalName="TaxCatchAll" ma:showField="CatchAllData" ma:web="9a9a829c-229a-4b71-af56-fff140185c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11271F-C7E1-4BC6-AA45-ED5F330ABF44}">
  <ds:schemaRefs>
    <ds:schemaRef ds:uri="http://schemas.microsoft.com/office/2006/metadata/properties"/>
    <ds:schemaRef ds:uri="http://schemas.microsoft.com/office/infopath/2007/PartnerControls"/>
    <ds:schemaRef ds:uri="9a9a829c-229a-4b71-af56-fff140185c0a"/>
    <ds:schemaRef ds:uri="9e627e65-24bb-4966-9e9a-c8a53fba9725"/>
  </ds:schemaRefs>
</ds:datastoreItem>
</file>

<file path=customXml/itemProps2.xml><?xml version="1.0" encoding="utf-8"?>
<ds:datastoreItem xmlns:ds="http://schemas.openxmlformats.org/officeDocument/2006/customXml" ds:itemID="{F0B5F89B-3E97-42AB-B277-A1D3FE6B7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627e65-24bb-4966-9e9a-c8a53fba9725"/>
    <ds:schemaRef ds:uri="9a9a829c-229a-4b71-af56-fff140185c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ED6FA8-698D-4EC1-A2B1-43D7B3378F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2309</Words>
  <Characters>13162</Characters>
  <Application>Microsoft Office Word</Application>
  <DocSecurity>4</DocSecurity>
  <Lines>109</Lines>
  <Paragraphs>30</Paragraphs>
  <ScaleCrop>false</ScaleCrop>
  <Company/>
  <LinksUpToDate>false</LinksUpToDate>
  <CharactersWithSpaces>15441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Iheanyichukwu Samuel Onwubiko</dc:creator>
  <cp:keywords/>
  <dc:description/>
  <cp:lastModifiedBy>Oluwakemi Balogun</cp:lastModifiedBy>
  <cp:revision>15</cp:revision>
  <dcterms:created xsi:type="dcterms:W3CDTF">2024-11-12T15:54:00Z</dcterms:created>
  <dcterms:modified xsi:type="dcterms:W3CDTF">2024-11-13T17:00:00Z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0x01010081FE5634CA59F84FAFDE705530147E03</vt:lpwstr>
  </property>
  <property fmtid="{D5CDD505-2E9C-101B-9397-08002B2CF9AE}" pid="3" name="MediaServiceImageTags">
    <vt:lpwstr/>
  </property>
</Properties>
</file>