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0170" w14:textId="77777777" w:rsidR="001821D6" w:rsidRPr="00AA630A" w:rsidRDefault="00000000">
      <w:pPr>
        <w:pStyle w:val="Heading1"/>
        <w:rPr>
          <w:color w:val="auto"/>
        </w:rPr>
      </w:pPr>
      <w:r w:rsidRPr="00AA630A">
        <w:rPr>
          <w:color w:val="auto"/>
        </w:rPr>
        <w:t>1. Problem Statement and Business Case</w:t>
      </w:r>
    </w:p>
    <w:p w14:paraId="2E920F30" w14:textId="651AC22E" w:rsidR="001821D6" w:rsidRPr="00AA630A" w:rsidRDefault="00000000">
      <w:pPr>
        <w:spacing w:before="60" w:after="60"/>
      </w:pPr>
      <w:r w:rsidRPr="00AA630A">
        <w:t xml:space="preserve">This model addresses whether a city’s regional food inflation is outpacing wage </w:t>
      </w:r>
      <w:r w:rsidR="00AA630A" w:rsidRPr="00AA630A">
        <w:t>growth,</w:t>
      </w:r>
      <w:r w:rsidRPr="00AA630A">
        <w:t xml:space="preserve"> a direct indicator of household cost pressure. Using the Global Grocery Inflation dataset (80 cities, 6 continents, 6 months, 14 food items), we classify each observation as High Cost (food inflation exceeds wage growth) or Low Cost (within wage growth range). Since a merged wage dataset was unavailable, the 4.5% global real-wage growth benchmark (World Bank/ILO, 2025) was used as a proxy threshold. This model is valuable for governments identifying cost-of-living intervention targets, NGOs prioritizing food aid deployment, and businesses anticipating shifts in consumer purchasing power across markets.</w:t>
      </w:r>
    </w:p>
    <w:p w14:paraId="345D74B0" w14:textId="77777777" w:rsidR="001821D6" w:rsidRPr="00AA630A" w:rsidRDefault="001821D6">
      <w:pPr>
        <w:spacing w:before="40" w:after="40"/>
      </w:pPr>
    </w:p>
    <w:p w14:paraId="00524C06" w14:textId="77777777" w:rsidR="001821D6" w:rsidRPr="00AA630A" w:rsidRDefault="00000000">
      <w:pPr>
        <w:pStyle w:val="Heading1"/>
        <w:rPr>
          <w:color w:val="auto"/>
        </w:rPr>
      </w:pPr>
      <w:r w:rsidRPr="00AA630A">
        <w:rPr>
          <w:color w:val="auto"/>
        </w:rPr>
        <w:t>2. Data Preprocessing</w:t>
      </w:r>
    </w:p>
    <w:p w14:paraId="703B2B9D" w14:textId="77777777" w:rsidR="001821D6" w:rsidRPr="00AA630A" w:rsidRDefault="00000000">
      <w:pPr>
        <w:spacing w:before="60" w:after="60"/>
      </w:pPr>
      <w:r w:rsidRPr="00AA630A">
        <w:t>The raw dataset (10,248 rows, 27 columns) was clean: zero missing values, zero duplicates. The following steps were taken:</w:t>
      </w:r>
    </w:p>
    <w:p w14:paraId="29051109" w14:textId="77777777" w:rsidR="001821D6" w:rsidRPr="00AA630A" w:rsidRDefault="00000000">
      <w:pPr>
        <w:pStyle w:val="ListParagraph"/>
        <w:numPr>
          <w:ilvl w:val="0"/>
          <w:numId w:val="2"/>
        </w:numPr>
        <w:spacing w:before="30" w:after="30"/>
      </w:pPr>
      <w:r w:rsidRPr="00AA630A">
        <w:t>Removed three zero-variance columns (FAO_YoY_Change_Pct, USDA_All/Home_Food_Pct) and excluded price columns (Price_Local, Price_USD, Exchange_Rate) to prevent data leakage.</w:t>
      </w:r>
    </w:p>
    <w:p w14:paraId="426B56D1" w14:textId="77777777" w:rsidR="001821D6" w:rsidRPr="00AA630A" w:rsidRDefault="00000000">
      <w:pPr>
        <w:pStyle w:val="ListParagraph"/>
        <w:numPr>
          <w:ilvl w:val="0"/>
          <w:numId w:val="2"/>
        </w:numPr>
        <w:spacing w:before="30" w:after="30"/>
      </w:pPr>
      <w:r w:rsidRPr="00AA630A">
        <w:t>Engineered Month_Num (numeric month sequence) and Log_Population (log-transformed city population) as additional features.</w:t>
      </w:r>
    </w:p>
    <w:p w14:paraId="2AEE73E2" w14:textId="77777777" w:rsidR="001821D6" w:rsidRPr="00AA630A" w:rsidRDefault="00000000">
      <w:pPr>
        <w:pStyle w:val="ListParagraph"/>
        <w:numPr>
          <w:ilvl w:val="0"/>
          <w:numId w:val="2"/>
        </w:numPr>
        <w:spacing w:before="30" w:after="30"/>
      </w:pPr>
      <w:r w:rsidRPr="00AA630A">
        <w:t>Label-encoded Item_Category (7 values) and Item_Key (14 values) for XGBoost compatibility.</w:t>
      </w:r>
    </w:p>
    <w:p w14:paraId="18E0646B" w14:textId="26E7DC62" w:rsidR="001821D6" w:rsidRPr="00AA630A" w:rsidRDefault="00000000">
      <w:pPr>
        <w:pStyle w:val="ListParagraph"/>
        <w:numPr>
          <w:ilvl w:val="0"/>
          <w:numId w:val="2"/>
        </w:numPr>
        <w:spacing w:before="30" w:after="30"/>
      </w:pPr>
      <w:r w:rsidRPr="00AA630A">
        <w:t>Constructed binary target: Wage_Adjusted_High_Cost = 1 if YoY inflation &gt; 4.5%, else 0. Result: 5,460 High Cost (53.3%) and 4,788 Low Cost (46.7%</w:t>
      </w:r>
      <w:r w:rsidR="00AA630A" w:rsidRPr="00AA630A">
        <w:t>),</w:t>
      </w:r>
      <w:r w:rsidRPr="00AA630A">
        <w:t xml:space="preserve"> imbalance ratio 0.88.</w:t>
      </w:r>
    </w:p>
    <w:p w14:paraId="73792300" w14:textId="77777777" w:rsidR="001821D6" w:rsidRPr="00AA630A" w:rsidRDefault="00000000">
      <w:pPr>
        <w:pStyle w:val="ListParagraph"/>
        <w:numPr>
          <w:ilvl w:val="0"/>
          <w:numId w:val="2"/>
        </w:numPr>
        <w:spacing w:before="30" w:after="30"/>
      </w:pPr>
      <w:r w:rsidRPr="00AA630A">
        <w:t>Applied city-based train/test split (64 train cities, 24 held-out test cities) to prevent region-level label leakage, since inflation is assigned uniformly within each region.</w:t>
      </w:r>
    </w:p>
    <w:p w14:paraId="0940B7CE" w14:textId="77777777" w:rsidR="001821D6" w:rsidRPr="00AA630A" w:rsidRDefault="00000000">
      <w:pPr>
        <w:spacing w:before="60" w:after="60"/>
      </w:pPr>
      <w:r w:rsidRPr="00AA630A">
        <w:t>EDA revealed 8 of 12 regions exceed the wage benchmark, led by Sub-Saharan Africa (11.2%), North Africa (9.5%), and MENA (8.9%). East Asia (2.4%) and Western Europe (3.2%) remain below it.</w:t>
      </w:r>
    </w:p>
    <w:p w14:paraId="12D8169B" w14:textId="77777777" w:rsidR="001821D6" w:rsidRPr="00AA630A" w:rsidRDefault="001821D6">
      <w:pPr>
        <w:spacing w:before="40" w:after="40"/>
      </w:pPr>
    </w:p>
    <w:p w14:paraId="06E7F7B4" w14:textId="77777777" w:rsidR="001821D6" w:rsidRPr="00AA630A" w:rsidRDefault="00000000">
      <w:pPr>
        <w:pStyle w:val="Heading1"/>
        <w:rPr>
          <w:color w:val="auto"/>
        </w:rPr>
      </w:pPr>
      <w:r w:rsidRPr="00AA630A">
        <w:rPr>
          <w:color w:val="auto"/>
        </w:rPr>
        <w:t>3. Model Tuning, Selection, and Justification</w:t>
      </w:r>
    </w:p>
    <w:p w14:paraId="0C165B22" w14:textId="77777777" w:rsidR="001821D6" w:rsidRPr="00AA630A" w:rsidRDefault="00000000">
      <w:pPr>
        <w:spacing w:before="60" w:after="60"/>
      </w:pPr>
      <w:r w:rsidRPr="00AA630A">
        <w:t>XGBoost was selected for its native handling of mixed feature types, built-in regularization, scale_pos_weight for class imbalance (set to 0.877), and seamless SHAP integration. GridSearchCV with 5-fold Stratified CV (1,620 total fits) was run over: n_estimators [100,200,300], max_depth [2,3,4], learning_rate [0.01,0.05,0.1], subsample [0.7,0.8], colsample_bytree [0.7,0.8], min_child_weight [5,10,20]. Best parameters: n_estimators=300, max_depth=3, learning_rate=0.1, subsample=0.7, colsample_bytree=0.7, min_child_weight=5. Shallow depth and aggressive subsampling were required given the limited regional variation in the target signal.</w:t>
      </w:r>
    </w:p>
    <w:p w14:paraId="50B2D74E" w14:textId="77777777" w:rsidR="001821D6" w:rsidRPr="00AA630A" w:rsidRDefault="001821D6">
      <w:pPr>
        <w:spacing w:before="40" w:after="40"/>
      </w:pPr>
    </w:p>
    <w:p w14:paraId="77FAAEC3" w14:textId="77777777" w:rsidR="001821D6" w:rsidRPr="00AA630A" w:rsidRDefault="00000000">
      <w:pPr>
        <w:pStyle w:val="Heading1"/>
        <w:rPr>
          <w:color w:val="auto"/>
        </w:rPr>
      </w:pPr>
      <w:r w:rsidRPr="00AA630A">
        <w:rPr>
          <w:color w:val="auto"/>
        </w:rPr>
        <w:t>4. Results and Insights</w:t>
      </w:r>
    </w:p>
    <w:p w14:paraId="670F7077" w14:textId="49B8111A" w:rsidR="001821D6" w:rsidRPr="00AA630A" w:rsidRDefault="00000000">
      <w:pPr>
        <w:spacing w:before="60" w:after="60"/>
      </w:pPr>
      <w:r w:rsidRPr="00AA630A">
        <w:t xml:space="preserve">Table 1: Model </w:t>
      </w:r>
      <w:r w:rsidR="00AA630A" w:rsidRPr="00AA630A">
        <w:t>Evaluation,</w:t>
      </w:r>
      <w:r w:rsidRPr="00AA630A">
        <w:t xml:space="preserve"> Baseline vs. Tuned XGBoost (24 held-out cities, 2,016 rows)</w:t>
      </w:r>
    </w:p>
    <w:p w14:paraId="565A685C" w14:textId="77777777" w:rsidR="001821D6" w:rsidRPr="00AA630A" w:rsidRDefault="001821D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8"/>
        <w:gridCol w:w="1293"/>
        <w:gridCol w:w="1293"/>
        <w:gridCol w:w="1272"/>
        <w:gridCol w:w="1272"/>
        <w:gridCol w:w="1272"/>
        <w:gridCol w:w="670"/>
      </w:tblGrid>
      <w:tr w:rsidR="001821D6" w:rsidRPr="00AA630A" w14:paraId="08AB1D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2772C" w14:textId="77777777" w:rsidR="001821D6" w:rsidRPr="00AA630A" w:rsidRDefault="00000000">
            <w:pPr>
              <w:jc w:val="center"/>
              <w:rPr>
                <w:color w:val="FFFFFF" w:themeColor="background1"/>
              </w:rPr>
            </w:pPr>
            <w:r w:rsidRPr="00AA630A">
              <w:rPr>
                <w:b/>
                <w:bCs/>
                <w:color w:val="FFFFFF" w:themeColor="background1"/>
                <w:sz w:val="18"/>
                <w:szCs w:val="18"/>
              </w:rPr>
              <w:t>Model</w:t>
            </w:r>
          </w:p>
        </w:tc>
        <w:tc>
          <w:tcPr>
            <w:tcW w:w="1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2C674" w14:textId="77777777" w:rsidR="001821D6" w:rsidRPr="00AA630A" w:rsidRDefault="00000000">
            <w:pPr>
              <w:jc w:val="center"/>
              <w:rPr>
                <w:color w:val="FFFFFF" w:themeColor="background1"/>
              </w:rPr>
            </w:pPr>
            <w:r w:rsidRPr="00AA630A">
              <w:rPr>
                <w:b/>
                <w:bCs/>
                <w:color w:val="FFFFFF" w:themeColor="background1"/>
                <w:sz w:val="18"/>
                <w:szCs w:val="18"/>
              </w:rPr>
              <w:t>Accuracy</w:t>
            </w:r>
          </w:p>
        </w:tc>
        <w:tc>
          <w:tcPr>
            <w:tcW w:w="1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40018" w14:textId="77777777" w:rsidR="001821D6" w:rsidRPr="00AA630A" w:rsidRDefault="00000000">
            <w:pPr>
              <w:jc w:val="center"/>
              <w:rPr>
                <w:color w:val="FFFFFF" w:themeColor="background1"/>
              </w:rPr>
            </w:pPr>
            <w:r w:rsidRPr="00AA630A">
              <w:rPr>
                <w:b/>
                <w:bCs/>
                <w:color w:val="FFFFFF" w:themeColor="background1"/>
                <w:sz w:val="18"/>
                <w:szCs w:val="18"/>
              </w:rPr>
              <w:t>Precision</w:t>
            </w:r>
          </w:p>
        </w:tc>
        <w:tc>
          <w:tcPr>
            <w:tcW w:w="1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47C26" w14:textId="77777777" w:rsidR="001821D6" w:rsidRPr="00AA630A" w:rsidRDefault="00000000">
            <w:pPr>
              <w:jc w:val="center"/>
              <w:rPr>
                <w:color w:val="FFFFFF" w:themeColor="background1"/>
              </w:rPr>
            </w:pPr>
            <w:r w:rsidRPr="00AA630A">
              <w:rPr>
                <w:b/>
                <w:bCs/>
                <w:color w:val="FFFFFF" w:themeColor="background1"/>
                <w:sz w:val="18"/>
                <w:szCs w:val="18"/>
              </w:rPr>
              <w:t>Recall</w:t>
            </w:r>
          </w:p>
        </w:tc>
        <w:tc>
          <w:tcPr>
            <w:tcW w:w="1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B9924" w14:textId="77777777" w:rsidR="001821D6" w:rsidRPr="00AA630A" w:rsidRDefault="00000000">
            <w:pPr>
              <w:jc w:val="center"/>
              <w:rPr>
                <w:color w:val="FFFFFF" w:themeColor="background1"/>
              </w:rPr>
            </w:pPr>
            <w:r w:rsidRPr="00AA630A">
              <w:rPr>
                <w:b/>
                <w:bCs/>
                <w:color w:val="FFFFFF" w:themeColor="background1"/>
                <w:sz w:val="18"/>
                <w:szCs w:val="18"/>
              </w:rPr>
              <w:t>F1-Score</w:t>
            </w:r>
          </w:p>
        </w:tc>
        <w:tc>
          <w:tcPr>
            <w:tcW w:w="1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EE406" w14:textId="77777777" w:rsidR="001821D6" w:rsidRPr="00AA630A" w:rsidRDefault="00000000">
            <w:pPr>
              <w:jc w:val="center"/>
              <w:rPr>
                <w:color w:val="FFFFFF" w:themeColor="background1"/>
              </w:rPr>
            </w:pPr>
            <w:r w:rsidRPr="00AA630A">
              <w:rPr>
                <w:b/>
                <w:bCs/>
                <w:color w:val="FFFFFF" w:themeColor="background1"/>
                <w:sz w:val="18"/>
                <w:szCs w:val="18"/>
              </w:rPr>
              <w:t>AUC-ROC</w:t>
            </w:r>
          </w:p>
        </w:tc>
        <w:tc>
          <w:tcPr>
            <w:tcW w:w="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EB464" w14:textId="77777777" w:rsidR="001821D6" w:rsidRPr="00AA630A" w:rsidRDefault="00000000">
            <w:pPr>
              <w:jc w:val="center"/>
              <w:rPr>
                <w:color w:val="FFFFFF" w:themeColor="background1"/>
              </w:rPr>
            </w:pPr>
            <w:r w:rsidRPr="00AA630A">
              <w:rPr>
                <w:b/>
                <w:bCs/>
                <w:color w:val="FFFFFF" w:themeColor="background1"/>
                <w:sz w:val="18"/>
                <w:szCs w:val="18"/>
              </w:rPr>
              <w:t>Split</w:t>
            </w:r>
          </w:p>
        </w:tc>
      </w:tr>
      <w:tr w:rsidR="001821D6" w:rsidRPr="00AA630A" w14:paraId="067FA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C2691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XGBoost (Baseline)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05F4B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0.6667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4992F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0.6000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59138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0.8182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0CF75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0.6923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3AB98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0.6294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ADC3C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City</w:t>
            </w:r>
          </w:p>
        </w:tc>
      </w:tr>
      <w:tr w:rsidR="001821D6" w:rsidRPr="00AA630A" w14:paraId="084D3C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FD269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XGBoost (Tuned)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7EA06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0.6667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9C6E4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0.6000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FE315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0.8182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776B2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0.6923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14AE1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0.6300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266C5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City</w:t>
            </w:r>
          </w:p>
        </w:tc>
      </w:tr>
    </w:tbl>
    <w:p w14:paraId="1618D4C7" w14:textId="77777777" w:rsidR="001821D6" w:rsidRPr="00AA630A" w:rsidRDefault="001821D6">
      <w:pPr>
        <w:spacing w:before="40" w:after="40"/>
      </w:pPr>
    </w:p>
    <w:p w14:paraId="51A78AD1" w14:textId="46362BEA" w:rsidR="001821D6" w:rsidRPr="00AA630A" w:rsidRDefault="00000000">
      <w:pPr>
        <w:spacing w:before="60" w:after="60"/>
      </w:pPr>
      <w:r w:rsidRPr="00AA630A">
        <w:t xml:space="preserve">Table 2: Per-Class Classification </w:t>
      </w:r>
      <w:r w:rsidR="00AA630A" w:rsidRPr="00AA630A">
        <w:t>Report,</w:t>
      </w:r>
      <w:r w:rsidRPr="00AA630A">
        <w:t xml:space="preserve"> Tuned XGBoost</w:t>
      </w:r>
    </w:p>
    <w:p w14:paraId="23855A6E" w14:textId="77777777" w:rsidR="001821D6" w:rsidRPr="00AA630A" w:rsidRDefault="001821D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755"/>
        <w:gridCol w:w="1755"/>
        <w:gridCol w:w="1755"/>
        <w:gridCol w:w="1755"/>
      </w:tblGrid>
      <w:tr w:rsidR="001821D6" w:rsidRPr="00AA630A" w14:paraId="4A8DBA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AF405" w14:textId="77777777" w:rsidR="001821D6" w:rsidRPr="00AA630A" w:rsidRDefault="00000000">
            <w:pPr>
              <w:jc w:val="center"/>
              <w:rPr>
                <w:color w:val="FFFFFF" w:themeColor="background1"/>
              </w:rPr>
            </w:pPr>
            <w:r w:rsidRPr="00AA630A">
              <w:rPr>
                <w:b/>
                <w:bCs/>
                <w:color w:val="FFFFFF" w:themeColor="background1"/>
                <w:sz w:val="18"/>
                <w:szCs w:val="18"/>
              </w:rPr>
              <w:t>Class</w:t>
            </w:r>
          </w:p>
        </w:tc>
        <w:tc>
          <w:tcPr>
            <w:tcW w:w="175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03749" w14:textId="77777777" w:rsidR="001821D6" w:rsidRPr="00AA630A" w:rsidRDefault="00000000">
            <w:pPr>
              <w:jc w:val="center"/>
              <w:rPr>
                <w:color w:val="FFFFFF" w:themeColor="background1"/>
              </w:rPr>
            </w:pPr>
            <w:r w:rsidRPr="00AA630A">
              <w:rPr>
                <w:b/>
                <w:bCs/>
                <w:color w:val="FFFFFF" w:themeColor="background1"/>
                <w:sz w:val="18"/>
                <w:szCs w:val="18"/>
              </w:rPr>
              <w:t>Precision</w:t>
            </w:r>
          </w:p>
        </w:tc>
        <w:tc>
          <w:tcPr>
            <w:tcW w:w="175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5D2B3" w14:textId="77777777" w:rsidR="001821D6" w:rsidRPr="00AA630A" w:rsidRDefault="00000000">
            <w:pPr>
              <w:jc w:val="center"/>
              <w:rPr>
                <w:color w:val="FFFFFF" w:themeColor="background1"/>
              </w:rPr>
            </w:pPr>
            <w:r w:rsidRPr="00AA630A">
              <w:rPr>
                <w:b/>
                <w:bCs/>
                <w:color w:val="FFFFFF" w:themeColor="background1"/>
                <w:sz w:val="18"/>
                <w:szCs w:val="18"/>
              </w:rPr>
              <w:t>Recall</w:t>
            </w:r>
          </w:p>
        </w:tc>
        <w:tc>
          <w:tcPr>
            <w:tcW w:w="175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0D513" w14:textId="77777777" w:rsidR="001821D6" w:rsidRPr="00AA630A" w:rsidRDefault="00000000">
            <w:pPr>
              <w:jc w:val="center"/>
              <w:rPr>
                <w:color w:val="FFFFFF" w:themeColor="background1"/>
              </w:rPr>
            </w:pPr>
            <w:r w:rsidRPr="00AA630A">
              <w:rPr>
                <w:b/>
                <w:bCs/>
                <w:color w:val="FFFFFF" w:themeColor="background1"/>
                <w:sz w:val="18"/>
                <w:szCs w:val="18"/>
              </w:rPr>
              <w:t>F1-Score</w:t>
            </w:r>
          </w:p>
        </w:tc>
        <w:tc>
          <w:tcPr>
            <w:tcW w:w="175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B0EA6" w14:textId="77777777" w:rsidR="001821D6" w:rsidRPr="00AA630A" w:rsidRDefault="00000000">
            <w:pPr>
              <w:jc w:val="center"/>
              <w:rPr>
                <w:color w:val="FFFFFF" w:themeColor="background1"/>
              </w:rPr>
            </w:pPr>
            <w:r w:rsidRPr="00AA630A">
              <w:rPr>
                <w:b/>
                <w:bCs/>
                <w:color w:val="FFFFFF" w:themeColor="background1"/>
                <w:sz w:val="18"/>
                <w:szCs w:val="18"/>
              </w:rPr>
              <w:t>Support</w:t>
            </w:r>
          </w:p>
        </w:tc>
      </w:tr>
      <w:tr w:rsidR="001821D6" w:rsidRPr="00AA630A" w14:paraId="59967F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8327D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Low Cost (0)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5C087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0.78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7A9BA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0.54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6FE44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0.64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54B4C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1,092</w:t>
            </w:r>
          </w:p>
        </w:tc>
      </w:tr>
      <w:tr w:rsidR="001821D6" w:rsidRPr="00AA630A" w14:paraId="4CFA05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B74A9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High Cost (1)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7781F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0.60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81980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0.82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70DFA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0.69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01EC9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924</w:t>
            </w:r>
          </w:p>
        </w:tc>
      </w:tr>
      <w:tr w:rsidR="001821D6" w:rsidRPr="00AA630A" w14:paraId="5E809B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58CBC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Macro Avg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4CD16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0.69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C6EBA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0.68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0B614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0.66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5F54F" w14:textId="77777777" w:rsidR="001821D6" w:rsidRPr="00AA630A" w:rsidRDefault="00000000">
            <w:pPr>
              <w:jc w:val="center"/>
            </w:pPr>
            <w:r w:rsidRPr="00AA630A">
              <w:rPr>
                <w:sz w:val="18"/>
                <w:szCs w:val="18"/>
              </w:rPr>
              <w:t>2,016</w:t>
            </w:r>
          </w:p>
        </w:tc>
      </w:tr>
    </w:tbl>
    <w:p w14:paraId="06DD92B3" w14:textId="77777777" w:rsidR="001821D6" w:rsidRPr="00AA630A" w:rsidRDefault="001821D6">
      <w:pPr>
        <w:spacing w:before="40" w:after="40"/>
      </w:pPr>
    </w:p>
    <w:p w14:paraId="7D51A242" w14:textId="317D6039" w:rsidR="001821D6" w:rsidRPr="00AA630A" w:rsidRDefault="00000000">
      <w:pPr>
        <w:spacing w:before="60" w:after="60"/>
      </w:pPr>
      <w:r w:rsidRPr="00AA630A">
        <w:t xml:space="preserve">The model achieves 66.7% accuracy and 0.63 AUC-ROC on unseen cities spanning all 12 global regions. </w:t>
      </w:r>
      <w:r w:rsidR="00AA630A" w:rsidRPr="00AA630A">
        <w:t>High-Cost</w:t>
      </w:r>
      <w:r w:rsidRPr="00AA630A">
        <w:t xml:space="preserve"> recall of 0.82 is the key operational </w:t>
      </w:r>
      <w:r w:rsidR="00AA630A" w:rsidRPr="00AA630A">
        <w:t>metric,</w:t>
      </w:r>
      <w:r w:rsidRPr="00AA630A">
        <w:t xml:space="preserve"> the model correctly flags 82% of markets where food costs outpace wages. SHAP analysis identified Log_Population as the dominant predictor (mean |SHAP| = 2.43), far exceeding all other features, indicating city population size is the strongest structural signal for regional inflation classification. FAO_Index, Month_Num, and item features contributed comparably smaller signals.</w:t>
      </w:r>
    </w:p>
    <w:p w14:paraId="3FCAB7E3" w14:textId="77777777" w:rsidR="001821D6" w:rsidRPr="00AA630A" w:rsidRDefault="001821D6">
      <w:pPr>
        <w:spacing w:before="40" w:after="40"/>
      </w:pPr>
    </w:p>
    <w:p w14:paraId="5EFD4752" w14:textId="77777777" w:rsidR="001821D6" w:rsidRPr="00AA630A" w:rsidRDefault="00000000">
      <w:pPr>
        <w:pStyle w:val="Heading1"/>
        <w:rPr>
          <w:color w:val="auto"/>
        </w:rPr>
      </w:pPr>
      <w:r w:rsidRPr="00AA630A">
        <w:rPr>
          <w:color w:val="auto"/>
        </w:rPr>
        <w:t>5. Business Implications</w:t>
      </w:r>
    </w:p>
    <w:p w14:paraId="35A5F60C" w14:textId="685DA93C" w:rsidR="001821D6" w:rsidRPr="00AA630A" w:rsidRDefault="00000000">
      <w:pPr>
        <w:pStyle w:val="ListParagraph"/>
        <w:numPr>
          <w:ilvl w:val="0"/>
          <w:numId w:val="2"/>
        </w:numPr>
        <w:spacing w:before="30" w:after="30"/>
      </w:pPr>
      <w:r w:rsidRPr="00AA630A">
        <w:t xml:space="preserve">High recall (82%) for </w:t>
      </w:r>
      <w:r w:rsidR="00AA630A" w:rsidRPr="00AA630A">
        <w:t>High-Cost</w:t>
      </w:r>
      <w:r w:rsidRPr="00AA630A">
        <w:t xml:space="preserve"> markets makes this model effective as a risk-flagging tool, minimizing missed interventions in high-pressure cities.</w:t>
      </w:r>
    </w:p>
    <w:p w14:paraId="3ADCFB5C" w14:textId="603B74A4" w:rsidR="001821D6" w:rsidRPr="00AA630A" w:rsidRDefault="00000000">
      <w:pPr>
        <w:pStyle w:val="ListParagraph"/>
        <w:numPr>
          <w:ilvl w:val="0"/>
          <w:numId w:val="2"/>
        </w:numPr>
        <w:spacing w:before="30" w:after="30"/>
      </w:pPr>
      <w:r w:rsidRPr="00AA630A">
        <w:t xml:space="preserve">Population size as the dominant SHAP feature suggests large urban centers in high-inflation regions face the sharpest household cost </w:t>
      </w:r>
      <w:r w:rsidR="00AA630A" w:rsidRPr="00AA630A">
        <w:t>burdens,</w:t>
      </w:r>
      <w:r w:rsidRPr="00AA630A">
        <w:t xml:space="preserve"> a practical targeting heuristic for policymakers.</w:t>
      </w:r>
    </w:p>
    <w:p w14:paraId="4AA3B976" w14:textId="77777777" w:rsidR="001821D6" w:rsidRPr="00AA630A" w:rsidRDefault="00000000">
      <w:pPr>
        <w:pStyle w:val="ListParagraph"/>
        <w:numPr>
          <w:ilvl w:val="0"/>
          <w:numId w:val="2"/>
        </w:numPr>
        <w:spacing w:before="30" w:after="30"/>
      </w:pPr>
      <w:r w:rsidRPr="00AA630A">
        <w:t>The model can be re-scored monthly as FAO Index values update, providing a near-real-time affordability stress signal without requiring full price surveys.</w:t>
      </w:r>
    </w:p>
    <w:p w14:paraId="060EB0D3" w14:textId="77777777" w:rsidR="001821D6" w:rsidRPr="00AA630A" w:rsidRDefault="00000000">
      <w:pPr>
        <w:pStyle w:val="ListParagraph"/>
        <w:numPr>
          <w:ilvl w:val="0"/>
          <w:numId w:val="2"/>
        </w:numPr>
        <w:spacing w:before="30" w:after="30"/>
      </w:pPr>
      <w:r w:rsidRPr="00AA630A">
        <w:t>Primary limitation: the 4.5% wage proxy reduces precision. Integrating ILO or World Bank country-level wage datasets would replace the single global threshold with country-specific boundaries, improving classification accuracy materially.</w:t>
      </w:r>
    </w:p>
    <w:p w14:paraId="7CA230AB" w14:textId="77777777" w:rsidR="001821D6" w:rsidRPr="00AA630A" w:rsidRDefault="001821D6">
      <w:pPr>
        <w:spacing w:before="40" w:after="40"/>
      </w:pPr>
    </w:p>
    <w:sectPr w:rsidR="001821D6" w:rsidRPr="00AA630A">
      <w:head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C7FA7" w14:textId="77777777" w:rsidR="00793809" w:rsidRDefault="00793809" w:rsidP="00AA630A">
      <w:r>
        <w:separator/>
      </w:r>
    </w:p>
  </w:endnote>
  <w:endnote w:type="continuationSeparator" w:id="0">
    <w:p w14:paraId="31643FA2" w14:textId="77777777" w:rsidR="00793809" w:rsidRDefault="00793809" w:rsidP="00AA6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C1580" w14:textId="77777777" w:rsidR="00793809" w:rsidRDefault="00793809" w:rsidP="00AA630A">
      <w:r>
        <w:separator/>
      </w:r>
    </w:p>
  </w:footnote>
  <w:footnote w:type="continuationSeparator" w:id="0">
    <w:p w14:paraId="5C12D13C" w14:textId="77777777" w:rsidR="00793809" w:rsidRDefault="00793809" w:rsidP="00AA63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91A1C" w14:textId="0932FE5A" w:rsidR="00AA630A" w:rsidRDefault="00AA630A">
    <w:pPr>
      <w:pStyle w:val="Header"/>
    </w:pPr>
    <w:r>
      <w:t>Shoheb Sarwar</w:t>
    </w:r>
    <w:r>
      <w:br/>
      <w:t>DSS 740</w:t>
    </w:r>
    <w:r>
      <w:br/>
      <w:t>Group 4 | Wage-Adjusted Food Inflation Classification</w:t>
    </w:r>
    <w:r>
      <w:br/>
      <w:t>XGBoost Model Technical Document</w:t>
    </w:r>
  </w:p>
  <w:p w14:paraId="7B994F28" w14:textId="77777777" w:rsidR="00AA630A" w:rsidRDefault="00AA63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86C85"/>
    <w:multiLevelType w:val="hybridMultilevel"/>
    <w:tmpl w:val="DCA401CC"/>
    <w:lvl w:ilvl="0" w:tplc="4704BF66">
      <w:start w:val="1"/>
      <w:numFmt w:val="bullet"/>
      <w:lvlText w:val="●"/>
      <w:lvlJc w:val="left"/>
      <w:pPr>
        <w:ind w:left="720" w:hanging="360"/>
      </w:pPr>
    </w:lvl>
    <w:lvl w:ilvl="1" w:tplc="2760E518">
      <w:start w:val="1"/>
      <w:numFmt w:val="bullet"/>
      <w:lvlText w:val="○"/>
      <w:lvlJc w:val="left"/>
      <w:pPr>
        <w:ind w:left="1440" w:hanging="360"/>
      </w:pPr>
    </w:lvl>
    <w:lvl w:ilvl="2" w:tplc="55200ED0">
      <w:start w:val="1"/>
      <w:numFmt w:val="bullet"/>
      <w:lvlText w:val="■"/>
      <w:lvlJc w:val="left"/>
      <w:pPr>
        <w:ind w:left="2160" w:hanging="360"/>
      </w:pPr>
    </w:lvl>
    <w:lvl w:ilvl="3" w:tplc="C2BAE690">
      <w:start w:val="1"/>
      <w:numFmt w:val="bullet"/>
      <w:lvlText w:val="●"/>
      <w:lvlJc w:val="left"/>
      <w:pPr>
        <w:ind w:left="2880" w:hanging="360"/>
      </w:pPr>
    </w:lvl>
    <w:lvl w:ilvl="4" w:tplc="9F005962">
      <w:start w:val="1"/>
      <w:numFmt w:val="bullet"/>
      <w:lvlText w:val="○"/>
      <w:lvlJc w:val="left"/>
      <w:pPr>
        <w:ind w:left="3600" w:hanging="360"/>
      </w:pPr>
    </w:lvl>
    <w:lvl w:ilvl="5" w:tplc="5D8C5328">
      <w:start w:val="1"/>
      <w:numFmt w:val="bullet"/>
      <w:lvlText w:val="■"/>
      <w:lvlJc w:val="left"/>
      <w:pPr>
        <w:ind w:left="4320" w:hanging="360"/>
      </w:pPr>
    </w:lvl>
    <w:lvl w:ilvl="6" w:tplc="986841CE">
      <w:start w:val="1"/>
      <w:numFmt w:val="bullet"/>
      <w:lvlText w:val="●"/>
      <w:lvlJc w:val="left"/>
      <w:pPr>
        <w:ind w:left="5040" w:hanging="360"/>
      </w:pPr>
    </w:lvl>
    <w:lvl w:ilvl="7" w:tplc="DE38AA24">
      <w:start w:val="1"/>
      <w:numFmt w:val="bullet"/>
      <w:lvlText w:val="●"/>
      <w:lvlJc w:val="left"/>
      <w:pPr>
        <w:ind w:left="5760" w:hanging="360"/>
      </w:pPr>
    </w:lvl>
    <w:lvl w:ilvl="8" w:tplc="A3A8D6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672246"/>
    <w:multiLevelType w:val="hybridMultilevel"/>
    <w:tmpl w:val="348C3106"/>
    <w:lvl w:ilvl="0" w:tplc="2DBABF0E">
      <w:start w:val="1"/>
      <w:numFmt w:val="bullet"/>
      <w:lvlText w:val="•"/>
      <w:lvlJc w:val="left"/>
      <w:pPr>
        <w:ind w:left="720" w:hanging="360"/>
      </w:pPr>
    </w:lvl>
    <w:lvl w:ilvl="1" w:tplc="37423034">
      <w:numFmt w:val="decimal"/>
      <w:lvlText w:val=""/>
      <w:lvlJc w:val="left"/>
    </w:lvl>
    <w:lvl w:ilvl="2" w:tplc="8420314E">
      <w:numFmt w:val="decimal"/>
      <w:lvlText w:val=""/>
      <w:lvlJc w:val="left"/>
    </w:lvl>
    <w:lvl w:ilvl="3" w:tplc="0E5AD290">
      <w:numFmt w:val="decimal"/>
      <w:lvlText w:val=""/>
      <w:lvlJc w:val="left"/>
    </w:lvl>
    <w:lvl w:ilvl="4" w:tplc="8FF8A6C0">
      <w:numFmt w:val="decimal"/>
      <w:lvlText w:val=""/>
      <w:lvlJc w:val="left"/>
    </w:lvl>
    <w:lvl w:ilvl="5" w:tplc="BC5466B0">
      <w:numFmt w:val="decimal"/>
      <w:lvlText w:val=""/>
      <w:lvlJc w:val="left"/>
    </w:lvl>
    <w:lvl w:ilvl="6" w:tplc="EE9EBE4C">
      <w:numFmt w:val="decimal"/>
      <w:lvlText w:val=""/>
      <w:lvlJc w:val="left"/>
    </w:lvl>
    <w:lvl w:ilvl="7" w:tplc="E2601862">
      <w:numFmt w:val="decimal"/>
      <w:lvlText w:val=""/>
      <w:lvlJc w:val="left"/>
    </w:lvl>
    <w:lvl w:ilvl="8" w:tplc="E3C82B74">
      <w:numFmt w:val="decimal"/>
      <w:lvlText w:val=""/>
      <w:lvlJc w:val="left"/>
    </w:lvl>
  </w:abstractNum>
  <w:num w:numId="1" w16cid:durableId="1946112108">
    <w:abstractNumId w:val="0"/>
    <w:lvlOverride w:ilvl="0">
      <w:startOverride w:val="1"/>
    </w:lvlOverride>
  </w:num>
  <w:num w:numId="2" w16cid:durableId="5699708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1D6"/>
    <w:rsid w:val="001821D6"/>
    <w:rsid w:val="00195B74"/>
    <w:rsid w:val="00793809"/>
    <w:rsid w:val="00AA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3E73"/>
  <w15:docId w15:val="{B3DEB7B6-2EEB-458E-9CA6-FF4BEF76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63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630A"/>
  </w:style>
  <w:style w:type="paragraph" w:styleId="Footer">
    <w:name w:val="footer"/>
    <w:basedOn w:val="Normal"/>
    <w:link w:val="FooterChar"/>
    <w:uiPriority w:val="99"/>
    <w:unhideWhenUsed/>
    <w:rsid w:val="00AA63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6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577</Words>
  <Characters>3705</Characters>
  <Application>Microsoft Office Word</Application>
  <DocSecurity>0</DocSecurity>
  <Lines>108</Lines>
  <Paragraphs>71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Shoheb Sarwar</cp:lastModifiedBy>
  <cp:revision>2</cp:revision>
  <dcterms:created xsi:type="dcterms:W3CDTF">2026-04-21T18:18:00Z</dcterms:created>
  <dcterms:modified xsi:type="dcterms:W3CDTF">2026-04-21T18:18:00Z</dcterms:modified>
</cp:coreProperties>
</file>