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и хранение истории</w:t>
      </w:r>
    </w:p>
    <w:p>
      <w:r>
        <w:rPr>
          <w:color w:val="555555"/>
          <w:sz w:val="20"/>
        </w:rPr>
        <w:t>Контур КЦР. Техническое задание 2 из 4. Редакция от 26 октября 2026 года.</w:t>
      </w:r>
    </w:p>
    <w:p>
      <w:pPr>
        <w:pStyle w:val="Heading1"/>
      </w:pPr>
      <w:r>
        <w:t>Цель</w:t>
      </w:r>
    </w:p>
    <w:p>
      <w:r>
        <w:t>Спроектировать структуру PostgreSQL, которая сохраняет данные клиентов, историю срезов и процесс работы без перезаписи предыдущих состояний. Реализацию выполнять на вручную подготовленных тестовых записях. Готовность импортёра не требуется.</w:t>
      </w:r>
    </w:p>
    <w:p>
      <w:pPr>
        <w:pStyle w:val="Heading1"/>
      </w:pPr>
      <w:r>
        <w:t>Обязательные области модели</w:t>
      </w:r>
    </w:p>
    <w:p>
      <w:pPr>
        <w:pStyle w:val="Heading2"/>
      </w:pPr>
      <w:r>
        <w:t>Клиенты</w:t>
      </w:r>
    </w:p>
    <w:p>
      <w:r>
        <w:t>Предусмотреть внутренний client_id, уникальный source_client_id, доступные реквизиты и контакты, признаки клиента, дату подключения при наличии и дату создания записи в сервисе.</w:t>
      </w:r>
    </w:p>
    <w:p>
      <w:r>
        <w:t>Дата подключения клиента и дата его импорта должны быть разными полями. Одинаковый ИНН не должен автоматически объединять клиентов с разными внешними идентификаторами.</w:t>
      </w:r>
    </w:p>
    <w:p>
      <w:pPr>
        <w:pStyle w:val="Heading2"/>
      </w:pPr>
      <w:r>
        <w:t>Периоды и срезы</w:t>
      </w:r>
    </w:p>
    <w:p>
      <w:r>
        <w:t>Предусмотреть отчётный период, первоначальное общее количество документов, дату наблюдения, количество непереданных документов, источник импорта и историю исправлений.</w:t>
      </w:r>
    </w:p>
    <w:p>
      <w:r>
        <w:t>Новая дата наблюдения создаёт новый срез. Исправление существующего среза должно сохранять возможность восстановить предыдущее значение и автора изменения.</w:t>
      </w:r>
    </w:p>
    <w:p>
      <w:r>
        <w:t>Повторный срез без total использует известное базовое значение того же клиента и периода. Если такого значения нет, отсутствие остаётся явным.</w:t>
      </w:r>
    </w:p>
    <w:p>
      <w:pPr>
        <w:pStyle w:val="Heading2"/>
      </w:pPr>
      <w:r>
        <w:t>Рабочие циклы</w:t>
      </w:r>
    </w:p>
    <w:p>
      <w:r>
        <w:t>Предусмотреть клиента, начало цикла, текущий этап, завершение, результат завершения и связь с относящимися к циклу событиями. Новый цикл не должен уничтожать историю предыдущего.</w:t>
      </w:r>
    </w:p>
    <w:p>
      <w:pPr>
        <w:pStyle w:val="Heading2"/>
      </w:pPr>
      <w:r>
        <w:t>События</w:t>
      </w:r>
    </w:p>
    <w:p>
      <w:r>
        <w:t>Предусмотреть:</w:t>
      </w:r>
    </w:p>
    <w:p>
      <w:pPr>
        <w:pStyle w:val="ListBullet"/>
      </w:pPr>
      <w:r>
        <w:t>тип события;</w:t>
      </w:r>
    </w:p>
    <w:p>
      <w:pPr>
        <w:pStyle w:val="ListBullet"/>
      </w:pPr>
      <w:r>
        <w:t>клиента и при необходимости цикл;</w:t>
      </w:r>
    </w:p>
    <w:p>
      <w:pPr>
        <w:pStyle w:val="ListBullet"/>
      </w:pPr>
      <w:r>
        <w:t>дату события и дату внесения;</w:t>
      </w:r>
    </w:p>
    <w:p>
      <w:pPr>
        <w:pStyle w:val="ListBullet"/>
      </w:pPr>
      <w:r>
        <w:t>автора;</w:t>
      </w:r>
    </w:p>
    <w:p>
      <w:pPr>
        <w:pStyle w:val="ListBullet"/>
      </w:pPr>
      <w:r>
        <w:t>комментарий и результат контакта;</w:t>
      </w:r>
    </w:p>
    <w:p>
      <w:pPr>
        <w:pStyle w:val="ListBullet"/>
      </w:pPr>
      <w:r>
        <w:t>договорённость и обещанный срок клиента;</w:t>
      </w:r>
    </w:p>
    <w:p>
      <w:pPr>
        <w:pStyle w:val="ListBullet"/>
      </w:pPr>
      <w:r>
        <w:t>историю исправлений.</w:t>
      </w:r>
    </w:p>
    <w:p>
      <w:pPr>
        <w:pStyle w:val="Heading2"/>
      </w:pPr>
      <w:r>
        <w:t>Назначения и следующие действия</w:t>
      </w:r>
    </w:p>
    <w:p>
      <w:r>
        <w:t>Назначение хранит одного текущего ответственного и версию записи для защиты от одновременных изменений.</w:t>
      </w:r>
    </w:p>
    <w:p>
      <w:r>
        <w:t>Следующее действие хранит тип, срок, ответственного, статус выполнения и связь с клиентом и циклом. Обещанный срок отправки и срок следующего действия не объединять в одно поле.</w:t>
      </w:r>
    </w:p>
    <w:p>
      <w:pPr>
        <w:pStyle w:val="Heading2"/>
      </w:pPr>
      <w:r>
        <w:t>Претензии и санкции</w:t>
      </w:r>
    </w:p>
    <w:p>
      <w:r>
        <w:t>Предусмотреть реквизиты претензии, статус, связанный инцидент и сведения о применении санкций.</w:t>
      </w:r>
    </w:p>
    <w:p>
      <w:pPr>
        <w:pStyle w:val="Heading2"/>
      </w:pPr>
      <w:r>
        <w:t>Журнал импорта</w:t>
      </w:r>
    </w:p>
    <w:p>
      <w:r>
        <w:t>Фиксировать источник, автора, время, результат и связь с созданными записями.</w:t>
      </w:r>
    </w:p>
    <w:p>
      <w:pPr>
        <w:pStyle w:val="Heading1"/>
      </w:pPr>
      <w:r>
        <w:t>Ограничения целостности</w:t>
      </w:r>
    </w:p>
    <w:p>
      <w:r>
        <w:t>Описать и реализовать там, где применимо:</w:t>
      </w:r>
    </w:p>
    <w:p>
      <w:pPr>
        <w:pStyle w:val="ListBullet"/>
      </w:pPr>
      <w:r>
        <w:t>уникальность внешнего идентификатора клиента;</w:t>
      </w:r>
    </w:p>
    <w:p>
      <w:pPr>
        <w:pStyle w:val="ListBullet"/>
      </w:pPr>
      <w:r>
        <w:t>внешние ключи;</w:t>
      </w:r>
    </w:p>
    <w:p>
      <w:pPr>
        <w:pStyle w:val="ListBullet"/>
      </w:pPr>
      <w:r>
        <w:t>отсутствие отрицательных количеств;</w:t>
      </w:r>
    </w:p>
    <w:p>
      <w:pPr>
        <w:pStyle w:val="ListBullet"/>
      </w:pPr>
      <w:r>
        <w:t>уникальность наблюдения клиента за период на дату;</w:t>
      </w:r>
    </w:p>
    <w:p>
      <w:pPr>
        <w:pStyle w:val="ListBullet"/>
      </w:pPr>
      <w:r>
        <w:t>хранение ревизий исправлений;</w:t>
      </w:r>
    </w:p>
    <w:p>
      <w:pPr>
        <w:pStyle w:val="ListBullet"/>
      </w:pPr>
      <w:r>
        <w:t>запрет двух одновременных текущих назначений в выбранном рабочем контексте.</w:t>
      </w:r>
    </w:p>
    <w:p>
      <w:r>
        <w:t>Разницу между техническими ограничениями БД и бизнес-проверками приложения описать отдельно.</w:t>
      </w:r>
    </w:p>
    <w:p>
      <w:pPr>
        <w:pStyle w:val="Heading1"/>
      </w:pPr>
      <w:r>
        <w:t>Результаты задачи</w:t>
      </w:r>
    </w:p>
    <w:p>
      <w:pPr>
        <w:spacing w:after="80"/>
        <w:ind w:left="283" w:hanging="283"/>
      </w:pPr>
      <w:r>
        <w:t>1. ER-диаграмма.</w:t>
      </w:r>
    </w:p>
    <w:p>
      <w:pPr>
        <w:spacing w:after="80"/>
        <w:ind w:left="283" w:hanging="283"/>
      </w:pPr>
      <w:r>
        <w:t>2. Словарь таблиц и полей.</w:t>
      </w:r>
    </w:p>
    <w:p>
      <w:pPr>
        <w:spacing w:after="80"/>
        <w:ind w:left="283" w:hanging="283"/>
      </w:pPr>
      <w:r>
        <w:t>3. Объяснение ключевых решений.</w:t>
      </w:r>
    </w:p>
    <w:p>
      <w:pPr>
        <w:spacing w:after="80"/>
        <w:ind w:left="283" w:hanging="283"/>
      </w:pPr>
      <w:r>
        <w:t>4. Миграции создания схемы.</w:t>
      </w:r>
    </w:p>
    <w:p>
      <w:pPr>
        <w:spacing w:after="80"/>
        <w:ind w:left="283" w:hanging="283"/>
      </w:pPr>
      <w:r>
        <w:t>5. Скрипт наполнения вымышленными данными.</w:t>
      </w:r>
    </w:p>
    <w:p>
      <w:pPr>
        <w:spacing w:after="80"/>
        <w:ind w:left="283" w:hanging="283"/>
      </w:pPr>
      <w:r>
        <w:t>6. Примеры основных запросов.</w:t>
      </w:r>
    </w:p>
    <w:p>
      <w:pPr>
        <w:spacing w:after="80"/>
        <w:ind w:left="283" w:hanging="283"/>
      </w:pPr>
      <w:r>
        <w:t>7. Проверки ограничений целостности.</w:t>
      </w:r>
    </w:p>
    <w:p>
      <w:pPr>
        <w:pStyle w:val="Heading1"/>
      </w:pPr>
      <w:r>
        <w:t>Критерии готовности</w:t>
      </w:r>
    </w:p>
    <w:p>
      <w:r>
        <w:t>На тестовых данных можно:</w:t>
      </w:r>
    </w:p>
    <w:p>
      <w:pPr>
        <w:pStyle w:val="ListBullet"/>
      </w:pPr>
      <w:r>
        <w:t>создать клиента;</w:t>
      </w:r>
    </w:p>
    <w:p>
      <w:pPr>
        <w:pStyle w:val="ListBullet"/>
      </w:pPr>
      <w:r>
        <w:t>сохранить несколько срезов одного периода;</w:t>
      </w:r>
    </w:p>
    <w:p>
      <w:pPr>
        <w:pStyle w:val="ListBullet"/>
      </w:pPr>
      <w:r>
        <w:t>добавить следующий срез без повторного total;</w:t>
      </w:r>
    </w:p>
    <w:p>
      <w:pPr>
        <w:pStyle w:val="ListBullet"/>
      </w:pPr>
      <w:r>
        <w:t>исправить срез без потери старой версии;</w:t>
      </w:r>
    </w:p>
    <w:p>
      <w:pPr>
        <w:pStyle w:val="ListBullet"/>
      </w:pPr>
      <w:r>
        <w:t>сохранить звонок и следующее действие;</w:t>
      </w:r>
    </w:p>
    <w:p>
      <w:pPr>
        <w:pStyle w:val="ListBullet"/>
      </w:pPr>
      <w:r>
        <w:t>завершить цикл и создать новый;</w:t>
      </w:r>
    </w:p>
    <w:p>
      <w:pPr>
        <w:pStyle w:val="ListBullet"/>
      </w:pPr>
      <w:r>
        <w:t>увидеть историю ответственных;</w:t>
      </w:r>
    </w:p>
    <w:p>
      <w:pPr>
        <w:pStyle w:val="ListBullet"/>
      </w:pPr>
      <w:r>
        <w:t>добавить претензию и санкцию.</w:t>
      </w:r>
    </w:p>
    <w:p>
      <w:r>
        <w:t>Повторный внешний идентификатор и недопустимые ссылки должны отклоняться.</w:t>
      </w:r>
    </w:p>
    <w:p>
      <w:pPr>
        <w:pStyle w:val="Heading1"/>
      </w:pPr>
      <w:r>
        <w:t>За пределами задачи</w:t>
      </w:r>
    </w:p>
    <w:p>
      <w:pPr>
        <w:pStyle w:val="ListBullet"/>
      </w:pPr>
      <w:r>
        <w:t>Чтение Excel.</w:t>
      </w:r>
    </w:p>
    <w:p>
      <w:pPr>
        <w:pStyle w:val="ListBullet"/>
      </w:pPr>
      <w:r>
        <w:t>Полноценный сервер API.</w:t>
      </w:r>
    </w:p>
    <w:p>
      <w:pPr>
        <w:pStyle w:val="ListBullet"/>
      </w:pPr>
      <w:r>
        <w:t>Интерфейс.</w:t>
      </w:r>
    </w:p>
    <w:p>
      <w:pPr>
        <w:pStyle w:val="ListBullet"/>
      </w:pPr>
      <w:r>
        <w:t>Реализация бизнес-классификатора динамики.</w:t>
      </w:r>
    </w:p>
    <w:p>
      <w:pPr>
        <w:pStyle w:val="ListBullet"/>
      </w:pPr>
      <w:r>
        <w:t>Векторный поиск и ИИ.</w:t>
      </w:r>
    </w:p>
    <w:p>
      <w:pPr>
        <w:pStyle w:val="Heading1"/>
      </w:pPr>
      <w:r>
        <w:t>Независимость и передача результата</w:t>
      </w:r>
    </w:p>
    <w:p>
      <w:r>
        <w:t>Использовать тестовые JSON-примеры по минимальному контракту, не ожидая импортёр. События и этапы моделировать на предварительном наборе; изменения согласовывать через реестр контрактов. Передать схему, миграции и примеры сохранения данных.</w:t>
      </w:r>
    </w:p>
    <w:p>
      <w:pPr>
        <w:pStyle w:val="Heading1"/>
        <w:pageBreakBefore/>
      </w:pPr>
      <w:r>
        <w:t>Общие условия</w:t>
      </w:r>
    </w:p>
    <w:p>
      <w:r>
        <w:t>Цель первоначального этапа — подготовить основу сервиса: единый формат данных, хранение истории, расчёты и процесс работы с клиентом. Подключение языковой модели, полноценный интерфейс и интеграции с внутренними системами Контура на этом этапе не требуются.</w:t>
      </w:r>
    </w:p>
    <w:p>
      <w:r>
        <w:t>Исходные файлы не изменять. Обработанные данные, отчёты и тестовые примеры сохранять отдельно. Неоднозначные бизнес-правила фиксировать как открытые вопросы, сохраняя исходные значения.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t>КЦР_последняя выгрузка_Дубна.xlsx — данные клиентов и числовые показатели за разные периоды и даты.</w:t>
      </w:r>
    </w:p>
    <w:p>
      <w:pPr>
        <w:pStyle w:val="ListBullet"/>
      </w:pPr>
      <w:r>
        <w:t>Срез 20.10.26_Дубна.xlsx — срезы по отдельным отчётным периодам.</w:t>
      </w:r>
    </w:p>
    <w:p>
      <w:pPr>
        <w:pStyle w:val="ListBullet"/>
      </w:pPr>
      <w:r>
        <w:t>База должники III кв 2025 Дубна.xlsx — исторические показатели, статусы и коммуникации.</w:t>
      </w:r>
    </w:p>
    <w:p>
      <w:pPr>
        <w:pStyle w:val="ListBullet"/>
      </w:pPr>
      <w:r>
        <w:t>База I кв 2026 Дубна.xlsx — исторические показатели и работа операторов.</w:t>
      </w:r>
    </w:p>
    <w:p>
      <w:pPr>
        <w:pStyle w:val="ListBullet"/>
      </w:pPr>
      <w:r>
        <w:t>ТЗ сервиса, бриф от 25.10.2026 и расшифровка встречи — требования и пояснения процесса.</w:t>
      </w:r>
    </w:p>
    <w:p>
      <w:pPr>
        <w:pStyle w:val="Heading2"/>
      </w:pPr>
      <w:r>
        <w:t>Термины</w:t>
      </w:r>
    </w:p>
    <w:p>
      <w:r>
        <w:t>Клиент определяется внешним идентификатором source_client_id. В предоставленных обезличенных файлах используется идентификатор из столбца A. В рабочей среде внешний идентификатор соответствует коду КЦР.</w:t>
      </w:r>
    </w:p>
    <w:p>
      <w:r>
        <w:t>Отчётный период — интервал, за который клиент должен передать документы. Дата среза — дата наблюдения за состоянием документов указанного периода. Например, период — весь 2025 год, дата среза — 20.10.2026.</w:t>
      </w:r>
    </w:p>
    <w:p>
      <w:r>
        <w:t>Состояние документов — количество и доля непереданных документов. Этап работы — положение клиента в процессе коммуникации. Назначение — текущий ответственный оператор. Эти понятия хранятся отдельно.</w:t>
      </w:r>
    </w:p>
    <w:p>
      <w:pPr>
        <w:pStyle w:val="Heading2"/>
      </w:pPr>
      <w:r>
        <w:t>Минимальный контракт обмена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030"/>
      </w:tblGrid>
      <w:tr>
        <w:trPr>
          <w:cantSplit/>
          <w:tblHeader/>
        </w:trPr>
        <w:tc>
          <w:tcPr>
            <w:tcW w:type="dxa" w:w="2494"/>
            <w:vAlign w:val="center"/>
            <w:shd w:fill="243B5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Запись</w:t>
            </w:r>
          </w:p>
        </w:tc>
        <w:tc>
          <w:tcPr>
            <w:tcW w:type="dxa" w:w="7030"/>
            <w:vAlign w:val="center"/>
            <w:shd w:fill="243B5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Поля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Клиент</w:t>
            </w:r>
          </w:p>
        </w:tc>
        <w:tc>
          <w:tcPr>
            <w:tcW w:type="dxa" w:w="7030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 и доступные атрибуты клиента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Срез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source_client_id, period_start, period_end, as_of_date, total, unsent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Исторический материал</w:t>
            </w:r>
          </w:p>
        </w:tc>
        <w:tc>
          <w:tcPr>
            <w:tcW w:type="dxa" w:w="7030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source_client_id, event_type, occurred_at, text, исходные значения сроков и статусов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Происхождение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source_file, source_sheet, source_row, при необходимости source_column</w:t>
            </w:r>
          </w:p>
        </w:tc>
      </w:tr>
    </w:tbl>
    <w:p/>
    <w:p>
      <w:pPr>
        <w:pStyle w:val="ListBullet"/>
      </w:pPr>
      <w:r>
        <w:t>Идентификаторы хранятся строками. Даты передаются в формате YYYY-MM-DD.</w:t>
      </w:r>
    </w:p>
    <w:p>
      <w:pPr>
        <w:pStyle w:val="ListBullet"/>
      </w:pPr>
      <w:r>
        <w:t>Отсутствующее значение передаётся как null, а не как ноль.</w:t>
      </w:r>
    </w:p>
    <w:p>
      <w:pPr>
        <w:pStyle w:val="ListBullet"/>
      </w:pPr>
      <w:r>
        <w:t>Число документов передаётся числом, без текстового оформления.</w:t>
      </w:r>
    </w:p>
    <w:p>
      <w:pPr>
        <w:pStyle w:val="ListBullet"/>
      </w:pPr>
      <w:r>
        <w:t>Исходное значение сохраняется, если его преобразование неоднозначно.</w:t>
      </w:r>
    </w:p>
    <w:p>
      <w:pPr>
        <w:pStyle w:val="ListBullet"/>
      </w:pPr>
      <w:r>
        <w:t>Годовые, квартальные и накопительные периоды не взаимозаменяемы. Данные из пересекающихся периодов нельзя автоматически складывать.</w:t>
      </w:r>
    </w:p>
    <w:p>
      <w:pPr>
        <w:pStyle w:val="ListBullet"/>
      </w:pPr>
      <w:r>
        <w:t>Поля, отсутствующие из-за обезличивания, не заполняются вымышленными реальными реквизитами.</w:t>
      </w:r>
    </w:p>
    <w:p>
      <w:pPr>
        <w:pStyle w:val="Heading2"/>
      </w:pPr>
      <w:r>
        <w:t>Параллельная работа</w:t>
      </w:r>
    </w:p>
    <w:p>
      <w:r>
        <w:t>Для старта использовать небольшой общий набор вымышленных записей: несколько клиентов, несколько срезов одного периода и примеры событий. Каждый участник может добавлять свои случаи, сохраняя минимальный контракт.</w:t>
      </w:r>
    </w:p>
    <w:p>
      <w:r>
        <w:t>Изменение контракта оформляется явно: какое поле добавлено, зачем оно нужно и какие задачи затрагивает. Ожидание готового кода другой задачи не является условием работы.</w:t>
      </w:r>
    </w:p>
    <w:p>
      <w:pPr>
        <w:pStyle w:val="Heading1"/>
      </w:pPr>
      <w:r>
        <w:t>Совместная приёмка</w:t>
      </w:r>
    </w:p>
    <w:p>
      <w:r>
        <w:t>После самостоятельной подготовки результатов провести общую проверку:</w:t>
      </w:r>
    </w:p>
    <w:p>
      <w:pPr>
        <w:spacing w:after="80"/>
        <w:ind w:left="283" w:hanging="283"/>
      </w:pPr>
      <w:r>
        <w:t>1. Модуль задачи 1 выдаёт записи по общему контракту.</w:t>
      </w:r>
    </w:p>
    <w:p>
      <w:pPr>
        <w:spacing w:after="80"/>
        <w:ind w:left="283" w:hanging="283"/>
      </w:pPr>
      <w:r>
        <w:t>2. Модель задачи 2 способна сохранить эти записи без потери происхождения.</w:t>
      </w:r>
    </w:p>
    <w:p>
      <w:pPr>
        <w:spacing w:after="80"/>
        <w:ind w:left="283" w:hanging="283"/>
      </w:pPr>
      <w:r>
        <w:t>3. Модуль задачи 3 принимает такие срезы и возвращает объяснимые расчёты.</w:t>
      </w:r>
    </w:p>
    <w:p>
      <w:pPr>
        <w:spacing w:after="80"/>
        <w:ind w:left="283" w:hanging="283"/>
      </w:pPr>
      <w:r>
        <w:t>4. Процесс задачи 4 использует те же сущности клиента, цикла, события и следующего действия.</w:t>
      </w:r>
    </w:p>
    <w:p>
      <w:r>
        <w:t>Несовпадения оформляются как изменения контрактов. Объединение модулей в работающий сервис является следующим этапом и не служит условием завершения каждой первоначальной задачи.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Calibri" w:hAnsi="Calibri"/>
      <w:color w:val="000000"/>
      <w:sz w:val="22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Calibri" w:hAnsi="Calibri"/>
      <w:color w:val="000000"/>
      <w:sz w:val="22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Контур КЦР ТЗ 2 Модель данных и хранение истории</dc:title>
  <dc:subject>Самостоятельная первоначальная задача по архитектуре</dc:subject>
  <dc:creator>Last Pick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