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5FD3D" w14:textId="77777777" w:rsidR="0082185C" w:rsidRDefault="00000000" w:rsidP="00DB50E5">
      <w:pPr>
        <w:pStyle w:val="Title"/>
        <w:spacing w:after="100"/>
        <w:jc w:val="both"/>
      </w:pPr>
      <w:r>
        <w:t>Task 5: Game Theory Model Proof</w:t>
      </w:r>
    </w:p>
    <w:p w14:paraId="42710100" w14:textId="77777777" w:rsidR="0082185C" w:rsidRDefault="00000000" w:rsidP="00DB50E5">
      <w:pPr>
        <w:spacing w:after="160"/>
        <w:jc w:val="both"/>
      </w:pPr>
      <w:r>
        <w:rPr>
          <w:i/>
          <w:iCs/>
        </w:rPr>
        <w:t xml:space="preserve">Paper: </w:t>
      </w:r>
      <w:r>
        <w:t xml:space="preserve">Feng, Liu, Zhang, and Srinivasan, </w:t>
      </w:r>
      <w:r>
        <w:rPr>
          <w:i/>
          <w:iCs/>
        </w:rPr>
        <w:t>"Sustainability and Competition on Amazon."</w:t>
      </w:r>
    </w:p>
    <w:p w14:paraId="04402FCD" w14:textId="77777777" w:rsidR="0082185C" w:rsidRDefault="00000000" w:rsidP="00DB50E5">
      <w:pPr>
        <w:spacing w:after="160"/>
        <w:jc w:val="both"/>
      </w:pPr>
      <w:r>
        <w:rPr>
          <w:i/>
          <w:iCs/>
        </w:rPr>
        <w:t xml:space="preserve">Task: </w:t>
      </w:r>
      <w:r>
        <w:t>evaluate the game theory model. Determine whether it can simultaneously explain the four empirical findings below. If not, propose modifications that would allow it to account for all four simultaneously.</w:t>
      </w:r>
    </w:p>
    <w:p w14:paraId="2D7673EF" w14:textId="77777777" w:rsidR="0082185C" w:rsidRDefault="00000000" w:rsidP="00DB50E5">
      <w:pPr>
        <w:spacing w:after="160"/>
        <w:jc w:val="both"/>
      </w:pPr>
      <w:r>
        <w:rPr>
          <w:i/>
          <w:iCs/>
        </w:rPr>
        <w:t xml:space="preserve">Prepared by: </w:t>
      </w:r>
      <w:r>
        <w:t xml:space="preserve">Benedict </w:t>
      </w:r>
      <w:proofErr w:type="spellStart"/>
      <w:r>
        <w:t>Daxell</w:t>
      </w:r>
      <w:proofErr w:type="spellEnd"/>
      <w:r>
        <w:t xml:space="preserve"> Santoso.</w:t>
      </w:r>
    </w:p>
    <w:p w14:paraId="344A74F6" w14:textId="77777777" w:rsidR="0082185C" w:rsidRDefault="00000000" w:rsidP="00DB50E5">
      <w:pPr>
        <w:pStyle w:val="Heading1"/>
        <w:spacing w:before="300" w:after="150"/>
        <w:jc w:val="both"/>
      </w:pPr>
      <w:r>
        <w:t>1. Model Mechanism Summary</w:t>
      </w:r>
    </w:p>
    <w:p w14:paraId="2775D2BE" w14:textId="77777777" w:rsidR="0082185C" w:rsidRDefault="00000000" w:rsidP="00DB50E5">
      <w:pPr>
        <w:spacing w:after="160"/>
        <w:jc w:val="both"/>
      </w:pPr>
      <w:r>
        <w:t xml:space="preserve">The badge in this model is not a signal. There is no private information in the game: sustainability levels </w:t>
      </w:r>
      <m:oMath>
        <m:sSub>
          <m:sSubPr>
            <m:ctrlPr>
              <w:rPr>
                <w:rFonts w:ascii="Cambria Math" w:hAnsi="Cambria Math"/>
              </w:rPr>
            </m:ctrlPr>
          </m:sSubPr>
          <m:e>
            <m:r>
              <w:rPr>
                <w:rFonts w:ascii="Cambria Math" w:hAnsi="Cambria Math"/>
              </w:rPr>
              <m:t>f</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B</m:t>
            </m:r>
          </m:sub>
        </m:sSub>
      </m:oMath>
      <w:r>
        <w:t xml:space="preserve">, all preference parameters, and the threshold </w:t>
      </w:r>
      <m:oMath>
        <m:sSub>
          <m:sSubPr>
            <m:ctrlPr>
              <w:rPr>
                <w:rFonts w:ascii="Cambria Math" w:hAnsi="Cambria Math"/>
              </w:rPr>
            </m:ctrlPr>
          </m:sSubPr>
          <m:e>
            <m:r>
              <w:rPr>
                <w:rFonts w:ascii="Cambria Math" w:hAnsi="Cambria Math"/>
              </w:rPr>
              <m:t>I</m:t>
            </m:r>
          </m:e>
          <m:sub>
            <m:r>
              <w:rPr>
                <w:rFonts w:ascii="Cambria Math" w:hAnsi="Cambria Math"/>
              </w:rPr>
              <m:t>0</m:t>
            </m:r>
          </m:sub>
        </m:sSub>
      </m:oMath>
      <w:r>
        <w:t xml:space="preserve"> are common knowledge (Figure 1). The badge operates through two direct channels in a Singh and Vives (1984) linear quadratic duopoly. First, it is a utility shifter: for the green segment of size </w:t>
      </w:r>
      <m:oMath>
        <m:r>
          <w:rPr>
            <w:rFonts w:ascii="Cambria Math" w:hAnsi="Cambria Math"/>
          </w:rPr>
          <m:t>k</m:t>
        </m:r>
      </m:oMath>
      <w:r>
        <w:t xml:space="preserve">, badged product j gains an additive term </w:t>
      </w:r>
      <m:oMath>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in marginal utility (Eq. 1). Second, and doing most of the work, it is a participation gate: green consumers are assumed to buy only badged products and to abstain entirely from unbadged ones (assumption stated after Eqs. 4 and 5). Non green consumers (size 1 minus </w:t>
      </w:r>
      <m:oMath>
        <m:r>
          <w:rPr>
            <w:rFonts w:ascii="Cambria Math" w:hAnsi="Cambria Math"/>
          </w:rPr>
          <m:t>k</m:t>
        </m:r>
      </m:oMath>
      <w:r>
        <w:t>) ignore the badge entirely (Eq. 6).</w:t>
      </w:r>
    </w:p>
    <w:p w14:paraId="6E228089" w14:textId="77777777" w:rsidR="0082185C" w:rsidRDefault="00000000" w:rsidP="00DB50E5">
      <w:pPr>
        <w:spacing w:after="160"/>
        <w:jc w:val="both"/>
      </w:pPr>
      <w:r>
        <w:t xml:space="preserve">Badging therefore expands or reallocates the effective market: a badged product sells to both segments, an unbadged product sells only to </w:t>
      </w:r>
      <w:proofErr w:type="spellStart"/>
      <w:r>
        <w:t>non green</w:t>
      </w:r>
      <w:proofErr w:type="spellEnd"/>
      <w:r>
        <w:t xml:space="preserve"> consumers. The game is solved by backward induction for subgame perfect equilibrium: the marketplace picks </w:t>
      </w:r>
      <m:oMath>
        <m:sSub>
          <m:sSubPr>
            <m:ctrlPr>
              <w:rPr>
                <w:rFonts w:ascii="Cambria Math" w:hAnsi="Cambria Math"/>
              </w:rPr>
            </m:ctrlPr>
          </m:sSubPr>
          <m:e>
            <m:r>
              <w:rPr>
                <w:rFonts w:ascii="Cambria Math" w:hAnsi="Cambria Math"/>
              </w:rPr>
              <m:t>I</m:t>
            </m:r>
          </m:e>
          <m:sub>
            <m:r>
              <w:rPr>
                <w:rFonts w:ascii="Cambria Math" w:hAnsi="Cambria Math"/>
              </w:rPr>
              <m:t>0</m:t>
            </m:r>
          </m:sub>
        </m:sSub>
      </m:oMath>
      <w:r>
        <w:t xml:space="preserve"> from the coarse set {0, 0.5, 1} (Section 3.3), sellers Bertrand compete in prices (Lemmas 1 to 3), and consumers purchase. All comparative statics on prices and demand flow from the </w:t>
      </w:r>
      <m:oMath>
        <m:r>
          <w:rPr>
            <w:rFonts w:ascii="Cambria Math" w:hAnsi="Cambria Math"/>
          </w:rPr>
          <m:t xml:space="preserve">k · </m:t>
        </m:r>
        <m:sSub>
          <m:sSubPr>
            <m:ctrlPr>
              <w:rPr>
                <w:rFonts w:ascii="Cambria Math" w:hAnsi="Cambria Math"/>
              </w:rPr>
            </m:ctrlPr>
          </m:sSubPr>
          <m:e>
            <m:r>
              <w:rPr>
                <w:rFonts w:ascii="Cambria Math" w:hAnsi="Cambria Math"/>
              </w:rPr>
              <m:t>ρ</m:t>
            </m:r>
          </m:e>
          <m:sub>
            <m:r>
              <w:rPr>
                <w:rFonts w:ascii="Cambria Math" w:hAnsi="Cambria Math"/>
              </w:rPr>
              <m:t>0</m:t>
            </m:r>
          </m:sub>
        </m:sSub>
      </m:oMath>
      <w:r>
        <w:t xml:space="preserve"> terms the badge injects into the demand intercepts. The participation gate is imposed, not derived from primitives. It is the engine of every demand expansion result below.</w:t>
      </w:r>
    </w:p>
    <w:p w14:paraId="3CAA0CD8" w14:textId="77777777" w:rsidR="0082185C" w:rsidRDefault="00000000" w:rsidP="00DB50E5">
      <w:pPr>
        <w:pStyle w:val="Heading1"/>
        <w:spacing w:before="300" w:after="150"/>
        <w:jc w:val="both"/>
      </w:pPr>
      <w:r>
        <w:t>2. Finding by Finding Derivation</w:t>
      </w:r>
    </w:p>
    <w:p w14:paraId="62BB84B9" w14:textId="77777777" w:rsidR="0082185C" w:rsidRDefault="00000000" w:rsidP="00DB50E5">
      <w:pPr>
        <w:pStyle w:val="Heading2"/>
        <w:spacing w:before="240" w:after="120"/>
        <w:jc w:val="both"/>
      </w:pPr>
      <w:r>
        <w:t>Finding 1: badge increases demand for badged sellers. Status: derived, conditional.</w:t>
      </w:r>
    </w:p>
    <w:p w14:paraId="4EDF8745" w14:textId="77777777" w:rsidR="0082185C" w:rsidRDefault="00000000" w:rsidP="00DB50E5">
      <w:pPr>
        <w:spacing w:after="160"/>
        <w:jc w:val="both"/>
      </w:pPr>
      <w:r>
        <w:t xml:space="preserve">Situation 2 versus 1 (one product badged versus none): Eq. 24 gives </w:t>
      </w:r>
      <m:oMath>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 xml:space="preserve">(2) - </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(1)</m:t>
        </m:r>
      </m:oMath>
      <w:r>
        <w:t xml:space="preserve"> proportional to </w:t>
      </w:r>
      <m:oMath>
        <m:r>
          <w:rPr>
            <w:rFonts w:ascii="Cambria Math" w:hAnsi="Cambria Math"/>
          </w:rPr>
          <m:t xml:space="preserve">(2 - </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A0</m:t>
            </m:r>
          </m:sub>
        </m:sSub>
        <m:r>
          <w:rPr>
            <w:rFonts w:ascii="Cambria Math" w:hAnsi="Cambria Math"/>
          </w:rPr>
          <m:t xml:space="preserve"> &gt; z </m:t>
        </m:r>
        <m:sSub>
          <m:sSubPr>
            <m:ctrlPr>
              <w:rPr>
                <w:rFonts w:ascii="Cambria Math" w:hAnsi="Cambria Math"/>
              </w:rPr>
            </m:ctrlPr>
          </m:sSubPr>
          <m:e>
            <m:r>
              <w:rPr>
                <w:rFonts w:ascii="Cambria Math" w:hAnsi="Cambria Math"/>
              </w:rPr>
              <m:t>α</m:t>
            </m:r>
          </m:e>
          <m:sub>
            <m:r>
              <w:rPr>
                <w:rFonts w:ascii="Cambria Math" w:hAnsi="Cambria Math"/>
              </w:rPr>
              <m:t>B0</m:t>
            </m:r>
          </m:sub>
        </m:sSub>
        <m:r>
          <w:rPr>
            <w:rFonts w:ascii="Cambria Math" w:hAnsi="Cambria Math"/>
          </w:rPr>
          <m:t xml:space="preserve"> + (1 - </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 xml:space="preserve">) </m:t>
        </m:r>
        <m:sSub>
          <m:sSubPr>
            <m:ctrlPr>
              <w:rPr>
                <w:rFonts w:ascii="Cambria Math" w:hAnsi="Cambria Math"/>
              </w:rPr>
            </m:ctrlPr>
          </m:sSubPr>
          <m:e>
            <m:r>
              <w:rPr>
                <w:rFonts w:ascii="Cambria Math" w:hAnsi="Cambria Math"/>
              </w:rPr>
              <m:t>ρ</m:t>
            </m:r>
          </m:e>
          <m:sub>
            <m:r>
              <w:rPr>
                <w:rFonts w:ascii="Cambria Math" w:hAnsi="Cambria Math"/>
              </w:rPr>
              <m:t>0</m:t>
            </m:r>
          </m:sub>
        </m:sSub>
      </m:oMath>
      <w:r>
        <w:t xml:space="preserve">, positive if and only if condition (25) holds. The paper's own decomposition is honest here: the influx of green consumers must outweigh the non green consumers lost to the equilibrium price increase. The unbadged product B gains demand unconditionally in situation 2 (Eq. 26, always positive) through a relative price effect. For situation 3 versus 1, the analogous conditions are Eqs. 33 and 34, summarized in Proposition 2. </w:t>
      </w:r>
      <w:proofErr w:type="gramStart"/>
      <w:r>
        <w:t>So</w:t>
      </w:r>
      <w:proofErr w:type="gramEnd"/>
      <w:r>
        <w:t xml:space="preserve"> Finding 1 is a genuine equilibrium result, but only inside the baseline utility dominance region.</w:t>
      </w:r>
    </w:p>
    <w:p w14:paraId="705548A4" w14:textId="77777777" w:rsidR="0082185C" w:rsidRDefault="00000000" w:rsidP="00DB50E5">
      <w:pPr>
        <w:pStyle w:val="Heading2"/>
        <w:spacing w:before="240" w:after="120"/>
        <w:jc w:val="both"/>
      </w:pPr>
      <w:r>
        <w:t>Finding 2: badge increases price. Status: derived, unconditional.</w:t>
      </w:r>
    </w:p>
    <w:p w14:paraId="12D0AEF9" w14:textId="77777777" w:rsidR="0082185C" w:rsidRDefault="00000000" w:rsidP="00DB50E5">
      <w:pPr>
        <w:spacing w:after="160"/>
        <w:jc w:val="both"/>
      </w:pPr>
      <w:r>
        <w:t xml:space="preserve">Comparing Lemmas 1 and 2, Eq. 23 gives both </w:t>
      </w:r>
      <m:oMath>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A</m:t>
                </m:r>
              </m:sub>
            </m:sSub>
          </m:e>
          <m:sup>
            <m:r>
              <w:rPr>
                <w:rFonts w:ascii="Cambria Math" w:hAnsi="Cambria Math"/>
              </w:rPr>
              <m:t>*</m:t>
            </m:r>
          </m:sup>
        </m:sSup>
        <m:r>
          <w:rPr>
            <w:rFonts w:ascii="Cambria Math" w:hAnsi="Cambria Math"/>
          </w:rPr>
          <m:t xml:space="preserve">(2) - </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A</m:t>
                </m:r>
              </m:sub>
            </m:sSub>
          </m:e>
          <m:sup>
            <m:r>
              <w:rPr>
                <w:rFonts w:ascii="Cambria Math" w:hAnsi="Cambria Math"/>
              </w:rPr>
              <m:t>*</m:t>
            </m:r>
          </m:sup>
        </m:sSup>
        <m:r>
          <w:rPr>
            <w:rFonts w:ascii="Cambria Math" w:hAnsi="Cambria Math"/>
          </w:rPr>
          <m:t>(1)</m:t>
        </m:r>
      </m:oMath>
      <w:r>
        <w:t xml:space="preserve"> and the analogous term for seller B strictly positive. The badged seller's price rises because its demand intercept rises with the green segment premium. The unbadged seller's price rises purely through strategic complementarity, since its best response is increasing in the rival's price. Findings 1 and 2 are jointly coherent, not smuggled in: both are consequences of the same intercept shift, and condition (25) correctly prices in the tension between them. The caveat inherited from Section 1 stands: the intercept shift rests on the assumed participation gate.</w:t>
      </w:r>
    </w:p>
    <w:p w14:paraId="6AD52F71" w14:textId="77777777" w:rsidR="0082185C" w:rsidRDefault="00000000" w:rsidP="00DB50E5">
      <w:pPr>
        <w:pStyle w:val="Heading2"/>
        <w:spacing w:before="240" w:after="120"/>
        <w:jc w:val="both"/>
      </w:pPr>
      <w:r>
        <w:t>Finding 3: platform prefers selective badging. Status: partially derived, sufficient conditions only, no modeled trade off.</w:t>
      </w:r>
    </w:p>
    <w:p w14:paraId="0F89E99B" w14:textId="77777777" w:rsidR="0082185C" w:rsidRDefault="00000000" w:rsidP="00DB50E5">
      <w:pPr>
        <w:spacing w:after="160"/>
        <w:jc w:val="both"/>
      </w:pPr>
      <w:r>
        <w:t xml:space="preserve">Proposition 3 states that situation 2 dominates both 1 and 3 when three conditions hold jointly: condition (25), the band in Eq. 38 which requires </w:t>
      </w:r>
      <m:oMath>
        <m:sSub>
          <m:sSubPr>
            <m:ctrlPr>
              <w:rPr>
                <w:rFonts w:ascii="Cambria Math" w:hAnsi="Cambria Math"/>
              </w:rPr>
            </m:ctrlPr>
          </m:sSubPr>
          <m:e>
            <m:r>
              <w:rPr>
                <w:rFonts w:ascii="Cambria Math" w:hAnsi="Cambria Math"/>
              </w:rPr>
              <m:t>α</m:t>
            </m:r>
          </m:e>
          <m:sub>
            <m:r>
              <w:rPr>
                <w:rFonts w:ascii="Cambria Math" w:hAnsi="Cambria Math"/>
              </w:rPr>
              <m:t>A0</m:t>
            </m:r>
          </m:sub>
        </m:sSub>
      </m:oMath>
      <w:r>
        <w:t xml:space="preserve"> minus </w:t>
      </w:r>
      <m:oMath>
        <m:sSub>
          <m:sSubPr>
            <m:ctrlPr>
              <w:rPr>
                <w:rFonts w:ascii="Cambria Math" w:hAnsi="Cambria Math"/>
              </w:rPr>
            </m:ctrlPr>
          </m:sSubPr>
          <m:e>
            <m:r>
              <w:rPr>
                <w:rFonts w:ascii="Cambria Math" w:hAnsi="Cambria Math"/>
              </w:rPr>
              <m:t>α</m:t>
            </m:r>
          </m:e>
          <m:sub>
            <m:r>
              <w:rPr>
                <w:rFonts w:ascii="Cambria Math" w:hAnsi="Cambria Math"/>
              </w:rPr>
              <m:t>B0</m:t>
            </m:r>
          </m:sub>
        </m:sSub>
      </m:oMath>
      <w:r>
        <w:t xml:space="preserve"> to sit in a strictly negative interval, and 0.67 less than </w:t>
      </w:r>
      <m:oMath>
        <m:r>
          <w:rPr>
            <w:rFonts w:ascii="Cambria Math" w:hAnsi="Cambria Math"/>
          </w:rPr>
          <m:t>z</m:t>
        </m:r>
      </m:oMath>
      <w:r>
        <w:t xml:space="preserve"> less than 0.89. Two structural weaknesses stand out. First, footnote 4 concedes the platform's aggregate objective </w:t>
      </w:r>
      <m:oMath>
        <m:r>
          <w:rPr>
            <w:rFonts w:ascii="Cambria Math" w:hAnsi="Cambria Math"/>
          </w:rPr>
          <m:t>r · (</m:t>
        </m:r>
        <m:sSub>
          <m:sSubPr>
            <m:ctrlPr>
              <w:rPr>
                <w:rFonts w:ascii="Cambria Math" w:hAnsi="Cambria Math"/>
              </w:rPr>
            </m:ctrlPr>
          </m:sSubPr>
          <m:e>
            <m:r>
              <w:rPr>
                <w:rFonts w:ascii="Cambria Math" w:hAnsi="Cambria Math"/>
              </w:rPr>
              <m:t>p</m:t>
            </m:r>
          </m:e>
          <m:sub>
            <m:r>
              <w:rPr>
                <w:rFonts w:ascii="Cambria Math" w:hAnsi="Cambria Math"/>
              </w:rPr>
              <m:t>A</m:t>
            </m:r>
          </m:sub>
        </m:sSub>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B</m:t>
            </m:r>
          </m:sub>
        </m:sSub>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m:t>
        </m:r>
      </m:oMath>
      <w:r>
        <w:t xml:space="preserve"> is never compared across the three thresholds. The paper requires pointwise dominance of every price and every demand term simultaneously, a valid sufficient condition but not an actual profit maximization. Second, there </w:t>
      </w:r>
      <w:r>
        <w:lastRenderedPageBreak/>
        <w:t xml:space="preserve">is no cost, congestion, or dilution externality attached to badging anywhere in the model. Nothing structural penalizes badging everyone. The interior optimum at </w:t>
      </w:r>
      <m:oMath>
        <m:sSub>
          <m:sSubPr>
            <m:ctrlPr>
              <w:rPr>
                <w:rFonts w:ascii="Cambria Math" w:hAnsi="Cambria Math"/>
              </w:rPr>
            </m:ctrlPr>
          </m:sSubPr>
          <m:e>
            <m:r>
              <w:rPr>
                <w:rFonts w:ascii="Cambria Math" w:hAnsi="Cambria Math"/>
              </w:rPr>
              <m:t>I</m:t>
            </m:r>
          </m:e>
          <m:sub>
            <m:r>
              <w:rPr>
                <w:rFonts w:ascii="Cambria Math" w:hAnsi="Cambria Math"/>
              </w:rPr>
              <m:t>0</m:t>
            </m:r>
          </m:sub>
        </m:sSub>
      </m:oMath>
      <w:r>
        <w:t xml:space="preserve"> equal to 0.5 exists only because the chosen parameter band happens to make situation 2 dominate pointwise. The trade off Finding 3 requires is assumed via parameter selection, not modeled.</w:t>
      </w:r>
    </w:p>
    <w:p w14:paraId="38D393D6" w14:textId="77777777" w:rsidR="0082185C" w:rsidRDefault="00000000" w:rsidP="00DB50E5">
      <w:pPr>
        <w:pStyle w:val="Heading2"/>
        <w:spacing w:before="240" w:after="120"/>
        <w:jc w:val="both"/>
      </w:pPr>
      <w:r>
        <w:t>Finding 4: badge decreases market concentration (HHI). Status: confirmed conditionally false inside part of Proposition 3's own band.</w:t>
      </w:r>
    </w:p>
    <w:p w14:paraId="27DB38E2" w14:textId="77777777" w:rsidR="0082185C" w:rsidRDefault="00000000" w:rsidP="00DB50E5">
      <w:pPr>
        <w:spacing w:after="160"/>
        <w:jc w:val="both"/>
      </w:pPr>
      <w:r>
        <w:t xml:space="preserve">This section was </w:t>
      </w:r>
      <w:proofErr w:type="spellStart"/>
      <w:proofErr w:type="gramStart"/>
      <w:r>
        <w:t>re run</w:t>
      </w:r>
      <w:proofErr w:type="spellEnd"/>
      <w:proofErr w:type="gramEnd"/>
      <w:r>
        <w:t xml:space="preserve"> with a full symbolic derivation, not taken on the paper's stated closed forms. One correction surfaced in the process: the badge premium term in the transcribed Lemma 2 formulas is written as a function of </w:t>
      </w:r>
      <m:oMath>
        <m:r>
          <w:rPr>
            <w:rFonts w:ascii="Cambria Math" w:hAnsi="Cambria Math"/>
          </w:rPr>
          <m:t>z</m:t>
        </m:r>
      </m:oMath>
      <w:r>
        <w:t xml:space="preserve"> (substitutability). Deriving the model from the underlying utility functions and checking it against the paper's own Situation 1 result shows the term must instead be a function of </w:t>
      </w:r>
      <m:oMath>
        <m:r>
          <w:rPr>
            <w:rFonts w:ascii="Cambria Math" w:hAnsi="Cambria Math"/>
          </w:rPr>
          <m:t>k</m:t>
        </m:r>
      </m:oMath>
      <w:r>
        <w:t xml:space="preserve"> (green segment size). The </w:t>
      </w:r>
      <m:oMath>
        <m:r>
          <w:rPr>
            <w:rFonts w:ascii="Cambria Math" w:hAnsi="Cambria Math"/>
          </w:rPr>
          <m:t>z</m:t>
        </m:r>
      </m:oMath>
      <w:r>
        <w:t xml:space="preserve"> reading fails to reduce correctly to Situation 1; the </w:t>
      </w:r>
      <m:oMath>
        <m:r>
          <w:rPr>
            <w:rFonts w:ascii="Cambria Math" w:hAnsi="Cambria Math"/>
          </w:rPr>
          <m:t>k</m:t>
        </m:r>
      </m:oMath>
      <w:r>
        <w:t xml:space="preserve"> reading does. This is most likely an OCR transcription error carried through both prior analyses of this paper, not an error in the paper itself. It matters because </w:t>
      </w:r>
      <m:oMath>
        <m:r>
          <w:rPr>
            <w:rFonts w:ascii="Cambria Math" w:hAnsi="Cambria Math"/>
          </w:rPr>
          <m:t>k</m:t>
        </m:r>
      </m:oMath>
      <w:r>
        <w:t xml:space="preserve">, not </w:t>
      </w:r>
      <m:oMath>
        <m:r>
          <w:rPr>
            <w:rFonts w:ascii="Cambria Math" w:hAnsi="Cambria Math"/>
          </w:rPr>
          <m:t>z</m:t>
        </m:r>
      </m:oMath>
      <w:r>
        <w:t xml:space="preserve">, is the variable that </w:t>
      </w:r>
      <w:proofErr w:type="gramStart"/>
      <w:r>
        <w:t>actually governs</w:t>
      </w:r>
      <w:proofErr w:type="gramEnd"/>
      <w:r>
        <w:t xml:space="preserve"> the HHI result below.</w:t>
      </w:r>
    </w:p>
    <w:p w14:paraId="2021FC29" w14:textId="77777777" w:rsidR="0082185C" w:rsidRDefault="00000000" w:rsidP="00DB50E5">
      <w:pPr>
        <w:spacing w:after="160"/>
        <w:jc w:val="both"/>
      </w:pPr>
      <w:r>
        <w:t>Using Proposition 3's own worked numerical example (</w:t>
      </w:r>
      <m:oMath>
        <m:r>
          <w:rPr>
            <w:rFonts w:ascii="Cambria Math" w:hAnsi="Cambria Math"/>
          </w:rPr>
          <m:t>z</m:t>
        </m:r>
      </m:oMath>
      <w:r>
        <w:t xml:space="preserve"> = 0.8, </w:t>
      </w:r>
      <m:oMath>
        <m:sSub>
          <m:sSubPr>
            <m:ctrlPr>
              <w:rPr>
                <w:rFonts w:ascii="Cambria Math" w:hAnsi="Cambria Math"/>
              </w:rPr>
            </m:ctrlPr>
          </m:sSubPr>
          <m:e>
            <m:r>
              <w:rPr>
                <w:rFonts w:ascii="Cambria Math" w:hAnsi="Cambria Math"/>
              </w:rPr>
              <m:t>α</m:t>
            </m:r>
          </m:e>
          <m:sub>
            <m:r>
              <w:rPr>
                <w:rFonts w:ascii="Cambria Math" w:hAnsi="Cambria Math"/>
              </w:rPr>
              <m:t>B0</m:t>
            </m:r>
          </m:sub>
        </m:sSub>
      </m:oMath>
      <w:r>
        <w:t xml:space="preserve"> = 2, </w:t>
      </w:r>
      <m:oMath>
        <m:sSub>
          <m:sSubPr>
            <m:ctrlPr>
              <w:rPr>
                <w:rFonts w:ascii="Cambria Math" w:hAnsi="Cambria Math"/>
              </w:rPr>
            </m:ctrlPr>
          </m:sSubPr>
          <m:e>
            <m:r>
              <w:rPr>
                <w:rFonts w:ascii="Cambria Math" w:hAnsi="Cambria Math"/>
              </w:rPr>
              <m:t>ρ</m:t>
            </m:r>
          </m:e>
          <m:sub>
            <m:r>
              <w:rPr>
                <w:rFonts w:ascii="Cambria Math" w:hAnsi="Cambria Math"/>
              </w:rPr>
              <m:t>0</m:t>
            </m:r>
          </m:sub>
        </m:sSub>
      </m:oMath>
      <w:r>
        <w:t xml:space="preserve"> = 0.5, </w:t>
      </w:r>
      <m:oMath>
        <m:sSub>
          <m:sSubPr>
            <m:ctrlPr>
              <w:rPr>
                <w:rFonts w:ascii="Cambria Math" w:hAnsi="Cambria Math"/>
              </w:rPr>
            </m:ctrlPr>
          </m:sSubPr>
          <m:e>
            <m:r>
              <w:rPr>
                <w:rFonts w:ascii="Cambria Math" w:hAnsi="Cambria Math"/>
              </w:rPr>
              <m:t>α</m:t>
            </m:r>
          </m:e>
          <m:sub>
            <m:r>
              <w:rPr>
                <w:rFonts w:ascii="Cambria Math" w:hAnsi="Cambria Math"/>
              </w:rPr>
              <m:t>A0</m:t>
            </m:r>
          </m:sub>
        </m:sSub>
      </m:oMath>
      <w:r>
        <w:t xml:space="preserve"> in the band 1.56 to 1.90), I computed </w:t>
      </w:r>
      <m:oMath>
        <m:sSub>
          <m:sSubPr>
            <m:ctrlPr>
              <w:rPr>
                <w:rFonts w:ascii="Cambria Math" w:hAnsi="Cambria Math"/>
              </w:rPr>
            </m:ctrlPr>
          </m:sSubPr>
          <m:e>
            <m:r>
              <w:rPr>
                <w:rFonts w:ascii="Cambria Math" w:hAnsi="Cambria Math"/>
              </w:rPr>
              <m:t>MS</m:t>
            </m:r>
          </m:e>
          <m:sub>
            <m:r>
              <w:rPr>
                <w:rFonts w:ascii="Cambria Math" w:hAnsi="Cambria Math"/>
              </w:rPr>
              <m:t>A</m:t>
            </m:r>
          </m:sub>
        </m:sSub>
      </m:oMath>
      <w:r>
        <w:t xml:space="preserve"> under Situations 1 and 2 directly from the derived demand functions and checked the sign of the gap to 0.5 across a range of </w:t>
      </w:r>
      <m:oMath>
        <m:r>
          <w:rPr>
            <w:rFonts w:ascii="Cambria Math" w:hAnsi="Cambria Math"/>
          </w:rPr>
          <m:t>k</m:t>
        </m:r>
      </m:oMath>
      <w:r>
        <w:t>, the one free parameter Proposition 3 never fixes.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2"/>
        <w:gridCol w:w="1413"/>
        <w:gridCol w:w="1415"/>
        <w:gridCol w:w="1440"/>
        <w:gridCol w:w="1415"/>
        <w:gridCol w:w="1415"/>
      </w:tblGrid>
      <w:tr w:rsidR="0082185C" w14:paraId="28FC878E" w14:textId="77777777">
        <w:tblPrEx>
          <w:tblCellMar>
            <w:top w:w="0" w:type="dxa"/>
            <w:bottom w:w="0" w:type="dxa"/>
          </w:tblCellMar>
        </w:tblPrEx>
        <w:trPr>
          <w:tblHeader/>
        </w:trPr>
        <w:tc>
          <w:tcPr>
            <w:tcW w:w="1600" w:type="dxa"/>
            <w:shd w:val="clear" w:color="auto" w:fill="1F3864"/>
            <w:tcMar>
              <w:top w:w="80" w:type="dxa"/>
              <w:left w:w="120" w:type="dxa"/>
              <w:bottom w:w="80" w:type="dxa"/>
              <w:right w:w="120" w:type="dxa"/>
            </w:tcMar>
          </w:tcPr>
          <w:p w14:paraId="52D3845D" w14:textId="632FB019" w:rsidR="0082185C" w:rsidRPr="007304E6" w:rsidRDefault="007304E6" w:rsidP="00DB50E5">
            <w:pPr>
              <w:jc w:val="both"/>
              <w:rPr>
                <w:b/>
                <w:bCs/>
              </w:rPr>
            </w:pPr>
            <m:oMathPara>
              <m:oMath>
                <m:sSub>
                  <m:sSubPr>
                    <m:ctrlPr>
                      <w:rPr>
                        <w:rFonts w:ascii="Cambria Math" w:hAnsi="Cambria Math"/>
                        <w:b/>
                        <w:bCs/>
                      </w:rPr>
                    </m:ctrlPr>
                  </m:sSubPr>
                  <m:e>
                    <m:r>
                      <m:rPr>
                        <m:sty m:val="bi"/>
                      </m:rPr>
                      <w:rPr>
                        <w:rFonts w:ascii="Cambria Math" w:hAnsi="Cambria Math"/>
                      </w:rPr>
                      <m:t>α</m:t>
                    </m:r>
                  </m:e>
                  <m:sub>
                    <m:r>
                      <m:rPr>
                        <m:sty m:val="bi"/>
                      </m:rPr>
                      <w:rPr>
                        <w:rFonts w:ascii="Cambria Math" w:hAnsi="Cambria Math"/>
                      </w:rPr>
                      <m:t>A</m:t>
                    </m:r>
                    <m:r>
                      <m:rPr>
                        <m:sty m:val="bi"/>
                      </m:rPr>
                      <w:rPr>
                        <w:rFonts w:ascii="Cambria Math" w:hAnsi="Cambria Math"/>
                      </w:rPr>
                      <m:t>0</m:t>
                    </m:r>
                  </m:sub>
                </m:sSub>
              </m:oMath>
            </m:oMathPara>
          </w:p>
        </w:tc>
        <w:tc>
          <w:tcPr>
            <w:tcW w:w="1500" w:type="dxa"/>
            <w:shd w:val="clear" w:color="auto" w:fill="1F3864"/>
            <w:tcMar>
              <w:top w:w="80" w:type="dxa"/>
              <w:left w:w="120" w:type="dxa"/>
              <w:bottom w:w="80" w:type="dxa"/>
              <w:right w:w="120" w:type="dxa"/>
            </w:tcMar>
          </w:tcPr>
          <w:p w14:paraId="1789CAF7" w14:textId="77777777" w:rsidR="0082185C" w:rsidRDefault="00000000" w:rsidP="00DB50E5">
            <w:pPr>
              <w:jc w:val="both"/>
            </w:pPr>
            <w:r>
              <w:rPr>
                <w:b/>
                <w:bCs/>
                <w:color w:val="FFFFFF"/>
              </w:rPr>
              <w:t>k = 0.1</w:t>
            </w:r>
          </w:p>
        </w:tc>
        <w:tc>
          <w:tcPr>
            <w:tcW w:w="1500" w:type="dxa"/>
            <w:shd w:val="clear" w:color="auto" w:fill="1F3864"/>
            <w:tcMar>
              <w:top w:w="80" w:type="dxa"/>
              <w:left w:w="120" w:type="dxa"/>
              <w:bottom w:w="80" w:type="dxa"/>
              <w:right w:w="120" w:type="dxa"/>
            </w:tcMar>
          </w:tcPr>
          <w:p w14:paraId="1C3C1DC8" w14:textId="77777777" w:rsidR="0082185C" w:rsidRDefault="00000000" w:rsidP="00DB50E5">
            <w:pPr>
              <w:jc w:val="both"/>
            </w:pPr>
            <w:r>
              <w:rPr>
                <w:b/>
                <w:bCs/>
                <w:color w:val="FFFFFF"/>
              </w:rPr>
              <w:t>k = 0.3</w:t>
            </w:r>
          </w:p>
        </w:tc>
        <w:tc>
          <w:tcPr>
            <w:tcW w:w="1500" w:type="dxa"/>
            <w:shd w:val="clear" w:color="auto" w:fill="1F3864"/>
            <w:tcMar>
              <w:top w:w="80" w:type="dxa"/>
              <w:left w:w="120" w:type="dxa"/>
              <w:bottom w:w="80" w:type="dxa"/>
              <w:right w:w="120" w:type="dxa"/>
            </w:tcMar>
          </w:tcPr>
          <w:p w14:paraId="494F3009" w14:textId="77777777" w:rsidR="0082185C" w:rsidRDefault="00000000" w:rsidP="00DB50E5">
            <w:pPr>
              <w:jc w:val="both"/>
            </w:pPr>
            <w:r>
              <w:rPr>
                <w:b/>
                <w:bCs/>
                <w:color w:val="FFFFFF"/>
              </w:rPr>
              <w:t>k = 0.5</w:t>
            </w:r>
          </w:p>
        </w:tc>
        <w:tc>
          <w:tcPr>
            <w:tcW w:w="1500" w:type="dxa"/>
            <w:shd w:val="clear" w:color="auto" w:fill="1F3864"/>
            <w:tcMar>
              <w:top w:w="80" w:type="dxa"/>
              <w:left w:w="120" w:type="dxa"/>
              <w:bottom w:w="80" w:type="dxa"/>
              <w:right w:w="120" w:type="dxa"/>
            </w:tcMar>
          </w:tcPr>
          <w:p w14:paraId="7DF2B3D0" w14:textId="77777777" w:rsidR="0082185C" w:rsidRDefault="00000000" w:rsidP="00DB50E5">
            <w:pPr>
              <w:jc w:val="both"/>
            </w:pPr>
            <w:r>
              <w:rPr>
                <w:b/>
                <w:bCs/>
                <w:color w:val="FFFFFF"/>
              </w:rPr>
              <w:t>k = 0.7</w:t>
            </w:r>
          </w:p>
        </w:tc>
        <w:tc>
          <w:tcPr>
            <w:tcW w:w="1500" w:type="dxa"/>
            <w:shd w:val="clear" w:color="auto" w:fill="1F3864"/>
            <w:tcMar>
              <w:top w:w="80" w:type="dxa"/>
              <w:left w:w="120" w:type="dxa"/>
              <w:bottom w:w="80" w:type="dxa"/>
              <w:right w:w="120" w:type="dxa"/>
            </w:tcMar>
          </w:tcPr>
          <w:p w14:paraId="62E93E01" w14:textId="77777777" w:rsidR="0082185C" w:rsidRDefault="00000000" w:rsidP="00DB50E5">
            <w:pPr>
              <w:jc w:val="both"/>
            </w:pPr>
            <w:r>
              <w:rPr>
                <w:b/>
                <w:bCs/>
                <w:color w:val="FFFFFF"/>
              </w:rPr>
              <w:t>k = 0.9</w:t>
            </w:r>
          </w:p>
        </w:tc>
      </w:tr>
      <w:tr w:rsidR="0082185C" w14:paraId="5FCC3BA8" w14:textId="77777777">
        <w:tblPrEx>
          <w:tblCellMar>
            <w:top w:w="0" w:type="dxa"/>
            <w:bottom w:w="0" w:type="dxa"/>
          </w:tblCellMar>
        </w:tblPrEx>
        <w:tc>
          <w:tcPr>
            <w:tcW w:w="1600" w:type="dxa"/>
            <w:tcMar>
              <w:top w:w="80" w:type="dxa"/>
              <w:left w:w="120" w:type="dxa"/>
              <w:bottom w:w="80" w:type="dxa"/>
              <w:right w:w="120" w:type="dxa"/>
            </w:tcMar>
          </w:tcPr>
          <w:p w14:paraId="7AE9083B" w14:textId="77777777" w:rsidR="0082185C" w:rsidRDefault="00000000" w:rsidP="00DB50E5">
            <w:pPr>
              <w:jc w:val="both"/>
            </w:pPr>
            <w:r>
              <w:rPr>
                <w:color w:val="000000"/>
              </w:rPr>
              <w:t>1.56</w:t>
            </w:r>
          </w:p>
        </w:tc>
        <w:tc>
          <w:tcPr>
            <w:tcW w:w="1500" w:type="dxa"/>
            <w:tcMar>
              <w:top w:w="80" w:type="dxa"/>
              <w:left w:w="120" w:type="dxa"/>
              <w:bottom w:w="80" w:type="dxa"/>
              <w:right w:w="120" w:type="dxa"/>
            </w:tcMar>
          </w:tcPr>
          <w:p w14:paraId="58EDC1BC" w14:textId="77777777" w:rsidR="0082185C" w:rsidRDefault="00000000" w:rsidP="00DB50E5">
            <w:pPr>
              <w:jc w:val="both"/>
            </w:pPr>
            <w:r>
              <w:rPr>
                <w:color w:val="000000"/>
              </w:rPr>
              <w:t>falls</w:t>
            </w:r>
          </w:p>
        </w:tc>
        <w:tc>
          <w:tcPr>
            <w:tcW w:w="1500" w:type="dxa"/>
            <w:tcMar>
              <w:top w:w="80" w:type="dxa"/>
              <w:left w:w="120" w:type="dxa"/>
              <w:bottom w:w="80" w:type="dxa"/>
              <w:right w:w="120" w:type="dxa"/>
            </w:tcMar>
          </w:tcPr>
          <w:p w14:paraId="342E1E57" w14:textId="77777777" w:rsidR="0082185C" w:rsidRDefault="00000000" w:rsidP="00DB50E5">
            <w:pPr>
              <w:jc w:val="both"/>
            </w:pPr>
            <w:r>
              <w:rPr>
                <w:color w:val="000000"/>
              </w:rPr>
              <w:t>falls</w:t>
            </w:r>
          </w:p>
        </w:tc>
        <w:tc>
          <w:tcPr>
            <w:tcW w:w="1500" w:type="dxa"/>
            <w:tcMar>
              <w:top w:w="80" w:type="dxa"/>
              <w:left w:w="120" w:type="dxa"/>
              <w:bottom w:w="80" w:type="dxa"/>
              <w:right w:w="120" w:type="dxa"/>
            </w:tcMar>
          </w:tcPr>
          <w:p w14:paraId="684ECFA9" w14:textId="77777777" w:rsidR="0082185C" w:rsidRDefault="00000000" w:rsidP="00DB50E5">
            <w:pPr>
              <w:jc w:val="both"/>
            </w:pPr>
            <w:r>
              <w:rPr>
                <w:color w:val="000000"/>
              </w:rPr>
              <w:t>falls</w:t>
            </w:r>
          </w:p>
        </w:tc>
        <w:tc>
          <w:tcPr>
            <w:tcW w:w="1500" w:type="dxa"/>
            <w:tcMar>
              <w:top w:w="80" w:type="dxa"/>
              <w:left w:w="120" w:type="dxa"/>
              <w:bottom w:w="80" w:type="dxa"/>
              <w:right w:w="120" w:type="dxa"/>
            </w:tcMar>
          </w:tcPr>
          <w:p w14:paraId="3281815A" w14:textId="77777777" w:rsidR="0082185C" w:rsidRDefault="00000000" w:rsidP="00DB50E5">
            <w:pPr>
              <w:jc w:val="both"/>
            </w:pPr>
            <w:r>
              <w:rPr>
                <w:color w:val="000000"/>
              </w:rPr>
              <w:t>falls</w:t>
            </w:r>
          </w:p>
        </w:tc>
        <w:tc>
          <w:tcPr>
            <w:tcW w:w="1500" w:type="dxa"/>
            <w:tcMar>
              <w:top w:w="80" w:type="dxa"/>
              <w:left w:w="120" w:type="dxa"/>
              <w:bottom w:w="80" w:type="dxa"/>
              <w:right w:w="120" w:type="dxa"/>
            </w:tcMar>
          </w:tcPr>
          <w:p w14:paraId="2D4C364F" w14:textId="77777777" w:rsidR="0082185C" w:rsidRDefault="00000000" w:rsidP="00DB50E5">
            <w:pPr>
              <w:jc w:val="both"/>
            </w:pPr>
            <w:r>
              <w:rPr>
                <w:color w:val="000000"/>
              </w:rPr>
              <w:t>rises</w:t>
            </w:r>
          </w:p>
        </w:tc>
      </w:tr>
      <w:tr w:rsidR="0082185C" w14:paraId="3D80FC1B" w14:textId="77777777">
        <w:tblPrEx>
          <w:tblCellMar>
            <w:top w:w="0" w:type="dxa"/>
            <w:bottom w:w="0" w:type="dxa"/>
          </w:tblCellMar>
        </w:tblPrEx>
        <w:tc>
          <w:tcPr>
            <w:tcW w:w="1600" w:type="dxa"/>
            <w:tcMar>
              <w:top w:w="80" w:type="dxa"/>
              <w:left w:w="120" w:type="dxa"/>
              <w:bottom w:w="80" w:type="dxa"/>
              <w:right w:w="120" w:type="dxa"/>
            </w:tcMar>
          </w:tcPr>
          <w:p w14:paraId="39197665" w14:textId="77777777" w:rsidR="0082185C" w:rsidRDefault="00000000" w:rsidP="00DB50E5">
            <w:pPr>
              <w:jc w:val="both"/>
            </w:pPr>
            <w:r>
              <w:rPr>
                <w:color w:val="000000"/>
              </w:rPr>
              <w:t>1.65</w:t>
            </w:r>
          </w:p>
        </w:tc>
        <w:tc>
          <w:tcPr>
            <w:tcW w:w="1500" w:type="dxa"/>
            <w:tcMar>
              <w:top w:w="80" w:type="dxa"/>
              <w:left w:w="120" w:type="dxa"/>
              <w:bottom w:w="80" w:type="dxa"/>
              <w:right w:w="120" w:type="dxa"/>
            </w:tcMar>
          </w:tcPr>
          <w:p w14:paraId="20DFDCC8" w14:textId="77777777" w:rsidR="0082185C" w:rsidRDefault="00000000" w:rsidP="00DB50E5">
            <w:pPr>
              <w:jc w:val="both"/>
            </w:pPr>
            <w:r>
              <w:rPr>
                <w:color w:val="000000"/>
              </w:rPr>
              <w:t>falls</w:t>
            </w:r>
          </w:p>
        </w:tc>
        <w:tc>
          <w:tcPr>
            <w:tcW w:w="1500" w:type="dxa"/>
            <w:tcMar>
              <w:top w:w="80" w:type="dxa"/>
              <w:left w:w="120" w:type="dxa"/>
              <w:bottom w:w="80" w:type="dxa"/>
              <w:right w:w="120" w:type="dxa"/>
            </w:tcMar>
          </w:tcPr>
          <w:p w14:paraId="4725A133" w14:textId="77777777" w:rsidR="0082185C" w:rsidRDefault="00000000" w:rsidP="00DB50E5">
            <w:pPr>
              <w:jc w:val="both"/>
            </w:pPr>
            <w:r>
              <w:rPr>
                <w:color w:val="000000"/>
              </w:rPr>
              <w:t>falls</w:t>
            </w:r>
          </w:p>
        </w:tc>
        <w:tc>
          <w:tcPr>
            <w:tcW w:w="1500" w:type="dxa"/>
            <w:tcMar>
              <w:top w:w="80" w:type="dxa"/>
              <w:left w:w="120" w:type="dxa"/>
              <w:bottom w:w="80" w:type="dxa"/>
              <w:right w:w="120" w:type="dxa"/>
            </w:tcMar>
          </w:tcPr>
          <w:p w14:paraId="09A5F261" w14:textId="77777777" w:rsidR="0082185C" w:rsidRDefault="00000000" w:rsidP="00DB50E5">
            <w:pPr>
              <w:jc w:val="both"/>
            </w:pPr>
            <w:r>
              <w:rPr>
                <w:color w:val="000000"/>
              </w:rPr>
              <w:t>falls</w:t>
            </w:r>
          </w:p>
        </w:tc>
        <w:tc>
          <w:tcPr>
            <w:tcW w:w="1500" w:type="dxa"/>
            <w:tcMar>
              <w:top w:w="80" w:type="dxa"/>
              <w:left w:w="120" w:type="dxa"/>
              <w:bottom w:w="80" w:type="dxa"/>
              <w:right w:w="120" w:type="dxa"/>
            </w:tcMar>
          </w:tcPr>
          <w:p w14:paraId="3E502657" w14:textId="77777777" w:rsidR="0082185C" w:rsidRDefault="00000000" w:rsidP="00DB50E5">
            <w:pPr>
              <w:jc w:val="both"/>
            </w:pPr>
            <w:r>
              <w:rPr>
                <w:color w:val="000000"/>
              </w:rPr>
              <w:t>rises</w:t>
            </w:r>
          </w:p>
        </w:tc>
        <w:tc>
          <w:tcPr>
            <w:tcW w:w="1500" w:type="dxa"/>
            <w:tcMar>
              <w:top w:w="80" w:type="dxa"/>
              <w:left w:w="120" w:type="dxa"/>
              <w:bottom w:w="80" w:type="dxa"/>
              <w:right w:w="120" w:type="dxa"/>
            </w:tcMar>
          </w:tcPr>
          <w:p w14:paraId="23DBACCD" w14:textId="77777777" w:rsidR="0082185C" w:rsidRDefault="00000000" w:rsidP="00DB50E5">
            <w:pPr>
              <w:jc w:val="both"/>
            </w:pPr>
            <w:r>
              <w:rPr>
                <w:color w:val="000000"/>
              </w:rPr>
              <w:t>rises</w:t>
            </w:r>
          </w:p>
        </w:tc>
      </w:tr>
      <w:tr w:rsidR="0082185C" w14:paraId="745C35DB" w14:textId="77777777">
        <w:tblPrEx>
          <w:tblCellMar>
            <w:top w:w="0" w:type="dxa"/>
            <w:bottom w:w="0" w:type="dxa"/>
          </w:tblCellMar>
        </w:tblPrEx>
        <w:tc>
          <w:tcPr>
            <w:tcW w:w="1600" w:type="dxa"/>
            <w:tcMar>
              <w:top w:w="80" w:type="dxa"/>
              <w:left w:w="120" w:type="dxa"/>
              <w:bottom w:w="80" w:type="dxa"/>
              <w:right w:w="120" w:type="dxa"/>
            </w:tcMar>
          </w:tcPr>
          <w:p w14:paraId="1854642A" w14:textId="77777777" w:rsidR="0082185C" w:rsidRDefault="00000000" w:rsidP="00DB50E5">
            <w:pPr>
              <w:jc w:val="both"/>
            </w:pPr>
            <w:r>
              <w:rPr>
                <w:color w:val="000000"/>
              </w:rPr>
              <w:t>1.75</w:t>
            </w:r>
          </w:p>
        </w:tc>
        <w:tc>
          <w:tcPr>
            <w:tcW w:w="1500" w:type="dxa"/>
            <w:tcMar>
              <w:top w:w="80" w:type="dxa"/>
              <w:left w:w="120" w:type="dxa"/>
              <w:bottom w:w="80" w:type="dxa"/>
              <w:right w:w="120" w:type="dxa"/>
            </w:tcMar>
          </w:tcPr>
          <w:p w14:paraId="78935641" w14:textId="77777777" w:rsidR="0082185C" w:rsidRDefault="00000000" w:rsidP="00DB50E5">
            <w:pPr>
              <w:jc w:val="both"/>
            </w:pPr>
            <w:r>
              <w:rPr>
                <w:color w:val="000000"/>
              </w:rPr>
              <w:t>falls</w:t>
            </w:r>
          </w:p>
        </w:tc>
        <w:tc>
          <w:tcPr>
            <w:tcW w:w="1500" w:type="dxa"/>
            <w:tcMar>
              <w:top w:w="80" w:type="dxa"/>
              <w:left w:w="120" w:type="dxa"/>
              <w:bottom w:w="80" w:type="dxa"/>
              <w:right w:w="120" w:type="dxa"/>
            </w:tcMar>
          </w:tcPr>
          <w:p w14:paraId="4760E1E4" w14:textId="77777777" w:rsidR="0082185C" w:rsidRDefault="00000000" w:rsidP="00DB50E5">
            <w:pPr>
              <w:jc w:val="both"/>
            </w:pPr>
            <w:r>
              <w:rPr>
                <w:color w:val="000000"/>
              </w:rPr>
              <w:t>falls</w:t>
            </w:r>
          </w:p>
        </w:tc>
        <w:tc>
          <w:tcPr>
            <w:tcW w:w="1500" w:type="dxa"/>
            <w:tcMar>
              <w:top w:w="80" w:type="dxa"/>
              <w:left w:w="120" w:type="dxa"/>
              <w:bottom w:w="80" w:type="dxa"/>
              <w:right w:w="120" w:type="dxa"/>
            </w:tcMar>
          </w:tcPr>
          <w:p w14:paraId="6AC6BF6B" w14:textId="77777777" w:rsidR="0082185C" w:rsidRDefault="00000000" w:rsidP="00DB50E5">
            <w:pPr>
              <w:jc w:val="both"/>
            </w:pPr>
            <w:r>
              <w:rPr>
                <w:color w:val="000000"/>
              </w:rPr>
              <w:t>falls (barely)</w:t>
            </w:r>
          </w:p>
        </w:tc>
        <w:tc>
          <w:tcPr>
            <w:tcW w:w="1500" w:type="dxa"/>
            <w:tcMar>
              <w:top w:w="80" w:type="dxa"/>
              <w:left w:w="120" w:type="dxa"/>
              <w:bottom w:w="80" w:type="dxa"/>
              <w:right w:w="120" w:type="dxa"/>
            </w:tcMar>
          </w:tcPr>
          <w:p w14:paraId="65AA52AC" w14:textId="77777777" w:rsidR="0082185C" w:rsidRDefault="00000000" w:rsidP="00DB50E5">
            <w:pPr>
              <w:jc w:val="both"/>
            </w:pPr>
            <w:r>
              <w:rPr>
                <w:color w:val="000000"/>
              </w:rPr>
              <w:t>rises</w:t>
            </w:r>
          </w:p>
        </w:tc>
        <w:tc>
          <w:tcPr>
            <w:tcW w:w="1500" w:type="dxa"/>
            <w:tcMar>
              <w:top w:w="80" w:type="dxa"/>
              <w:left w:w="120" w:type="dxa"/>
              <w:bottom w:w="80" w:type="dxa"/>
              <w:right w:w="120" w:type="dxa"/>
            </w:tcMar>
          </w:tcPr>
          <w:p w14:paraId="5232726A" w14:textId="77777777" w:rsidR="0082185C" w:rsidRDefault="00000000" w:rsidP="00DB50E5">
            <w:pPr>
              <w:jc w:val="both"/>
            </w:pPr>
            <w:r>
              <w:rPr>
                <w:color w:val="000000"/>
              </w:rPr>
              <w:t>rises</w:t>
            </w:r>
          </w:p>
        </w:tc>
      </w:tr>
      <w:tr w:rsidR="0082185C" w14:paraId="3CE7DFC5" w14:textId="77777777">
        <w:tblPrEx>
          <w:tblCellMar>
            <w:top w:w="0" w:type="dxa"/>
            <w:bottom w:w="0" w:type="dxa"/>
          </w:tblCellMar>
        </w:tblPrEx>
        <w:tc>
          <w:tcPr>
            <w:tcW w:w="1600" w:type="dxa"/>
            <w:tcMar>
              <w:top w:w="80" w:type="dxa"/>
              <w:left w:w="120" w:type="dxa"/>
              <w:bottom w:w="80" w:type="dxa"/>
              <w:right w:w="120" w:type="dxa"/>
            </w:tcMar>
          </w:tcPr>
          <w:p w14:paraId="108AFB3D" w14:textId="77777777" w:rsidR="0082185C" w:rsidRDefault="00000000" w:rsidP="00DB50E5">
            <w:pPr>
              <w:jc w:val="both"/>
            </w:pPr>
            <w:r>
              <w:rPr>
                <w:color w:val="000000"/>
              </w:rPr>
              <w:t>1.90</w:t>
            </w:r>
          </w:p>
        </w:tc>
        <w:tc>
          <w:tcPr>
            <w:tcW w:w="1500" w:type="dxa"/>
            <w:tcMar>
              <w:top w:w="80" w:type="dxa"/>
              <w:left w:w="120" w:type="dxa"/>
              <w:bottom w:w="80" w:type="dxa"/>
              <w:right w:w="120" w:type="dxa"/>
            </w:tcMar>
          </w:tcPr>
          <w:p w14:paraId="3ED4FD32" w14:textId="77777777" w:rsidR="0082185C" w:rsidRDefault="00000000" w:rsidP="00DB50E5">
            <w:pPr>
              <w:jc w:val="both"/>
            </w:pPr>
            <w:r>
              <w:rPr>
                <w:color w:val="000000"/>
              </w:rPr>
              <w:t>falls</w:t>
            </w:r>
          </w:p>
        </w:tc>
        <w:tc>
          <w:tcPr>
            <w:tcW w:w="1500" w:type="dxa"/>
            <w:tcMar>
              <w:top w:w="80" w:type="dxa"/>
              <w:left w:w="120" w:type="dxa"/>
              <w:bottom w:w="80" w:type="dxa"/>
              <w:right w:w="120" w:type="dxa"/>
            </w:tcMar>
          </w:tcPr>
          <w:p w14:paraId="0C023D2F" w14:textId="77777777" w:rsidR="0082185C" w:rsidRDefault="00000000" w:rsidP="00DB50E5">
            <w:pPr>
              <w:jc w:val="both"/>
            </w:pPr>
            <w:r>
              <w:rPr>
                <w:color w:val="000000"/>
              </w:rPr>
              <w:t>rises</w:t>
            </w:r>
          </w:p>
        </w:tc>
        <w:tc>
          <w:tcPr>
            <w:tcW w:w="1500" w:type="dxa"/>
            <w:tcMar>
              <w:top w:w="80" w:type="dxa"/>
              <w:left w:w="120" w:type="dxa"/>
              <w:bottom w:w="80" w:type="dxa"/>
              <w:right w:w="120" w:type="dxa"/>
            </w:tcMar>
          </w:tcPr>
          <w:p w14:paraId="4CF1FBA1" w14:textId="77777777" w:rsidR="0082185C" w:rsidRDefault="00000000" w:rsidP="00DB50E5">
            <w:pPr>
              <w:jc w:val="both"/>
            </w:pPr>
            <w:r>
              <w:rPr>
                <w:color w:val="000000"/>
              </w:rPr>
              <w:t>rises</w:t>
            </w:r>
          </w:p>
        </w:tc>
        <w:tc>
          <w:tcPr>
            <w:tcW w:w="1500" w:type="dxa"/>
            <w:tcMar>
              <w:top w:w="80" w:type="dxa"/>
              <w:left w:w="120" w:type="dxa"/>
              <w:bottom w:w="80" w:type="dxa"/>
              <w:right w:w="120" w:type="dxa"/>
            </w:tcMar>
          </w:tcPr>
          <w:p w14:paraId="7A4F3B3B" w14:textId="77777777" w:rsidR="0082185C" w:rsidRDefault="00000000" w:rsidP="00DB50E5">
            <w:pPr>
              <w:jc w:val="both"/>
            </w:pPr>
            <w:r>
              <w:rPr>
                <w:color w:val="000000"/>
              </w:rPr>
              <w:t>rises</w:t>
            </w:r>
          </w:p>
        </w:tc>
        <w:tc>
          <w:tcPr>
            <w:tcW w:w="1500" w:type="dxa"/>
            <w:tcMar>
              <w:top w:w="80" w:type="dxa"/>
              <w:left w:w="120" w:type="dxa"/>
              <w:bottom w:w="80" w:type="dxa"/>
              <w:right w:w="120" w:type="dxa"/>
            </w:tcMar>
          </w:tcPr>
          <w:p w14:paraId="4CA04E47" w14:textId="77777777" w:rsidR="0082185C" w:rsidRDefault="00000000" w:rsidP="00DB50E5">
            <w:pPr>
              <w:jc w:val="both"/>
            </w:pPr>
            <w:r>
              <w:rPr>
                <w:color w:val="000000"/>
              </w:rPr>
              <w:t>rises</w:t>
            </w:r>
          </w:p>
        </w:tc>
      </w:tr>
    </w:tbl>
    <w:p w14:paraId="26806A93" w14:textId="77777777" w:rsidR="0082185C" w:rsidRDefault="0082185C" w:rsidP="00DB50E5">
      <w:pPr>
        <w:spacing w:after="160"/>
        <w:jc w:val="both"/>
      </w:pPr>
    </w:p>
    <w:p w14:paraId="2785535C" w14:textId="77777777" w:rsidR="0082185C" w:rsidRDefault="00000000" w:rsidP="00DB50E5">
      <w:pPr>
        <w:spacing w:after="160"/>
        <w:jc w:val="both"/>
      </w:pPr>
      <w:r>
        <w:t xml:space="preserve">The result is conditional, not binary. HHI falls only when the green segment is a minority of the market, roughly </w:t>
      </w:r>
      <m:oMath>
        <m:r>
          <w:rPr>
            <w:rFonts w:ascii="Cambria Math" w:hAnsi="Cambria Math"/>
          </w:rPr>
          <m:t>k</m:t>
        </m:r>
      </m:oMath>
      <w:r>
        <w:t xml:space="preserve"> below 0.5 to 0.7, tightening further as </w:t>
      </w:r>
      <m:oMath>
        <m:sSub>
          <m:sSubPr>
            <m:ctrlPr>
              <w:rPr>
                <w:rFonts w:ascii="Cambria Math" w:hAnsi="Cambria Math"/>
              </w:rPr>
            </m:ctrlPr>
          </m:sSubPr>
          <m:e>
            <m:r>
              <w:rPr>
                <w:rFonts w:ascii="Cambria Math" w:hAnsi="Cambria Math"/>
              </w:rPr>
              <m:t>α</m:t>
            </m:r>
          </m:e>
          <m:sub>
            <m:r>
              <w:rPr>
                <w:rFonts w:ascii="Cambria Math" w:hAnsi="Cambria Math"/>
              </w:rPr>
              <m:t>A0</m:t>
            </m:r>
          </m:sub>
        </m:sSub>
      </m:oMath>
      <w:r>
        <w:t xml:space="preserve"> rises toward the top of the band. Once green consumers are a majority, badging the weaker seller A pushes its market share past 0.5 by more than its starting deficit, and concentration rises instead of falling. This is the U shaped HHI curve working against the badge once the correction overshoots the balance point.</w:t>
      </w:r>
    </w:p>
    <w:p w14:paraId="40DBAE9D" w14:textId="77777777" w:rsidR="0082185C" w:rsidRDefault="00000000" w:rsidP="00DB50E5">
      <w:pPr>
        <w:pStyle w:val="Heading1"/>
        <w:spacing w:before="300" w:after="150"/>
        <w:jc w:val="both"/>
      </w:pPr>
      <w:r>
        <w:t>3. Consistency Verdict</w:t>
      </w:r>
    </w:p>
    <w:p w14:paraId="46C68DBC" w14:textId="77777777" w:rsidR="0082185C" w:rsidRDefault="00000000" w:rsidP="00DB50E5">
      <w:pPr>
        <w:spacing w:after="160"/>
        <w:jc w:val="both"/>
      </w:pPr>
      <w:r>
        <w:t xml:space="preserve">The model, as written, cannot jointly generate all four findings under one internally consistent parameterization for every value of </w:t>
      </w:r>
      <m:oMath>
        <m:r>
          <w:rPr>
            <w:rFonts w:ascii="Cambria Math" w:hAnsi="Cambria Math"/>
          </w:rPr>
          <m:t>k</m:t>
        </m:r>
      </m:oMath>
      <w:r>
        <w:t xml:space="preserve">. Findings 1, 2, and 3 hold throughout Proposition 3's band regardless of </w:t>
      </w:r>
      <m:oMath>
        <m:r>
          <w:rPr>
            <w:rFonts w:ascii="Cambria Math" w:hAnsi="Cambria Math"/>
          </w:rPr>
          <m:t>k</m:t>
        </m:r>
      </m:oMath>
      <w:r>
        <w:t xml:space="preserve">, since none of those conditions involve </w:t>
      </w:r>
      <m:oMath>
        <m:r>
          <w:rPr>
            <w:rFonts w:ascii="Cambria Math" w:hAnsi="Cambria Math"/>
          </w:rPr>
          <m:t>k</m:t>
        </m:r>
      </m:oMath>
      <w:r>
        <w:t xml:space="preserve"> at all. Finding 4 holds only on a sub region of that same band, bounded by </w:t>
      </w:r>
      <m:oMath>
        <m:r>
          <w:rPr>
            <w:rFonts w:ascii="Cambria Math" w:hAnsi="Cambria Math"/>
          </w:rPr>
          <m:t>k</m:t>
        </m:r>
      </m:oMath>
      <w:r>
        <w:t>. The paper never states or derives this restriction.</w:t>
      </w:r>
    </w:p>
    <w:p w14:paraId="4A3830D3" w14:textId="77777777" w:rsidR="0082185C" w:rsidRDefault="00000000" w:rsidP="00DB50E5">
      <w:pPr>
        <w:spacing w:after="160"/>
        <w:jc w:val="both"/>
      </w:pPr>
      <w:r>
        <w:rPr>
          <w:b/>
          <w:bCs/>
        </w:rPr>
        <w:t xml:space="preserve">This is a sharper conclusion than either prior pass on this paper reached. </w:t>
      </w:r>
      <w:r>
        <w:t>The first pass on this paper flagged the tension between Proposition 3 and Proposition 4 as an open gap, unverified in either direction. An independent AI pass (</w:t>
      </w:r>
      <w:proofErr w:type="spellStart"/>
      <w:r>
        <w:t>Deepseek</w:t>
      </w:r>
      <w:proofErr w:type="spellEnd"/>
      <w:r>
        <w:t>) reproduced the same tension in its own algebra, then asserted a resolution without deriving it, which is not a verified claim. The check run here closes the gap directly: Finding 4 is not simply unproven, it is conditionally false, and the condition is exactly identifiable (k above roughly 0.5 to 0.7, depending on alpha_A0).</w:t>
      </w:r>
    </w:p>
    <w:p w14:paraId="68B5EC16" w14:textId="77777777" w:rsidR="0082185C" w:rsidRDefault="00000000" w:rsidP="00DB50E5">
      <w:pPr>
        <w:spacing w:after="160"/>
        <w:jc w:val="both"/>
      </w:pPr>
      <w:r>
        <w:t xml:space="preserve">Practical read: the paper's empirical badge proportion is 35.39 percent, a product level statistic, not the same object as </w:t>
      </w:r>
      <m:oMath>
        <m:r>
          <w:rPr>
            <w:rFonts w:ascii="Cambria Math" w:hAnsi="Cambria Math"/>
          </w:rPr>
          <m:t>k</m:t>
        </m:r>
      </m:oMath>
      <w:r>
        <w:t xml:space="preserve">, the green consumer population share. It is plausible the real world </w:t>
      </w:r>
      <m:oMath>
        <m:r>
          <w:rPr>
            <w:rFonts w:ascii="Cambria Math" w:hAnsi="Cambria Math"/>
          </w:rPr>
          <m:t>k</m:t>
        </m:r>
      </m:oMath>
      <w:r>
        <w:t xml:space="preserve"> sits in the low range where the model's HHI prediction holds, which would explain why the empirical result (Table 7) shows HHI falling. But this is a coincidence of where the real data happens to sit, not a property the model guarantees. Proposition 3 and Proposition 4 are compatible only on a sub region of </w:t>
      </w:r>
      <m:oMath>
        <m:r>
          <w:rPr>
            <w:rFonts w:ascii="Cambria Math" w:hAnsi="Cambria Math"/>
          </w:rPr>
          <m:t>k</m:t>
        </m:r>
      </m:oMath>
      <w:r>
        <w:t xml:space="preserve"> that the paper never names.</w:t>
      </w:r>
    </w:p>
    <w:p w14:paraId="262EF53D" w14:textId="77777777" w:rsidR="0082185C" w:rsidRDefault="00000000" w:rsidP="00DB50E5">
      <w:pPr>
        <w:pStyle w:val="Heading1"/>
        <w:spacing w:before="300" w:after="150"/>
        <w:jc w:val="both"/>
      </w:pPr>
      <w:r>
        <w:lastRenderedPageBreak/>
        <w:t>4. Proposed Modifications, Ordered by Cost</w:t>
      </w:r>
    </w:p>
    <w:p w14:paraId="7282F88D" w14:textId="77777777" w:rsidR="0082185C" w:rsidRDefault="00000000" w:rsidP="00DB50E5">
      <w:pPr>
        <w:spacing w:after="160"/>
        <w:jc w:val="both"/>
      </w:pPr>
      <w:r>
        <w:rPr>
          <w:b/>
          <w:bCs/>
        </w:rPr>
        <w:t xml:space="preserve">Modification 1, lowest cost: </w:t>
      </w:r>
      <w:r>
        <w:t xml:space="preserve">state the </w:t>
      </w:r>
      <m:oMath>
        <m:r>
          <w:rPr>
            <w:rFonts w:ascii="Cambria Math" w:hAnsi="Cambria Math"/>
          </w:rPr>
          <m:t>k</m:t>
        </m:r>
      </m:oMath>
      <w:r>
        <w:t xml:space="preserve"> dependent boundary explicitly. Since the check above already identifies where the sign flips, the paper's Proposition 4 should be restated with an explicit upper bound on </w:t>
      </w:r>
      <m:oMath>
        <m:r>
          <w:rPr>
            <w:rFonts w:ascii="Cambria Math" w:hAnsi="Cambria Math"/>
          </w:rPr>
          <m:t>k</m:t>
        </m:r>
      </m:oMath>
      <w:r>
        <w:t xml:space="preserve">, derived algebraically rather than left to a single numerical illustration with an unstated </w:t>
      </w:r>
      <m:oMath>
        <m:r>
          <w:rPr>
            <w:rFonts w:ascii="Cambria Math" w:hAnsi="Cambria Math"/>
          </w:rPr>
          <m:t>k</m:t>
        </m:r>
      </m:oMath>
      <w:r>
        <w:t>.</w:t>
      </w:r>
    </w:p>
    <w:p w14:paraId="25863FCC" w14:textId="77777777" w:rsidR="0082185C" w:rsidRDefault="00000000" w:rsidP="00DB50E5">
      <w:pPr>
        <w:spacing w:after="160"/>
        <w:jc w:val="both"/>
      </w:pPr>
      <w:r>
        <w:rPr>
          <w:b/>
          <w:bCs/>
        </w:rPr>
        <w:t xml:space="preserve">Modification 2: </w:t>
      </w:r>
      <w:r>
        <w:t xml:space="preserve">replace pointwise dominance in Finding 3 with an actual Stage 1 objective. Compute platform profit </w:t>
      </w:r>
      <m:oMath>
        <m:r>
          <w:rPr>
            <w:rFonts w:ascii="Cambria Math" w:hAnsi="Cambria Math"/>
          </w:rPr>
          <m:t>r · (</m:t>
        </m:r>
        <m:sSub>
          <m:sSubPr>
            <m:ctrlPr>
              <w:rPr>
                <w:rFonts w:ascii="Cambria Math" w:hAnsi="Cambria Math"/>
              </w:rPr>
            </m:ctrlPr>
          </m:sSubPr>
          <m:e>
            <m:r>
              <w:rPr>
                <w:rFonts w:ascii="Cambria Math" w:hAnsi="Cambria Math"/>
              </w:rPr>
              <m:t>p</m:t>
            </m:r>
          </m:e>
          <m:sub>
            <m:r>
              <w:rPr>
                <w:rFonts w:ascii="Cambria Math" w:hAnsi="Cambria Math"/>
              </w:rPr>
              <m:t>A</m:t>
            </m:r>
          </m:sub>
        </m:sSub>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B</m:t>
            </m:r>
          </m:sub>
        </m:sSub>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m:t>
        </m:r>
      </m:oMath>
      <w:r>
        <w:t xml:space="preserve"> in each situation and take the argmax over </w:t>
      </w:r>
      <m:oMath>
        <m:sSub>
          <m:sSubPr>
            <m:ctrlPr>
              <w:rPr>
                <w:rFonts w:ascii="Cambria Math" w:hAnsi="Cambria Math"/>
              </w:rPr>
            </m:ctrlPr>
          </m:sSubPr>
          <m:e>
            <m:r>
              <w:rPr>
                <w:rFonts w:ascii="Cambria Math" w:hAnsi="Cambria Math"/>
              </w:rPr>
              <m:t>I</m:t>
            </m:r>
          </m:e>
          <m:sub>
            <m:r>
              <w:rPr>
                <w:rFonts w:ascii="Cambria Math" w:hAnsi="Cambria Math"/>
              </w:rPr>
              <m:t>0</m:t>
            </m:r>
          </m:sub>
        </m:sSub>
      </m:oMath>
      <w:r>
        <w:t xml:space="preserve">. </w:t>
      </w:r>
      <w:proofErr w:type="gramStart"/>
      <w:r>
        <w:t>This upgrades</w:t>
      </w:r>
      <w:proofErr w:type="gramEnd"/>
      <w:r>
        <w:t xml:space="preserve"> Finding 3 from a sufficient condition to an actual optimum and may narrow or shift the region where the Modification 1 boundary also holds.</w:t>
      </w:r>
    </w:p>
    <w:p w14:paraId="2A4A3147" w14:textId="77777777" w:rsidR="0082185C" w:rsidRDefault="00000000" w:rsidP="00DB50E5">
      <w:pPr>
        <w:spacing w:after="160"/>
        <w:jc w:val="both"/>
      </w:pPr>
      <w:r>
        <w:rPr>
          <w:b/>
          <w:bCs/>
        </w:rPr>
        <w:t xml:space="preserve">Modification 3, highest cost: </w:t>
      </w:r>
      <w:r>
        <w:t xml:space="preserve">extend to N heterogeneous sellers with a badge dilution externality, so the interior optimum for </w:t>
      </w:r>
      <m:oMath>
        <m:sSub>
          <m:sSubPr>
            <m:ctrlPr>
              <w:rPr>
                <w:rFonts w:ascii="Cambria Math" w:hAnsi="Cambria Math"/>
              </w:rPr>
            </m:ctrlPr>
          </m:sSubPr>
          <m:e>
            <m:r>
              <w:rPr>
                <w:rFonts w:ascii="Cambria Math" w:hAnsi="Cambria Math"/>
              </w:rPr>
              <m:t>I</m:t>
            </m:r>
          </m:e>
          <m:sub>
            <m:r>
              <w:rPr>
                <w:rFonts w:ascii="Cambria Math" w:hAnsi="Cambria Math"/>
              </w:rPr>
              <m:t>0</m:t>
            </m:r>
          </m:sub>
        </m:sSub>
      </m:oMath>
      <w:r>
        <w:t xml:space="preserve"> and the HHI recomposition both emerge from modeled economics rather than a </w:t>
      </w:r>
      <w:proofErr w:type="gramStart"/>
      <w:r>
        <w:t>hand picked</w:t>
      </w:r>
      <w:proofErr w:type="gramEnd"/>
      <w:r>
        <w:t xml:space="preserve"> parameter set. This also resolves the Eq. 41 HHI floor issue, since the 1/N floor only becomes meaningful for N of 4 or more.</w:t>
      </w:r>
    </w:p>
    <w:p w14:paraId="7B514529" w14:textId="77777777" w:rsidR="0082185C" w:rsidRDefault="00000000" w:rsidP="00DB50E5">
      <w:pPr>
        <w:pStyle w:val="Heading1"/>
        <w:spacing w:before="300" w:after="150"/>
        <w:jc w:val="both"/>
      </w:pPr>
      <w:r>
        <w:t>5. Secondary Gaps Worth Noting, Not Central to the Verdict</w:t>
      </w:r>
    </w:p>
    <w:p w14:paraId="77D723F6" w14:textId="77777777" w:rsidR="0082185C" w:rsidRDefault="00000000" w:rsidP="00DB50E5">
      <w:pPr>
        <w:spacing w:after="160"/>
        <w:jc w:val="both"/>
      </w:pPr>
      <w:r>
        <w:rPr>
          <w:b/>
          <w:bCs/>
        </w:rPr>
        <w:t xml:space="preserve">Demographic heterogeneity: </w:t>
      </w:r>
      <w:r>
        <w:t xml:space="preserve">the model treats the green segment as one uniform </w:t>
      </w:r>
      <m:oMath>
        <m:r>
          <w:rPr>
            <w:rFonts w:ascii="Cambria Math" w:hAnsi="Cambria Math"/>
          </w:rPr>
          <m:t>k</m:t>
        </m:r>
      </m:oMath>
      <w:r>
        <w:t xml:space="preserve"> with constant </w:t>
      </w:r>
      <m:oMath>
        <m:sSub>
          <m:sSubPr>
            <m:ctrlPr>
              <w:rPr>
                <w:rFonts w:ascii="Cambria Math" w:hAnsi="Cambria Math"/>
              </w:rPr>
            </m:ctrlPr>
          </m:sSubPr>
          <m:e>
            <m:r>
              <w:rPr>
                <w:rFonts w:ascii="Cambria Math" w:hAnsi="Cambria Math"/>
              </w:rPr>
              <m:t>ρ</m:t>
            </m:r>
          </m:e>
          <m:sub>
            <m:r>
              <w:rPr>
                <w:rFonts w:ascii="Cambria Math" w:hAnsi="Cambria Math"/>
              </w:rPr>
              <m:t>i</m:t>
            </m:r>
          </m:sub>
        </m:sSub>
      </m:oMath>
      <w:r>
        <w:t>. The empirical result shows older males respond most, with women and younger consumers showing insignificant effects (Table 3). The model has no structure to produce this.</w:t>
      </w:r>
    </w:p>
    <w:p w14:paraId="138B8E21" w14:textId="77777777" w:rsidR="0082185C" w:rsidRDefault="00000000" w:rsidP="00DB50E5">
      <w:pPr>
        <w:spacing w:after="160"/>
        <w:jc w:val="both"/>
      </w:pPr>
      <w:r>
        <w:rPr>
          <w:b/>
          <w:bCs/>
        </w:rPr>
        <w:t xml:space="preserve">Seller strategic response: </w:t>
      </w:r>
      <w:r>
        <w:t xml:space="preserve">sustainability level </w:t>
      </w:r>
      <m:oMath>
        <m:sSub>
          <m:sSubPr>
            <m:ctrlPr>
              <w:rPr>
                <w:rFonts w:ascii="Cambria Math" w:hAnsi="Cambria Math"/>
              </w:rPr>
            </m:ctrlPr>
          </m:sSubPr>
          <m:e>
            <m:r>
              <w:rPr>
                <w:rFonts w:ascii="Cambria Math" w:hAnsi="Cambria Math"/>
              </w:rPr>
              <m:t>f</m:t>
            </m:r>
          </m:e>
          <m:sub>
            <m:r>
              <w:rPr>
                <w:rFonts w:ascii="Cambria Math" w:hAnsi="Cambria Math"/>
              </w:rPr>
              <m:t>A</m:t>
            </m:r>
          </m:sub>
        </m:sSub>
      </m:oMath>
      <w:r>
        <w:t xml:space="preserve"> and marketing quality are exogenous in the model. Model 2 having a smaller ATT than Model 1 once images and descriptions are controlled for indicates part of the badge effect is mediated through seller choices the game never models.</w:t>
      </w:r>
    </w:p>
    <w:p w14:paraId="6BD841E8" w14:textId="77777777" w:rsidR="0082185C" w:rsidRDefault="00000000" w:rsidP="00DB50E5">
      <w:pPr>
        <w:pStyle w:val="Heading1"/>
        <w:spacing w:before="300" w:after="150"/>
        <w:jc w:val="both"/>
      </w:pPr>
      <w:r>
        <w:t>6. Bottom Line</w:t>
      </w:r>
    </w:p>
    <w:p w14:paraId="62654AC7" w14:textId="77777777" w:rsidR="0082185C" w:rsidRDefault="00000000" w:rsidP="00DB50E5">
      <w:pPr>
        <w:spacing w:after="160"/>
        <w:jc w:val="both"/>
      </w:pPr>
      <w:r>
        <w:t xml:space="preserve">Accept Findings 1 and 2 as derived. Treat Finding 3 as a sufficient condition result pending an aggregate profit comparison. Finding 4 is not an open question anymore: it is confirmed to hold only for </w:t>
      </w:r>
      <m:oMath>
        <m:r>
          <w:rPr>
            <w:rFonts w:ascii="Cambria Math" w:hAnsi="Cambria Math"/>
          </w:rPr>
          <m:t>k</m:t>
        </m:r>
      </m:oMath>
      <w:r>
        <w:t xml:space="preserve"> below a specific, identifiable threshold inside Proposition 3's own band, and to fail above it. The </w:t>
      </w:r>
      <w:proofErr w:type="gramStart"/>
      <w:r>
        <w:t>one page</w:t>
      </w:r>
      <w:proofErr w:type="gramEnd"/>
      <w:r>
        <w:t xml:space="preserve"> fix is to state that threshold. The paper's four findings are jointly consistent only if the </w:t>
      </w:r>
      <w:proofErr w:type="gramStart"/>
      <w:r>
        <w:t>real world</w:t>
      </w:r>
      <w:proofErr w:type="gramEnd"/>
      <w:r>
        <w:t xml:space="preserve"> green segment share is smaller than the point where the model's own algebra flips sign, a condition the paper's empirical badge proportion (35.39 percent) is consistent with, but never confirms.</w:t>
      </w:r>
    </w:p>
    <w:sectPr w:rsidR="0082185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90E98"/>
    <w:multiLevelType w:val="hybridMultilevel"/>
    <w:tmpl w:val="2E0E4824"/>
    <w:lvl w:ilvl="0" w:tplc="DF86C63E">
      <w:start w:val="1"/>
      <w:numFmt w:val="bullet"/>
      <w:lvlText w:val="●"/>
      <w:lvlJc w:val="left"/>
      <w:pPr>
        <w:ind w:left="720" w:hanging="360"/>
      </w:pPr>
    </w:lvl>
    <w:lvl w:ilvl="1" w:tplc="E1144240">
      <w:start w:val="1"/>
      <w:numFmt w:val="bullet"/>
      <w:lvlText w:val="○"/>
      <w:lvlJc w:val="left"/>
      <w:pPr>
        <w:ind w:left="1440" w:hanging="360"/>
      </w:pPr>
    </w:lvl>
    <w:lvl w:ilvl="2" w:tplc="260C216E">
      <w:start w:val="1"/>
      <w:numFmt w:val="bullet"/>
      <w:lvlText w:val="■"/>
      <w:lvlJc w:val="left"/>
      <w:pPr>
        <w:ind w:left="2160" w:hanging="360"/>
      </w:pPr>
    </w:lvl>
    <w:lvl w:ilvl="3" w:tplc="FBF0BF7A">
      <w:start w:val="1"/>
      <w:numFmt w:val="bullet"/>
      <w:lvlText w:val="●"/>
      <w:lvlJc w:val="left"/>
      <w:pPr>
        <w:ind w:left="2880" w:hanging="360"/>
      </w:pPr>
    </w:lvl>
    <w:lvl w:ilvl="4" w:tplc="480AFFB4">
      <w:start w:val="1"/>
      <w:numFmt w:val="bullet"/>
      <w:lvlText w:val="○"/>
      <w:lvlJc w:val="left"/>
      <w:pPr>
        <w:ind w:left="3600" w:hanging="360"/>
      </w:pPr>
    </w:lvl>
    <w:lvl w:ilvl="5" w:tplc="3DE8589C">
      <w:start w:val="1"/>
      <w:numFmt w:val="bullet"/>
      <w:lvlText w:val="■"/>
      <w:lvlJc w:val="left"/>
      <w:pPr>
        <w:ind w:left="4320" w:hanging="360"/>
      </w:pPr>
    </w:lvl>
    <w:lvl w:ilvl="6" w:tplc="D81EA098">
      <w:start w:val="1"/>
      <w:numFmt w:val="bullet"/>
      <w:lvlText w:val="●"/>
      <w:lvlJc w:val="left"/>
      <w:pPr>
        <w:ind w:left="5040" w:hanging="360"/>
      </w:pPr>
    </w:lvl>
    <w:lvl w:ilvl="7" w:tplc="565A3DC6">
      <w:start w:val="1"/>
      <w:numFmt w:val="bullet"/>
      <w:lvlText w:val="●"/>
      <w:lvlJc w:val="left"/>
      <w:pPr>
        <w:ind w:left="5760" w:hanging="360"/>
      </w:pPr>
    </w:lvl>
    <w:lvl w:ilvl="8" w:tplc="60983044">
      <w:start w:val="1"/>
      <w:numFmt w:val="bullet"/>
      <w:lvlText w:val="●"/>
      <w:lvlJc w:val="left"/>
      <w:pPr>
        <w:ind w:left="6480" w:hanging="360"/>
      </w:pPr>
    </w:lvl>
  </w:abstractNum>
  <w:num w:numId="1" w16cid:durableId="11694396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85C"/>
    <w:rsid w:val="007304E6"/>
    <w:rsid w:val="0082185C"/>
    <w:rsid w:val="00DB5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321596"/>
  <w15:docId w15:val="{800F7AF9-F9B6-0C40-AFCF-58D288B2D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1506</Words>
  <Characters>8589</Characters>
  <Application>Microsoft Office Word</Application>
  <DocSecurity>0</DocSecurity>
  <Lines>71</Lines>
  <Paragraphs>20</Paragraphs>
  <ScaleCrop>false</ScaleCrop>
  <Company/>
  <LinksUpToDate>false</LinksUpToDate>
  <CharactersWithSpaces>10075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Benedict  Santoso</cp:lastModifiedBy>
  <cp:revision>3</cp:revision>
  <dcterms:created xsi:type="dcterms:W3CDTF">2026-07-06T23:54:00Z</dcterms:created>
  <dcterms:modified xsi:type="dcterms:W3CDTF">2026-07-07T00:33:00Z</dcterms:modified>
</cp:coreProperties>
</file>