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Clinical scalp electroencephalography of 4,912 patients including multi-day ambulatory home recordings</w:t>
      </w:r>
    </w:p>
    <w:p>
      <w:r>
        <w:rPr>
          <w:rFonts w:ascii="Times New Roman" w:hAnsi="Times New Roman"/>
          <w:b/>
          <w:i w:val="0"/>
          <w:sz w:val="22"/>
        </w:rPr>
        <w:t>Authors:</w:t>
      </w:r>
      <w:r>
        <w:rPr>
          <w:rFonts w:ascii="Times New Roman" w:hAnsi="Times New Roman"/>
          <w:b w:val="0"/>
          <w:i w:val="0"/>
          <w:sz w:val="22"/>
        </w:rPr>
        <w:t xml:space="preserve"> Keith Morgan</w:t>
      </w:r>
      <w:r>
        <w:rPr>
          <w:rFonts w:ascii="Times New Roman" w:hAnsi="Times New Roman"/>
          <w:b w:val="0"/>
          <w:i w:val="0"/>
          <w:sz w:val="22"/>
          <w:vertAlign w:val="superscript"/>
        </w:rPr>
        <w:t>1</w:t>
      </w:r>
      <w:r>
        <w:rPr>
          <w:rFonts w:ascii="Times New Roman" w:hAnsi="Times New Roman"/>
          <w:b w:val="0"/>
          <w:i w:val="0"/>
          <w:sz w:val="22"/>
        </w:rPr>
        <w:t>, Charles Pickering</w:t>
      </w:r>
      <w:r>
        <w:rPr>
          <w:rFonts w:ascii="Times New Roman" w:hAnsi="Times New Roman"/>
          <w:b w:val="0"/>
          <w:i w:val="0"/>
          <w:sz w:val="22"/>
          <w:vertAlign w:val="superscript"/>
        </w:rPr>
        <w:t>1</w:t>
      </w:r>
      <w:r>
        <w:rPr>
          <w:rFonts w:ascii="Times New Roman" w:hAnsi="Times New Roman"/>
          <w:b w:val="0"/>
          <w:i w:val="0"/>
          <w:sz w:val="22"/>
        </w:rPr>
        <w:t>, Matthew Goodwin</w:t>
      </w:r>
      <w:r>
        <w:rPr>
          <w:rFonts w:ascii="Times New Roman" w:hAnsi="Times New Roman"/>
          <w:b w:val="0"/>
          <w:i w:val="0"/>
          <w:sz w:val="22"/>
          <w:vertAlign w:val="superscript"/>
        </w:rPr>
        <w:t>1</w:t>
      </w:r>
      <w:r>
        <w:rPr>
          <w:rFonts w:ascii="Times New Roman" w:hAnsi="Times New Roman"/>
          <w:b w:val="0"/>
          <w:i w:val="0"/>
          <w:sz w:val="22"/>
        </w:rPr>
        <w:t>, Han Wu</w:t>
      </w:r>
      <w:r>
        <w:rPr>
          <w:rFonts w:ascii="Times New Roman" w:hAnsi="Times New Roman"/>
          <w:b w:val="0"/>
          <w:i w:val="0"/>
          <w:sz w:val="22"/>
          <w:vertAlign w:val="superscript"/>
        </w:rPr>
        <w:t>2</w:t>
      </w:r>
      <w:r>
        <w:rPr>
          <w:rFonts w:ascii="Times New Roman" w:hAnsi="Times New Roman"/>
          <w:b w:val="0"/>
          <w:i w:val="0"/>
          <w:sz w:val="22"/>
        </w:rPr>
        <w:t>, Manohar Ghanta</w:t>
      </w:r>
      <w:r>
        <w:rPr>
          <w:rFonts w:ascii="Times New Roman" w:hAnsi="Times New Roman"/>
          <w:b w:val="0"/>
          <w:i w:val="0"/>
          <w:sz w:val="22"/>
          <w:vertAlign w:val="superscript"/>
        </w:rPr>
        <w:t>2</w:t>
      </w:r>
      <w:r>
        <w:rPr>
          <w:rFonts w:ascii="Times New Roman" w:hAnsi="Times New Roman"/>
          <w:b w:val="0"/>
          <w:i w:val="0"/>
          <w:sz w:val="22"/>
        </w:rPr>
        <w:t>, Aditya Gupta</w:t>
      </w:r>
      <w:r>
        <w:rPr>
          <w:rFonts w:ascii="Times New Roman" w:hAnsi="Times New Roman"/>
          <w:b w:val="0"/>
          <w:i w:val="0"/>
          <w:sz w:val="22"/>
          <w:vertAlign w:val="superscript"/>
        </w:rPr>
        <w:t>2</w:t>
      </w:r>
      <w:r>
        <w:rPr>
          <w:rFonts w:ascii="Times New Roman" w:hAnsi="Times New Roman"/>
          <w:b w:val="0"/>
          <w:i w:val="0"/>
          <w:sz w:val="22"/>
        </w:rPr>
        <w:t>, Jin Jing</w:t>
      </w:r>
      <w:r>
        <w:rPr>
          <w:rFonts w:ascii="Times New Roman" w:hAnsi="Times New Roman"/>
          <w:b w:val="0"/>
          <w:i w:val="0"/>
          <w:sz w:val="22"/>
          <w:vertAlign w:val="superscript"/>
        </w:rPr>
        <w:t>2</w:t>
      </w:r>
      <w:r>
        <w:rPr>
          <w:rFonts w:ascii="Times New Roman" w:hAnsi="Times New Roman"/>
          <w:b w:val="0"/>
          <w:i w:val="0"/>
          <w:sz w:val="22"/>
        </w:rPr>
        <w:t>, ChenXi Sun</w:t>
      </w:r>
      <w:r>
        <w:rPr>
          <w:rFonts w:ascii="Times New Roman" w:hAnsi="Times New Roman"/>
          <w:b w:val="0"/>
          <w:i w:val="0"/>
          <w:sz w:val="22"/>
          <w:vertAlign w:val="superscript"/>
        </w:rPr>
        <w:t>2</w:t>
      </w:r>
      <w:r>
        <w:rPr>
          <w:rFonts w:ascii="Times New Roman" w:hAnsi="Times New Roman"/>
          <w:b w:val="0"/>
          <w:i w:val="0"/>
          <w:sz w:val="22"/>
        </w:rPr>
        <w:t>, Daniel Goldenholz</w:t>
      </w:r>
      <w:r>
        <w:rPr>
          <w:rFonts w:ascii="Times New Roman" w:hAnsi="Times New Roman"/>
          <w:b w:val="0"/>
          <w:i w:val="0"/>
          <w:sz w:val="22"/>
          <w:vertAlign w:val="superscript"/>
        </w:rPr>
        <w:t>2</w:t>
      </w:r>
      <w:r>
        <w:rPr>
          <w:rFonts w:ascii="Times New Roman" w:hAnsi="Times New Roman"/>
          <w:b w:val="0"/>
          <w:i w:val="0"/>
          <w:sz w:val="22"/>
        </w:rPr>
        <w:t>, M. Brandon Westover</w:t>
      </w:r>
      <w:r>
        <w:rPr>
          <w:rFonts w:ascii="Times New Roman" w:hAnsi="Times New Roman"/>
          <w:b w:val="0"/>
          <w:i w:val="0"/>
          <w:sz w:val="22"/>
          <w:vertAlign w:val="superscript"/>
        </w:rPr>
        <w:t>2</w:t>
      </w:r>
    </w:p>
    <w:p>
      <w:r>
        <w:rPr>
          <w:rFonts w:ascii="Times New Roman" w:hAnsi="Times New Roman"/>
          <w:b w:val="0"/>
          <w:i w:val="0"/>
          <w:sz w:val="22"/>
          <w:vertAlign w:val="superscript"/>
        </w:rPr>
        <w:t>1</w:t>
      </w:r>
      <w:r>
        <w:rPr>
          <w:rFonts w:ascii="Times New Roman" w:hAnsi="Times New Roman"/>
          <w:b w:val="0"/>
          <w:i w:val="0"/>
          <w:sz w:val="22"/>
        </w:rPr>
        <w:t xml:space="preserve"> Neurotech, Waukesha, Wisconsin, USA</w:t>
      </w:r>
    </w:p>
    <w:p>
      <w:r>
        <w:rPr>
          <w:rFonts w:ascii="Times New Roman" w:hAnsi="Times New Roman"/>
          <w:b w:val="0"/>
          <w:i w:val="0"/>
          <w:sz w:val="22"/>
          <w:vertAlign w:val="superscript"/>
        </w:rPr>
        <w:t>2</w:t>
      </w:r>
      <w:r>
        <w:rPr>
          <w:rFonts w:ascii="Times New Roman" w:hAnsi="Times New Roman"/>
          <w:b w:val="0"/>
          <w:i w:val="0"/>
          <w:sz w:val="22"/>
        </w:rPr>
        <w:t xml:space="preserve"> Department of Neurology, Beth Israel Deaconess Medical Center and Harvard Medical School, Boston, Massachusetts, USA</w:t>
      </w:r>
    </w:p>
    <w:p>
      <w:r>
        <w:rPr>
          <w:rFonts w:ascii="Times New Roman" w:hAnsi="Times New Roman"/>
          <w:b/>
          <w:i w:val="0"/>
          <w:sz w:val="22"/>
        </w:rPr>
        <w:t>Corresponding author:</w:t>
      </w:r>
      <w:r>
        <w:rPr>
          <w:rFonts w:ascii="Times New Roman" w:hAnsi="Times New Roman"/>
          <w:b w:val="0"/>
          <w:i w:val="0"/>
          <w:sz w:val="22"/>
        </w:rPr>
        <w:t xml:space="preserve"> M. Brandon Westover (bwestove@bidmc.harvard.edu)</w:t>
      </w:r>
    </w:p>
    <w:p>
      <w:pPr>
        <w:pStyle w:val="Heading1"/>
      </w:pPr>
      <w:r>
        <w:rPr>
          <w:rFonts w:ascii="Times New Roman" w:hAnsi="Times New Roman"/>
          <w:b/>
          <w:i w:val="0"/>
          <w:sz w:val="28"/>
        </w:rPr>
        <w:t>Abstract</w:t>
      </w:r>
    </w:p>
    <w:p>
      <w:r>
        <w:rPr>
          <w:rFonts w:ascii="Times New Roman" w:hAnsi="Times New Roman"/>
          <w:b w:val="0"/>
          <w:i w:val="0"/>
          <w:sz w:val="22"/>
        </w:rPr>
        <w:t>Large, clinically representative public electroencephalography (EEG) datasets are scarce and consist mainly of in-hospital recordings. We describe a de-identified clinical scalp EEG dataset comprising all studies performed by a single ambulatory EEG service provider in the United States from 2021 to 2025: 4,912 patients and 23,600 EDF recording segments totaling 212,133 hours (10.2 TB). Most are multi-day ambulatory recordings acquired in patients' homes; the remainder are routine outpatient studies. Recordings were acquired on Lifelines or EMS ambulatory systems at 256 Hz with the International 10-20 montage, and carry 225,957 technologist annotations placed during routine clinical workflow, including spike, seizure, and free-text markers. De-identified patient-level clinical metadata from scanned clinical records (age, sex, referral diagnoses, comorbidities, medications, and reported EEG findings) are provided for 98% of patients. The dataset is organized in Brain Imaging Data Structure (BIDS) format and distributed through the Brain Data Science Platform under a data use agreement. It supports development and validation of automated EEG analysis and studies of clinical annotation practice in out-of-hospital settings.</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w:t>
      </w:r>
      <w:r>
        <w:rPr>
          <w:rFonts w:ascii="Times New Roman" w:hAnsi="Times New Roman"/>
          <w:b w:val="0"/>
          <w:i w:val="0"/>
          <w:sz w:val="22"/>
          <w:vertAlign w:val="superscript"/>
        </w:rPr>
        <w:t>1</w:t>
      </w:r>
      <w:r>
        <w:rPr>
          <w:rFonts w:ascii="Times New Roman" w:hAnsi="Times New Roman"/>
          <w:b w:val="0"/>
          <w:i w:val="0"/>
          <w:sz w:val="22"/>
        </w:rPr>
        <w:t>, yet the global shortage of trained EEG readers creates a bottleneck affecting the approximately 50 million people living with epilepsy worldwide</w:t>
      </w:r>
      <w:r>
        <w:rPr>
          <w:rFonts w:ascii="Times New Roman" w:hAnsi="Times New Roman"/>
          <w:b w:val="0"/>
          <w:i w:val="0"/>
          <w:sz w:val="22"/>
          <w:vertAlign w:val="superscript"/>
        </w:rPr>
        <w:t>9</w:t>
      </w:r>
      <w:r>
        <w:rPr>
          <w:rFonts w:ascii="Times New Roman" w:hAnsi="Times New Roman"/>
          <w:b w:val="0"/>
          <w:i w:val="0"/>
          <w:sz w:val="22"/>
        </w:rPr>
        <w:t>. Machine learning offers a path toward scalable automated interpretation</w:t>
      </w:r>
      <w:r>
        <w:rPr>
          <w:rFonts w:ascii="Times New Roman" w:hAnsi="Times New Roman"/>
          <w:b w:val="0"/>
          <w:i w:val="0"/>
          <w:sz w:val="22"/>
          <w:vertAlign w:val="superscript"/>
        </w:rPr>
        <w:t>2</w:t>
      </w:r>
      <w:r>
        <w:rPr>
          <w:rFonts w:ascii="Times New Roman" w:hAnsi="Times New Roman"/>
          <w:b w:val="0"/>
          <w:i w:val="0"/>
          <w:sz w:val="22"/>
        </w:rPr>
        <w:t>, but progress depends on large, clinically representative datasets. Spike and seizure detection algorithms trained on existing public datasets can achieve high accuracy on held-out test sets yet perform substantially worse when applied to recordings from different clinical settings or hardware platforms, a persistent and well-documented generalization problem</w:t>
      </w:r>
      <w:r>
        <w:rPr>
          <w:rFonts w:ascii="Times New Roman" w:hAnsi="Times New Roman"/>
          <w:b w:val="0"/>
          <w:i w:val="0"/>
          <w:sz w:val="22"/>
          <w:vertAlign w:val="superscript"/>
        </w:rPr>
        <w:t>3-6,12</w:t>
      </w:r>
      <w:r>
        <w:rPr>
          <w:rFonts w:ascii="Times New Roman" w:hAnsi="Times New Roman"/>
          <w:b w:val="0"/>
          <w:i w:val="0"/>
          <w:sz w:val="22"/>
        </w:rPr>
        <w:t>.</w:t>
      </w:r>
    </w:p>
    <w:p>
      <w:r>
        <w:rPr>
          <w:rFonts w:ascii="Times New Roman" w:hAnsi="Times New Roman"/>
          <w:b w:val="0"/>
          <w:i w:val="0"/>
          <w:sz w:val="22"/>
        </w:rPr>
        <w:t>Existing public EEG resources span a range of sizes and designs (Table 1). The CHB-MIT dataset provides 23 pediatric patients with seizure annotations</w:t>
      </w:r>
      <w:r>
        <w:rPr>
          <w:rFonts w:ascii="Times New Roman" w:hAnsi="Times New Roman"/>
          <w:b w:val="0"/>
          <w:i w:val="0"/>
          <w:sz w:val="22"/>
          <w:vertAlign w:val="superscript"/>
        </w:rPr>
        <w:t>3</w:t>
      </w:r>
      <w:r>
        <w:rPr>
          <w:rFonts w:ascii="Times New Roman" w:hAnsi="Times New Roman"/>
          <w:b w:val="0"/>
          <w:i w:val="0"/>
          <w:sz w:val="22"/>
        </w:rPr>
        <w:t>; the Bonn dataset offers intracranial recordings from 5 patients</w:t>
      </w:r>
      <w:r>
        <w:rPr>
          <w:rFonts w:ascii="Times New Roman" w:hAnsi="Times New Roman"/>
          <w:b w:val="0"/>
          <w:i w:val="0"/>
          <w:sz w:val="22"/>
          <w:vertAlign w:val="superscript"/>
        </w:rPr>
        <w:t>4</w:t>
      </w:r>
      <w:r>
        <w:rPr>
          <w:rFonts w:ascii="Times New Roman" w:hAnsi="Times New Roman"/>
          <w:b w:val="0"/>
          <w:i w:val="0"/>
          <w:sz w:val="22"/>
        </w:rPr>
        <w:t>; the Siena dataset contributes 14 patients with scalp EEG</w:t>
      </w:r>
      <w:r>
        <w:rPr>
          <w:rFonts w:ascii="Times New Roman" w:hAnsi="Times New Roman"/>
          <w:b w:val="0"/>
          <w:i w:val="0"/>
          <w:sz w:val="22"/>
          <w:vertAlign w:val="superscript"/>
        </w:rPr>
        <w:t>5</w:t>
      </w:r>
      <w:r>
        <w:rPr>
          <w:rFonts w:ascii="Times New Roman" w:hAnsi="Times New Roman"/>
          <w:b w:val="0"/>
          <w:i w:val="0"/>
          <w:sz w:val="22"/>
        </w:rPr>
        <w:t>. The Temple University Hospital (TUH) EEG Corpus, with over 25,000 sessions, showed that large-scale release of unselected clinical data can serve as a widely used benchmark</w:t>
      </w:r>
      <w:r>
        <w:rPr>
          <w:rFonts w:ascii="Times New Roman" w:hAnsi="Times New Roman"/>
          <w:b w:val="0"/>
          <w:i w:val="0"/>
          <w:sz w:val="22"/>
          <w:vertAlign w:val="superscript"/>
        </w:rPr>
        <w:t>7</w:t>
      </w:r>
      <w:r>
        <w:rPr>
          <w:rFonts w:ascii="Times New Roman" w:hAnsi="Times New Roman"/>
          <w:b w:val="0"/>
          <w:i w:val="0"/>
          <w:sz w:val="22"/>
        </w:rPr>
        <w:t>. The Harvard Electroencephalography Database (HEEDB) provides approximately 109,000 patients and 3.3 million recording hours from four hospitals</w:t>
      </w:r>
      <w:r>
        <w:rPr>
          <w:rFonts w:ascii="Times New Roman" w:hAnsi="Times New Roman"/>
          <w:b w:val="0"/>
          <w:i w:val="0"/>
          <w:sz w:val="22"/>
          <w:vertAlign w:val="superscript"/>
        </w:rPr>
        <w:t>11</w:t>
      </w:r>
      <w:r>
        <w:rPr>
          <w:rFonts w:ascii="Times New Roman" w:hAnsi="Times New Roman"/>
          <w:b w:val="0"/>
          <w:i w:val="0"/>
          <w:sz w:val="22"/>
        </w:rPr>
        <w:t>. These corpora are predominantly hospital-based, and publicly available clinical EEG remains limited in its coverage of acquisition hardware, clinical settings, and annotation practices.</w:t>
      </w:r>
    </w:p>
    <w:p>
      <w:r>
        <w:rPr>
          <w:rFonts w:ascii="Times New Roman" w:hAnsi="Times New Roman"/>
          <w:b w:val="0"/>
          <w:i w:val="0"/>
          <w:sz w:val="22"/>
        </w:rPr>
        <w:t>Here we describe the Neurotech EEG Dataset</w:t>
      </w:r>
      <w:r>
        <w:rPr>
          <w:rFonts w:ascii="Times New Roman" w:hAnsi="Times New Roman"/>
          <w:b w:val="0"/>
          <w:i w:val="0"/>
          <w:sz w:val="22"/>
          <w:vertAlign w:val="superscript"/>
        </w:rPr>
        <w:t>13</w:t>
      </w:r>
      <w:r>
        <w:rPr>
          <w:rFonts w:ascii="Times New Roman" w:hAnsi="Times New Roman"/>
          <w:b w:val="0"/>
          <w:i w:val="0"/>
          <w:sz w:val="22"/>
        </w:rPr>
        <w:t>, which comprises all clinical EEG studies performed by a single accredited ambulatory EEG service provider between 2021 and 2025: 23,600 EDF recording segments from 4,912 patients totaling 212,133 recording hours. Three characteristics distinguish it from existing resources. First, most recordings are ambulatory or multi-day studies acquired in patients' homes, an out-of-hospital context largely absent from existing corpora; HEEDB, hosted on the same platform, comprises routine, epilepsy monitoring unit, and intensive care unit recordings acquired in clinical facilities. Second, the recordings were acquired on ambulatory hardware (Lifelines or EMS systems) that differs from the acquisition systems represented in existing corpora, which may be useful for cross-platform evaluation. Third, the clinical workflow annotations are released intact, including 51,546 spike markers and 6,956 seizure markers placed or confirmed by EEG technologists, together with free-text observations. These workflow-native annotations lack the consistency of multi-expert research labels, but they document the conditions under which automated systems must operate in practice (Figure 1). De-identified patient-level clinical metadata extracted from scanned clinical documentation accompany the recordings.</w:t>
      </w:r>
    </w:p>
    <w:p>
      <w:pPr>
        <w:spacing w:after="120"/>
      </w:pPr>
      <w:r>
        <w:rPr>
          <w:rFonts w:ascii="Times New Roman" w:hAnsi="Times New Roman"/>
          <w:b/>
          <w:i w:val="0"/>
          <w:sz w:val="22"/>
        </w:rPr>
        <w:t>Table 1. Comparison with existing public clinical EEG datasets.</w:t>
      </w:r>
      <w:r>
        <w:rPr>
          <w:rFonts w:ascii="Times New Roman" w:hAnsi="Times New Roman"/>
          <w:b w:val="0"/>
          <w:i w:val="0"/>
          <w:sz w:val="22"/>
        </w:rPr>
        <w:t xml:space="preserve"> Values for other datasets are approximate and taken from their published descriptions.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setting</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w:t>
            </w:r>
            <w:r>
              <w:rPr>
                <w:rFonts w:ascii="Times New Roman" w:hAnsi="Times New Roman"/>
                <w:b w:val="0"/>
                <w:i w:val="0"/>
                <w:sz w:val="18"/>
                <w:vertAlign w:val="superscript"/>
              </w:rPr>
              <w: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Not stated</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w:t>
            </w:r>
            <w:r>
              <w:rPr>
                <w:rFonts w:ascii="Times New Roman" w:hAnsi="Times New Roman"/>
                <w:b w:val="0"/>
                <w:i w:val="0"/>
                <w:sz w:val="18"/>
                <w:vertAlign w:val="superscript"/>
              </w:rPr>
              <w:t>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w:t>
            </w:r>
            <w:r>
              <w:rPr>
                <w:rFonts w:ascii="Times New Roman" w:hAnsi="Times New Roman"/>
                <w:b w:val="0"/>
                <w:i w:val="0"/>
                <w:sz w:val="18"/>
                <w:vertAlign w:val="superscript"/>
              </w:rPr>
              <w:t>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Not stated</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w:t>
            </w:r>
            <w:r>
              <w:rPr>
                <w:rFonts w:ascii="Times New Roman" w:hAnsi="Times New Roman"/>
                <w:b w:val="0"/>
                <w:i w:val="0"/>
                <w:sz w:val="18"/>
                <w:vertAlign w:val="superscript"/>
              </w:rPr>
              <w:t>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w:t>
            </w:r>
            <w:r>
              <w:rPr>
                <w:rFonts w:ascii="Times New Roman" w:hAnsi="Times New Roman"/>
                <w:b w:val="0"/>
                <w:i w:val="0"/>
                <w:sz w:val="18"/>
                <w:vertAlign w:val="superscript"/>
              </w:rPr>
              <w:t>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EMU,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This dataset</w:t>
            </w:r>
            <w:r>
              <w:rPr>
                <w:rFonts w:ascii="Times New Roman" w:hAnsi="Times New Roman"/>
                <w:b/>
                <w:i w:val="0"/>
                <w:sz w:val="18"/>
                <w:vertAlign w:val="superscript"/>
              </w:rPr>
              <w:t>13</w:t>
            </w:r>
          </w:p>
        </w:tc>
        <w:tc>
          <w:tcPr>
            <w:tcW w:type="dxa" w:w="1234"/>
          </w:tcPr>
          <w:p>
            <w:r/>
            <w:r>
              <w:rPr>
                <w:rFonts w:ascii="Times New Roman" w:hAnsi="Times New Roman"/>
                <w:b/>
                <w:i w:val="0"/>
                <w:sz w:val="18"/>
              </w:rPr>
              <w:t>4,912</w:t>
            </w:r>
          </w:p>
        </w:tc>
        <w:tc>
          <w:tcPr>
            <w:tcW w:type="dxa" w:w="1234"/>
          </w:tcPr>
          <w:p>
            <w:r/>
            <w:r>
              <w:rPr>
                <w:rFonts w:ascii="Times New Roman" w:hAnsi="Times New Roman"/>
                <w:b/>
                <w:i w:val="0"/>
                <w:sz w:val="18"/>
              </w:rPr>
              <w:t>23,600 EDF segments</w:t>
            </w:r>
          </w:p>
        </w:tc>
        <w:tc>
          <w:tcPr>
            <w:tcW w:type="dxa" w:w="1234"/>
          </w:tcPr>
          <w:p>
            <w:r/>
            <w:r>
              <w:rPr>
                <w:rFonts w:ascii="Times New Roman" w:hAnsi="Times New Roman"/>
                <w:b/>
                <w:i w:val="0"/>
                <w:sz w:val="18"/>
              </w:rPr>
              <w:t>212,133</w:t>
            </w:r>
          </w:p>
        </w:tc>
        <w:tc>
          <w:tcPr>
            <w:tcW w:type="dxa" w:w="1234"/>
          </w:tcPr>
          <w:p>
            <w:r/>
            <w:r>
              <w:rPr>
                <w:rFonts w:ascii="Times New Roman" w:hAnsi="Times New Roman"/>
                <w:b/>
                <w:i w:val="0"/>
                <w:sz w:val="18"/>
              </w:rPr>
              <w:t>Lifelines / EMS</w:t>
            </w:r>
          </w:p>
        </w:tc>
        <w:tc>
          <w:tcPr>
            <w:tcW w:type="dxa" w:w="1234"/>
          </w:tcPr>
          <w:p>
            <w:r/>
            <w:r>
              <w:rPr>
                <w:rFonts w:ascii="Times New Roman" w:hAnsi="Times New Roman"/>
                <w:b/>
                <w:i w:val="0"/>
                <w:sz w:val="18"/>
              </w:rPr>
              <w:t>Ambulatory (home) and routine outpatient</w:t>
            </w:r>
          </w:p>
        </w:tc>
        <w:tc>
          <w:tcPr>
            <w:tcW w:type="dxa" w:w="1234"/>
          </w:tcPr>
          <w:p>
            <w:r/>
            <w:r>
              <w:rPr>
                <w:rFonts w:ascii="Times New Roman" w:hAnsi="Times New Roman"/>
                <w:b/>
                <w:i w:val="0"/>
                <w:sz w:val="18"/>
              </w:rPr>
              <w:t>Workflow-native technologist annotations</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an accredited EEG monitoring service provider, between 2021 and 2025. Rather than a single hospital or center, Neurotech performs ambulatory EEG in patients' homes together with some routine outpatient studies (and occasional routine inpatient bedside recordings), across geographically distributed sites in the United States, using a uniform hardware and technologist workflow. No inclusion or exclusion criteria were applied; the cohort represents the full clinical caseload. Recording types span routine outpatient EEGs (typically under 1 hour), ambulatory monitoring studies (1 to 24 hours), and prolonged multi-day ambulatory monitoring (over 24 hours). Because the acquisition system exports each continuous recording as multiple EDF files, the 4,912 patients contributed 23,600 EDF recording segments containing signal data (median 3 segments per patient, interquartile range 1 to 6; 73% of patients have more than one segment). Grouping segments by recording date indicates that they correspond to far fewer distinct EEG studies, approximately one multi-day ambulatory study per patient (median one recording session per patient, spanning roughly two recording days), so the segment count should not be read as a count of separate EEG studies.</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Lifelines or EMS ambulatory EEG systems with Persyst spike and seizure detection software. Electrodes were placed according to the International 10-20 system (Fp1, Fp2, F3, F4, C3, C4, P3, P4, O1, O2, F7, F8, T3, T4, T5, T6, Fz, Pz, Cz) together with a two-channel electrocardiogram (ECG). Additional electrodes (for example A1, A2, T1, T2, F11, F12) were placed only on request and are absent from most recordings. Recordings span 22 to 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technologists placed annotations during routine clinical workflow using the Persyst spike and seizure detection and clinical annotation workflow. Three annotation types are present:</w:t>
      </w:r>
    </w:p>
    <w:p>
      <w:pPr>
        <w:ind w:left="432" w:hanging="432"/>
      </w:pPr>
      <w:r>
        <w:rPr>
          <w:rFonts w:ascii="Times New Roman" w:hAnsi="Times New Roman"/>
          <w:b w:val="0"/>
          <w:i w:val="0"/>
          <w:sz w:val="22"/>
        </w:rPr>
        <w:t xml:space="preserve">1. </w:t>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including both automated detections and technologist-confirmed events.</w:t>
      </w:r>
    </w:p>
    <w:p>
      <w:pPr>
        <w:ind w:left="432" w:hanging="432"/>
      </w:pPr>
      <w:r>
        <w:rPr>
          <w:rFonts w:ascii="Times New Roman" w:hAnsi="Times New Roman"/>
          <w:b w:val="0"/>
          <w:i w:val="0"/>
          <w:sz w:val="22"/>
        </w:rPr>
        <w:t xml:space="preserve">2. </w:t>
      </w:r>
      <w:r>
        <w:rPr>
          <w:rFonts w:ascii="Times New Roman" w:hAnsi="Times New Roman"/>
          <w:b/>
          <w:i w:val="0"/>
          <w:sz w:val="22"/>
        </w:rPr>
        <w:t>Technologist clips</w:t>
      </w:r>
      <w:r>
        <w:rPr>
          <w:rFonts w:ascii="Times New Roman" w:hAnsi="Times New Roman"/>
          <w:b w:val="0"/>
          <w:i w:val="0"/>
          <w:sz w:val="22"/>
        </w:rPr>
        <w:t xml:space="preserve"> (@Clip): segments of interest selected by the technologist for physician review, typically accompanied by descriptive labels (for example "Awake" or "Tech Event Type 1: Generalized Sharp Waves").</w:t>
      </w:r>
    </w:p>
    <w:p>
      <w:pPr>
        <w:ind w:left="432" w:hanging="432"/>
      </w:pPr>
      <w:r>
        <w:rPr>
          <w:rFonts w:ascii="Times New Roman" w:hAnsi="Times New Roman"/>
          <w:b w:val="0"/>
          <w:i w:val="0"/>
          <w:sz w:val="22"/>
        </w:rPr>
        <w:t xml:space="preserve">3. </w:t>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(PDR) frequency and activation procedures (eyes open and closed, photic stimulation, hyperventilation). These are single-reader clinical workflow annotations, not multi-expert research labels, and inter-rater reliability was not assessed. They should therefore not be treated as gold-standard evaluation labels without independent validation, but they permit study of real-world annotation practice.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the Health Insurance Portability and Accountability Act (HIPAA) Safe Harbor standard, addressing three categories of protected health information (PHI) (Figure 2).</w:t>
      </w:r>
    </w:p>
    <w:p>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technologist and equipment identifiers from all EDF headers, replacing the local patient identification field with X X X X and the recording identification field with Startdate DD-MMM-YYYY X X X (shifted date).</w:t>
      </w:r>
    </w:p>
    <w:p>
      <w:r>
        <w:rPr>
          <w:rFonts w:ascii="Times New Roman" w:hAnsi="Times New Roman"/>
          <w:b/>
          <w:i w:val="0"/>
          <w:sz w:val="22"/>
        </w:rPr>
        <w:t>Date shifting.</w:t>
      </w:r>
      <w:r>
        <w:rPr>
          <w:rFonts w:ascii="Times New Roman" w:hAnsi="Times New Roman"/>
          <w:b w:val="0"/>
          <w:i w:val="0"/>
          <w:sz w:val="22"/>
        </w:rPr>
        <w:t xml:space="preserve"> We shifted all recording dates by a random per-patient integer offset drawn uniformly from -365 to +365 days; times of day were preserved. The same offset was applied consistently across all recordings, annotation timestamps, and clinical metadata for a given patient, so that temporal relationships within a patient are preserved.</w:t>
      </w:r>
    </w:p>
    <w:p>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or more characters, excluding common medical terms) detected additional name occurrences. Dates embedded in annotation text were detected by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by the study team and is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4,912 patients (98%), incrementally synced from a Neurotech-managed Amazon Web Services Transfer Family Secure File Transfer Protocol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deterministic regex parsers for standardized report sections (technologist scan reports, hourly monitoring logs, EEG orders) and a locally hosted open-weight large language model (Qwen2.5, run on-device via Apple MLX) for narrative clinical text (clinical progress notes, intake forms, imaging reports). The pipeline runs entirely on-premises, so clinical text never leaves the secure environment. It identified 40,529 sub-documents across 11 document types and extracted EEG findings (posterior dominant rhythm, epileptiform discharges, seizure descriptions), referral diagnoses (International Classification of Diseases, 10th Revision, ICD-10, codes), patient demographics, medication lists, and hour-by-hour EEG monitoring data. Each clinical record was linked to its de-identified subject identifier through a four-tier name-matching procedure (exact, normalized, first-root, and Levenshtein edit distance of 2 or less), achieving 99.96% successful linkage; unmatched and low-confidence patients were excluded from the de-identified output. Manual review of 30 randomly sampled patient records found no hallucinated values across all extracted fields, and cross-checking medication names and diagnosis codes against source text confirmed accurate extraction in 94% of cases (the remaining 6% reflected minor OCR-related spelling differences in the source text rather than extraction errors). Only patient-level structured fields are released; no dates, names, or free text from the clinical records are included.</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w:t>
      </w:r>
      <w:r>
        <w:rPr>
          <w:rFonts w:ascii="Times New Roman" w:hAnsi="Times New Roman"/>
          <w:b w:val="0"/>
          <w:i w:val="0"/>
          <w:sz w:val="22"/>
          <w:vertAlign w:val="superscript"/>
        </w:rPr>
        <w:t>8,10</w:t>
      </w:r>
      <w:r>
        <w:rPr>
          <w:rFonts w:ascii="Times New Roman" w:hAnsi="Times New Roman"/>
          <w:b w:val="0"/>
          <w:i w:val="0"/>
          <w:sz w:val="22"/>
        </w:rPr>
        <w:t xml:space="preserve"> and assigned each patient a de-identified identifier (sub-NeurotechN). Each EDF recording segment constitutes a separate session (ses-N), numbered sequentially per patient. For each session the release includes the de-identified EDF recording, a JSON sidecar with recording metadata, a channels table, a technologist annotation file (when annotations exist), and a session-level scans table (Figure 1). Dataset-level files include dataset_description.json, participants.tsv, participants.json, a README, and a phenotype/ directory holding the patient-level clinical metadata tables. The files and their fields are defined in Data Records.</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Beth Israel Deaconess Medical Center (BIDMC) Institutional Review Board (IRB) protocol 2022P000417 and under a Business Associate Agreement between BIDMC and Neurotech. The IRB granted a waiver of informed consent for this retrospective use of clinical data and approved publication of the dataset in de-identified form with access restricted by a data use agreement prohibiting attempts at re-identification. The study complied with the Declaration of Helsinki.</w:t>
      </w:r>
    </w:p>
    <w:p>
      <w:pPr>
        <w:pStyle w:val="Heading1"/>
      </w:pPr>
      <w:r>
        <w:rPr>
          <w:rFonts w:ascii="Times New Roman" w:hAnsi="Times New Roman"/>
          <w:b/>
          <w:i w:val="0"/>
          <w:sz w:val="28"/>
        </w:rPr>
        <w:t>Data Records</w:t>
      </w:r>
    </w:p>
    <w:p>
      <w:r>
        <w:rPr>
          <w:rFonts w:ascii="Times New Roman" w:hAnsi="Times New Roman"/>
          <w:b w:val="0"/>
          <w:i w:val="0"/>
          <w:sz w:val="22"/>
        </w:rPr>
        <w:t>The dataset</w:t>
      </w:r>
      <w:r>
        <w:rPr>
          <w:rFonts w:ascii="Times New Roman" w:hAnsi="Times New Roman"/>
          <w:b w:val="0"/>
          <w:i w:val="0"/>
          <w:sz w:val="22"/>
          <w:vertAlign w:val="superscript"/>
        </w:rPr>
        <w:t>13</w:t>
      </w:r>
      <w:r>
        <w:rPr>
          <w:rFonts w:ascii="Times New Roman" w:hAnsi="Times New Roman"/>
          <w:b w:val="0"/>
          <w:i w:val="0"/>
          <w:sz w:val="22"/>
        </w:rPr>
        <w:t xml:space="preserve"> is hosted on the Brain Data Science Platform (BDSP) at </w:t>
      </w:r>
      <w:hyperlink r:id="rId9">
        <w:r>
          <w:rPr>
            <w:rFonts w:ascii="Times New Roman" w:hAnsi="Times New Roman"/>
            <w:sz w:val="22"/>
            <w:color w:val="0563C1"/>
            <w:u w:val="single"/>
          </w:rPr>
          <w:t xml:space="preserve">https://bdsp.io/content/nf89816gtxbon11kbr9a/1.0/</w:t>
        </w:r>
      </w:hyperlink>
      <w:r>
        <w:rPr>
          <w:rFonts w:ascii="Times New Roman" w:hAnsi="Times New Roman"/>
          <w:b w:val="0"/>
          <w:i w:val="0"/>
          <w:sz w:val="22"/>
        </w:rPr>
        <w:t xml:space="preserve"> (DOI 10.60508/v99k-ek82) and stored at s3://bdsp-opendata-repository/EEG/bids/Neurotech/. Access is controlled: users register on BDSP, complete credentialing, and sign a data use agreement, after which the full dataset can be downloaded (see Usage Notes). The release follows BIDS-EEG version 1.7.0 and comprises approximately 231,800 files totaling 10.2 TB. Table 2 defines every file type and field.</w:t>
      </w:r>
    </w:p>
    <w:p>
      <w:r>
        <w:rPr>
          <w:rFonts w:ascii="Times New Roman" w:hAnsi="Times New Roman"/>
          <w:b/>
          <w:i w:val="0"/>
          <w:sz w:val="22"/>
        </w:rPr>
        <w:t>Directory layout.</w:t>
      </w:r>
      <w:r>
        <w:rPr>
          <w:rFonts w:ascii="Times New Roman" w:hAnsi="Times New Roman"/>
          <w:b w:val="0"/>
          <w:i w:val="0"/>
          <w:sz w:val="22"/>
        </w:rPr>
        <w:t xml:space="preserve"> Dataset-level files sit at the root of the release. Each patient has a directory sub-NeurotechN/ containing one session directory ses-M/ per EDF recording segment; each session directory holds a scans table and an eeg/ subdirectory with the recording, its sidecars, and the annotation file:</w:t>
      </w:r>
    </w:p>
    <w:p>
      <w:pPr>
        <w:pStyle w:val="ListBullet"/>
      </w:pPr>
      <w:r>
        <w:rPr>
          <w:rFonts w:ascii="Times New Roman" w:hAnsi="Times New Roman"/>
          <w:b w:val="0"/>
          <w:i w:val="0"/>
          <w:sz w:val="22"/>
        </w:rPr>
        <w:t>dataset_description.json, README, participants.tsv, participants.json</w:t>
      </w:r>
    </w:p>
    <w:p>
      <w:pPr>
        <w:pStyle w:val="ListBullet"/>
      </w:pPr>
      <w:r>
        <w:rPr>
          <w:rFonts w:ascii="Times New Roman" w:hAnsi="Times New Roman"/>
          <w:b w:val="0"/>
          <w:i w:val="0"/>
          <w:sz w:val="22"/>
        </w:rPr>
        <w:t>phenotype/ with six patient-level tables, each as a .tsv with a .json data dictionary</w:t>
      </w:r>
    </w:p>
    <w:p>
      <w:pPr>
        <w:pStyle w:val="ListBullet"/>
      </w:pPr>
      <w:r>
        <w:rPr>
          <w:rFonts w:ascii="Times New Roman" w:hAnsi="Times New Roman"/>
          <w:b w:val="0"/>
          <w:i w:val="0"/>
          <w:sz w:val="22"/>
        </w:rPr>
        <w:t>sub-NeurotechN/ses-M/sub-NeurotechN_ses-M_scans.tsv</w:t>
      </w:r>
    </w:p>
    <w:p>
      <w:pPr>
        <w:pStyle w:val="ListBullet"/>
      </w:pPr>
      <w:r>
        <w:rPr>
          <w:rFonts w:ascii="Times New Roman" w:hAnsi="Times New Roman"/>
          <w:b w:val="0"/>
          <w:i w:val="0"/>
          <w:sz w:val="22"/>
        </w:rPr>
        <w:t>sub-NeurotechN/ses-M/eeg/sub-NeurotechN_ses-M_task-EEG_eeg.edf</w:t>
      </w:r>
    </w:p>
    <w:p>
      <w:pPr>
        <w:pStyle w:val="ListBullet"/>
      </w:pPr>
      <w:r>
        <w:rPr>
          <w:rFonts w:ascii="Times New Roman" w:hAnsi="Times New Roman"/>
          <w:b w:val="0"/>
          <w:i w:val="0"/>
          <w:sz w:val="22"/>
        </w:rPr>
        <w:t>sub-NeurotechN/ses-M/eeg/sub-NeurotechN_ses-M_task-EEG_eeg.json</w:t>
      </w:r>
    </w:p>
    <w:p>
      <w:pPr>
        <w:pStyle w:val="ListBullet"/>
      </w:pPr>
      <w:r>
        <w:rPr>
          <w:rFonts w:ascii="Times New Roman" w:hAnsi="Times New Roman"/>
          <w:b w:val="0"/>
          <w:i w:val="0"/>
          <w:sz w:val="22"/>
        </w:rPr>
        <w:t>sub-NeurotechN/ses-M/eeg/sub-NeurotechN_ses-M_task-EEG_channels.tsv</w:t>
      </w:r>
    </w:p>
    <w:p>
      <w:pPr>
        <w:pStyle w:val="ListBullet"/>
      </w:pPr>
      <w:r>
        <w:rPr>
          <w:rFonts w:ascii="Times New Roman" w:hAnsi="Times New Roman"/>
          <w:b w:val="0"/>
          <w:i w:val="0"/>
          <w:sz w:val="22"/>
        </w:rPr>
        <w:t>sub-NeurotechN/ses-M/eeg/sub-NeurotechN_ses-M_task-EEG_Xltek.csv (present for 14,491 sessions)</w:t>
      </w:r>
    </w:p>
    <w:p>
      <w:r>
        <w:rPr>
          <w:rFonts w:ascii="Times New Roman" w:hAnsi="Times New Roman"/>
          <w:b/>
          <w:i w:val="0"/>
          <w:sz w:val="22"/>
        </w:rPr>
        <w:t>Signal-bearing segments and header-only stubs.</w:t>
      </w:r>
      <w:r>
        <w:rPr>
          <w:rFonts w:ascii="Times New Roman" w:hAnsi="Times New Roman"/>
          <w:b w:val="0"/>
          <w:i w:val="0"/>
          <w:sz w:val="22"/>
        </w:rPr>
        <w:t xml:space="preserve"> Of the EDF files in the release, 23,600 contain signal data. A further 30,719 EDF files are header-only stubs produced by the acquisition system at recording-session boundaries and aborted-start events; they contain a valid EDF header with channel definitions but no data records. They are released alongside the signal-bearing files, with their own session directories and sidecars, to preserve session-level integrity for users wishing to reconstruct complete clinical visits. For any signal-level analysis they should be excluded, for example by filtering on the number of data records in the EDF header or on RecordingDuration in the JSON sidecar.</w:t>
      </w:r>
    </w:p>
    <w:p>
      <w:r>
        <w:rPr>
          <w:rFonts w:ascii="Times New Roman" w:hAnsi="Times New Roman"/>
          <w:b/>
          <w:i w:val="0"/>
          <w:sz w:val="22"/>
        </w:rPr>
        <w:t>Annotation file.</w:t>
      </w:r>
      <w:r>
        <w:rPr>
          <w:rFonts w:ascii="Times New Roman" w:hAnsi="Times New Roman"/>
          <w:b w:val="0"/>
          <w:i w:val="0"/>
          <w:sz w:val="22"/>
        </w:rPr>
        <w:t xml:space="preserve"> The annotation file name retains the _Xltek suffix assigned by the conversion pipeline; the annotations themselves originate from the Persyst-based clinical workflow described in Methods. Each row holds the annotation text and its absolute, date-shifted timestamp. Event markers are prefixed with @ (for example @Spike, @Seizure, @Clip: Awake), free-text technologist observations are prefixed with NT-, and remaining rows are workflow labels such as Eyes Closed or Photic Stimulation. Category counts reported in this paper were derived from these strings by keyword matching using code in the project repository.</w:t>
      </w:r>
    </w:p>
    <w:p>
      <w:r>
        <w:rPr>
          <w:rFonts w:ascii="Times New Roman" w:hAnsi="Times New Roman"/>
          <w:b/>
          <w:i w:val="0"/>
          <w:sz w:val="22"/>
        </w:rPr>
        <w:t>Clinical metadata.</w:t>
      </w:r>
      <w:r>
        <w:rPr>
          <w:rFonts w:ascii="Times New Roman" w:hAnsi="Times New Roman"/>
          <w:b w:val="0"/>
          <w:i w:val="0"/>
          <w:sz w:val="22"/>
        </w:rPr>
        <w:t xml:space="preserve"> The phenotype/ tables contain de-identified, patient-level structured fields extracted from technologist scan reports and intake forms as described in Methods. Rows are keyed by participant_id; patients without clinical documentation are absent. participants.tsv carries age and sex for the patients for whom they could be extracted and n/a otherwise. Ages above 89 years are top-coded to 90.</w:t>
      </w:r>
    </w:p>
    <w:p>
      <w:pPr>
        <w:spacing w:after="120"/>
      </w:pPr>
      <w:r>
        <w:rPr>
          <w:rFonts w:ascii="Times New Roman" w:hAnsi="Times New Roman"/>
          <w:b/>
          <w:i w:val="0"/>
          <w:sz w:val="22"/>
        </w:rPr>
        <w:t>Table 2. Files and fields in the released dataset.</w:t>
      </w:r>
      <w:r>
        <w:rPr>
          <w:rFonts w:ascii="Times New Roman" w:hAnsi="Times New Roman"/>
          <w:b w:val="0"/>
          <w:i w:val="0"/>
          <w:sz w:val="22"/>
        </w:rPr>
        <w:t xml:space="preserve"> One row per file type. Row counts for the phenotype tables are data rows excluding the header.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File</w:t>
            </w:r>
          </w:p>
        </w:tc>
        <w:tc>
          <w:tcPr>
            <w:tcW w:type="dxa" w:w="2160"/>
          </w:tcPr>
          <w:p>
            <w:r/>
            <w:r>
              <w:rPr>
                <w:rFonts w:ascii="Times New Roman" w:hAnsi="Times New Roman"/>
                <w:b/>
                <w:i w:val="0"/>
                <w:sz w:val="18"/>
              </w:rPr>
              <w:t>Rows or count</w:t>
            </w:r>
          </w:p>
        </w:tc>
        <w:tc>
          <w:tcPr>
            <w:tcW w:type="dxa" w:w="2160"/>
          </w:tcPr>
          <w:p>
            <w:r/>
            <w:r>
              <w:rPr>
                <w:rFonts w:ascii="Times New Roman" w:hAnsi="Times New Roman"/>
                <w:b/>
                <w:i w:val="0"/>
                <w:sz w:val="18"/>
              </w:rPr>
              <w:t>Fields</w:t>
            </w:r>
          </w:p>
        </w:tc>
        <w:tc>
          <w:tcPr>
            <w:tcW w:type="dxa" w:w="2160"/>
          </w:tcPr>
          <w:p>
            <w:r/>
            <w:r>
              <w:rPr>
                <w:rFonts w:ascii="Times New Roman" w:hAnsi="Times New Roman"/>
                <w:b/>
                <w:i w:val="0"/>
                <w:sz w:val="18"/>
              </w:rPr>
              <w:t>Definition</w:t>
            </w:r>
          </w:p>
        </w:tc>
      </w:tr>
      <w:tr>
        <w:tc>
          <w:tcPr>
            <w:tcW w:type="dxa" w:w="2160"/>
          </w:tcPr>
          <w:p>
            <w:r/>
            <w:r>
              <w:rPr>
                <w:rFonts w:ascii="Times New Roman" w:hAnsi="Times New Roman"/>
                <w:b w:val="0"/>
                <w:i w:val="0"/>
                <w:sz w:val="18"/>
              </w:rPr>
              <w:t>dataset_description.json</w:t>
            </w:r>
          </w:p>
        </w:tc>
        <w:tc>
          <w:tcPr>
            <w:tcW w:type="dxa" w:w="2160"/>
          </w:tcPr>
          <w:p>
            <w:r/>
            <w:r>
              <w:rPr>
                <w:rFonts w:ascii="Times New Roman" w:hAnsi="Times New Roman"/>
                <w:b w:val="0"/>
                <w:i w:val="0"/>
                <w:sz w:val="18"/>
              </w:rPr>
              <w:t>1</w:t>
            </w:r>
          </w:p>
        </w:tc>
        <w:tc>
          <w:tcPr>
            <w:tcW w:type="dxa" w:w="2160"/>
          </w:tcPr>
          <w:p>
            <w:r/>
            <w:r>
              <w:rPr>
                <w:rFonts w:ascii="Times New Roman" w:hAnsi="Times New Roman"/>
                <w:b w:val="0"/>
                <w:i w:val="0"/>
                <w:sz w:val="18"/>
              </w:rPr>
              <w:t>Name, BIDSVersion, DatasetType, License, Authors</w:t>
            </w:r>
          </w:p>
        </w:tc>
        <w:tc>
          <w:tcPr>
            <w:tcW w:type="dxa" w:w="2160"/>
          </w:tcPr>
          <w:p>
            <w:r/>
            <w:r>
              <w:rPr>
                <w:rFonts w:ascii="Times New Roman" w:hAnsi="Times New Roman"/>
                <w:b w:val="0"/>
                <w:i w:val="0"/>
                <w:sz w:val="18"/>
              </w:rPr>
              <w:t>BIDS dataset-level metadata</w:t>
            </w:r>
          </w:p>
        </w:tc>
      </w:tr>
      <w:tr>
        <w:tc>
          <w:tcPr>
            <w:tcW w:type="dxa" w:w="2160"/>
          </w:tcPr>
          <w:p>
            <w:r/>
            <w:r>
              <w:rPr>
                <w:rFonts w:ascii="Times New Roman" w:hAnsi="Times New Roman"/>
                <w:b w:val="0"/>
                <w:i w:val="0"/>
                <w:sz w:val="18"/>
              </w:rPr>
              <w:t>participants.tsv / .json</w:t>
            </w:r>
          </w:p>
        </w:tc>
        <w:tc>
          <w:tcPr>
            <w:tcW w:type="dxa" w:w="2160"/>
          </w:tcPr>
          <w:p>
            <w:r/>
            <w:r>
              <w:rPr>
                <w:rFonts w:ascii="Times New Roman" w:hAnsi="Times New Roman"/>
                <w:b w:val="0"/>
                <w:i w:val="0"/>
                <w:sz w:val="18"/>
              </w:rPr>
              <w:t>1 per subject directory</w:t>
            </w:r>
          </w:p>
        </w:tc>
        <w:tc>
          <w:tcPr>
            <w:tcW w:type="dxa" w:w="2160"/>
          </w:tcPr>
          <w:p>
            <w:r/>
            <w:r>
              <w:rPr>
                <w:rFonts w:ascii="Times New Roman" w:hAnsi="Times New Roman"/>
                <w:b w:val="0"/>
                <w:i w:val="0"/>
                <w:sz w:val="18"/>
              </w:rPr>
              <w:t>participant_id, age, sex</w:t>
            </w:r>
          </w:p>
        </w:tc>
        <w:tc>
          <w:tcPr>
            <w:tcW w:type="dxa" w:w="2160"/>
          </w:tcPr>
          <w:p>
            <w:r/>
            <w:r>
              <w:rPr>
                <w:rFonts w:ascii="Times New Roman" w:hAnsi="Times New Roman"/>
                <w:b w:val="0"/>
                <w:i w:val="0"/>
                <w:sz w:val="18"/>
              </w:rPr>
              <w:t>One row per subject directory in the release. age: age at first EEG in years (top-coded at 90; n/a if unavailable). sex: M, F, or n/a</w:t>
            </w:r>
          </w:p>
        </w:tc>
      </w:tr>
      <w:tr>
        <w:tc>
          <w:tcPr>
            <w:tcW w:type="dxa" w:w="2160"/>
          </w:tcPr>
          <w:p>
            <w:r/>
            <w:r>
              <w:rPr>
                <w:rFonts w:ascii="Times New Roman" w:hAnsi="Times New Roman"/>
                <w:b w:val="0"/>
                <w:i w:val="0"/>
                <w:sz w:val="18"/>
              </w:rPr>
              <w:t>phenotype/demographics.tsv</w:t>
            </w:r>
          </w:p>
        </w:tc>
        <w:tc>
          <w:tcPr>
            <w:tcW w:type="dxa" w:w="2160"/>
          </w:tcPr>
          <w:p>
            <w:r/>
            <w:r>
              <w:rPr>
                <w:rFonts w:ascii="Times New Roman" w:hAnsi="Times New Roman"/>
                <w:b w:val="0"/>
                <w:i w:val="0"/>
                <w:sz w:val="18"/>
              </w:rPr>
              <w:t>2,692</w:t>
            </w:r>
          </w:p>
        </w:tc>
        <w:tc>
          <w:tcPr>
            <w:tcW w:type="dxa" w:w="2160"/>
          </w:tcPr>
          <w:p>
            <w:r/>
            <w:r>
              <w:rPr>
                <w:rFonts w:ascii="Times New Roman" w:hAnsi="Times New Roman"/>
                <w:b w:val="0"/>
                <w:i w:val="0"/>
                <w:sz w:val="18"/>
              </w:rPr>
              <w:t>participant_id, age, sex</w:t>
            </w:r>
          </w:p>
        </w:tc>
        <w:tc>
          <w:tcPr>
            <w:tcW w:type="dxa" w:w="2160"/>
          </w:tcPr>
          <w:p>
            <w:r/>
            <w:r>
              <w:rPr>
                <w:rFonts w:ascii="Times New Roman" w:hAnsi="Times New Roman"/>
                <w:b w:val="0"/>
                <w:i w:val="0"/>
                <w:sz w:val="18"/>
              </w:rPr>
              <w:t>Patients with extractable demographics</w:t>
            </w:r>
          </w:p>
        </w:tc>
      </w:tr>
      <w:tr>
        <w:tc>
          <w:tcPr>
            <w:tcW w:type="dxa" w:w="2160"/>
          </w:tcPr>
          <w:p>
            <w:r/>
            <w:r>
              <w:rPr>
                <w:rFonts w:ascii="Times New Roman" w:hAnsi="Times New Roman"/>
                <w:b w:val="0"/>
                <w:i w:val="0"/>
                <w:sz w:val="18"/>
              </w:rPr>
              <w:t>phenotype/diagnoses.tsv</w:t>
            </w:r>
          </w:p>
        </w:tc>
        <w:tc>
          <w:tcPr>
            <w:tcW w:type="dxa" w:w="2160"/>
          </w:tcPr>
          <w:p>
            <w:r/>
            <w:r>
              <w:rPr>
                <w:rFonts w:ascii="Times New Roman" w:hAnsi="Times New Roman"/>
                <w:b w:val="0"/>
                <w:i w:val="0"/>
                <w:sz w:val="18"/>
              </w:rPr>
              <w:t>10,290</w:t>
            </w:r>
          </w:p>
        </w:tc>
        <w:tc>
          <w:tcPr>
            <w:tcW w:type="dxa" w:w="2160"/>
          </w:tcPr>
          <w:p>
            <w:r/>
            <w:r>
              <w:rPr>
                <w:rFonts w:ascii="Times New Roman" w:hAnsi="Times New Roman"/>
                <w:b w:val="0"/>
                <w:i w:val="0"/>
                <w:sz w:val="18"/>
              </w:rPr>
              <w:t>participant_id, icd10_code</w:t>
            </w:r>
          </w:p>
        </w:tc>
        <w:tc>
          <w:tcPr>
            <w:tcW w:type="dxa" w:w="2160"/>
          </w:tcPr>
          <w:p>
            <w:r/>
            <w:r>
              <w:rPr>
                <w:rFonts w:ascii="Times New Roman" w:hAnsi="Times New Roman"/>
                <w:b w:val="0"/>
                <w:i w:val="0"/>
                <w:sz w:val="18"/>
              </w:rPr>
              <w:t>One row per unique patient and ICD-10 referral or diagnosis code</w:t>
            </w:r>
          </w:p>
        </w:tc>
      </w:tr>
      <w:tr>
        <w:tc>
          <w:tcPr>
            <w:tcW w:type="dxa" w:w="2160"/>
          </w:tcPr>
          <w:p>
            <w:r/>
            <w:r>
              <w:rPr>
                <w:rFonts w:ascii="Times New Roman" w:hAnsi="Times New Roman"/>
                <w:b w:val="0"/>
                <w:i w:val="0"/>
                <w:sz w:val="18"/>
              </w:rPr>
              <w:t>phenotype/comorbidities.tsv</w:t>
            </w:r>
          </w:p>
        </w:tc>
        <w:tc>
          <w:tcPr>
            <w:tcW w:type="dxa" w:w="2160"/>
          </w:tcPr>
          <w:p>
            <w:r/>
            <w:r>
              <w:rPr>
                <w:rFonts w:ascii="Times New Roman" w:hAnsi="Times New Roman"/>
                <w:b w:val="0"/>
                <w:i w:val="0"/>
                <w:sz w:val="18"/>
              </w:rPr>
              <w:t>22,671</w:t>
            </w:r>
          </w:p>
        </w:tc>
        <w:tc>
          <w:tcPr>
            <w:tcW w:type="dxa" w:w="2160"/>
          </w:tcPr>
          <w:p>
            <w:r/>
            <w:r>
              <w:rPr>
                <w:rFonts w:ascii="Times New Roman" w:hAnsi="Times New Roman"/>
                <w:b w:val="0"/>
                <w:i w:val="0"/>
                <w:sz w:val="18"/>
              </w:rPr>
              <w:t>participant_id, condition</w:t>
            </w:r>
          </w:p>
        </w:tc>
        <w:tc>
          <w:tcPr>
            <w:tcW w:type="dxa" w:w="2160"/>
          </w:tcPr>
          <w:p>
            <w:r/>
            <w:r>
              <w:rPr>
                <w:rFonts w:ascii="Times New Roman" w:hAnsi="Times New Roman"/>
                <w:b w:val="0"/>
                <w:i w:val="0"/>
                <w:sz w:val="18"/>
              </w:rPr>
              <w:t>One row per unique patient and comorbid condition (normalized text)</w:t>
            </w:r>
          </w:p>
        </w:tc>
      </w:tr>
      <w:tr>
        <w:tc>
          <w:tcPr>
            <w:tcW w:type="dxa" w:w="2160"/>
          </w:tcPr>
          <w:p>
            <w:r/>
            <w:r>
              <w:rPr>
                <w:rFonts w:ascii="Times New Roman" w:hAnsi="Times New Roman"/>
                <w:b w:val="0"/>
                <w:i w:val="0"/>
                <w:sz w:val="18"/>
              </w:rPr>
              <w:t>phenotype/medications.tsv</w:t>
            </w:r>
          </w:p>
        </w:tc>
        <w:tc>
          <w:tcPr>
            <w:tcW w:type="dxa" w:w="2160"/>
          </w:tcPr>
          <w:p>
            <w:r/>
            <w:r>
              <w:rPr>
                <w:rFonts w:ascii="Times New Roman" w:hAnsi="Times New Roman"/>
                <w:b w:val="0"/>
                <w:i w:val="0"/>
                <w:sz w:val="18"/>
              </w:rPr>
              <w:t>21,417</w:t>
            </w:r>
          </w:p>
        </w:tc>
        <w:tc>
          <w:tcPr>
            <w:tcW w:type="dxa" w:w="2160"/>
          </w:tcPr>
          <w:p>
            <w:r/>
            <w:r>
              <w:rPr>
                <w:rFonts w:ascii="Times New Roman" w:hAnsi="Times New Roman"/>
                <w:b w:val="0"/>
                <w:i w:val="0"/>
                <w:sz w:val="18"/>
              </w:rPr>
              <w:t>participant_id, medication</w:t>
            </w:r>
          </w:p>
        </w:tc>
        <w:tc>
          <w:tcPr>
            <w:tcW w:type="dxa" w:w="2160"/>
          </w:tcPr>
          <w:p>
            <w:r/>
            <w:r>
              <w:rPr>
                <w:rFonts w:ascii="Times New Roman" w:hAnsi="Times New Roman"/>
                <w:b w:val="0"/>
                <w:i w:val="0"/>
                <w:sz w:val="18"/>
              </w:rPr>
              <w:t>One row per unique patient and medication (normalized name)</w:t>
            </w:r>
          </w:p>
        </w:tc>
      </w:tr>
      <w:tr>
        <w:tc>
          <w:tcPr>
            <w:tcW w:type="dxa" w:w="2160"/>
          </w:tcPr>
          <w:p>
            <w:r/>
            <w:r>
              <w:rPr>
                <w:rFonts w:ascii="Times New Roman" w:hAnsi="Times New Roman"/>
                <w:b w:val="0"/>
                <w:i w:val="0"/>
                <w:sz w:val="18"/>
              </w:rPr>
              <w:t>phenotype/eeg_findings.tsv</w:t>
            </w:r>
          </w:p>
        </w:tc>
        <w:tc>
          <w:tcPr>
            <w:tcW w:type="dxa" w:w="2160"/>
          </w:tcPr>
          <w:p>
            <w:r/>
            <w:r>
              <w:rPr>
                <w:rFonts w:ascii="Times New Roman" w:hAnsi="Times New Roman"/>
                <w:b w:val="0"/>
                <w:i w:val="0"/>
                <w:sz w:val="18"/>
              </w:rPr>
              <w:t>4,409</w:t>
            </w:r>
          </w:p>
        </w:tc>
        <w:tc>
          <w:tcPr>
            <w:tcW w:type="dxa" w:w="2160"/>
          </w:tcPr>
          <w:p>
            <w:r/>
            <w:r>
              <w:rPr>
                <w:rFonts w:ascii="Times New Roman" w:hAnsi="Times New Roman"/>
                <w:b w:val="0"/>
                <w:i w:val="0"/>
                <w:sz w:val="18"/>
              </w:rPr>
              <w:t>participant_id, ever_abnormal, any_epileptiform, any_seizure, any_slowing, median_pdr_hz</w:t>
            </w:r>
          </w:p>
        </w:tc>
        <w:tc>
          <w:tcPr>
            <w:tcW w:type="dxa" w:w="2160"/>
          </w:tcPr>
          <w:p>
            <w:r/>
            <w:r>
              <w:rPr>
                <w:rFonts w:ascii="Times New Roman" w:hAnsi="Times New Roman"/>
                <w:b w:val="0"/>
                <w:i w:val="0"/>
                <w:sz w:val="18"/>
              </w:rPr>
              <w:t>Patient-level flags (0 or 1) aggregated over the patient's technologist reports; median posterior dominant rhythm in Hz</w:t>
            </w:r>
          </w:p>
        </w:tc>
      </w:tr>
      <w:tr>
        <w:tc>
          <w:tcPr>
            <w:tcW w:type="dxa" w:w="2160"/>
          </w:tcPr>
          <w:p>
            <w:r/>
            <w:r>
              <w:rPr>
                <w:rFonts w:ascii="Times New Roman" w:hAnsi="Times New Roman"/>
                <w:b w:val="0"/>
                <w:i w:val="0"/>
                <w:sz w:val="18"/>
              </w:rPr>
              <w:t>phenotype/monitoring.tsv</w:t>
            </w:r>
          </w:p>
        </w:tc>
        <w:tc>
          <w:tcPr>
            <w:tcW w:type="dxa" w:w="2160"/>
          </w:tcPr>
          <w:p>
            <w:r/>
            <w:r>
              <w:rPr>
                <w:rFonts w:ascii="Times New Roman" w:hAnsi="Times New Roman"/>
                <w:b w:val="0"/>
                <w:i w:val="0"/>
                <w:sz w:val="18"/>
              </w:rPr>
              <w:t>4,105</w:t>
            </w:r>
          </w:p>
        </w:tc>
        <w:tc>
          <w:tcPr>
            <w:tcW w:type="dxa" w:w="2160"/>
          </w:tcPr>
          <w:p>
            <w:r/>
            <w:r>
              <w:rPr>
                <w:rFonts w:ascii="Times New Roman" w:hAnsi="Times New Roman"/>
                <w:b w:val="0"/>
                <w:i w:val="0"/>
                <w:sz w:val="18"/>
              </w:rPr>
              <w:t>participant_id, total_monitoring_hours, monitoring_days</w:t>
            </w:r>
          </w:p>
        </w:tc>
        <w:tc>
          <w:tcPr>
            <w:tcW w:type="dxa" w:w="2160"/>
          </w:tcPr>
          <w:p>
            <w:r/>
            <w:r>
              <w:rPr>
                <w:rFonts w:ascii="Times New Roman" w:hAnsi="Times New Roman"/>
                <w:b w:val="0"/>
                <w:i w:val="0"/>
                <w:sz w:val="18"/>
              </w:rPr>
              <w:t>Aggregates of the hour-by-hour monitoring logs</w:t>
            </w:r>
          </w:p>
        </w:tc>
      </w:tr>
      <w:tr>
        <w:tc>
          <w:tcPr>
            <w:tcW w:type="dxa" w:w="2160"/>
          </w:tcPr>
          <w:p>
            <w:r/>
            <w:r>
              <w:rPr>
                <w:rFonts w:ascii="Times New Roman" w:hAnsi="Times New Roman"/>
                <w:b w:val="0"/>
                <w:i w:val="0"/>
                <w:sz w:val="18"/>
              </w:rPr>
              <w:t>*_scans.tsv</w:t>
            </w:r>
          </w:p>
        </w:tc>
        <w:tc>
          <w:tcPr>
            <w:tcW w:type="dxa" w:w="2160"/>
          </w:tcPr>
          <w:p>
            <w:r/>
            <w:r>
              <w:rPr>
                <w:rFonts w:ascii="Times New Roman" w:hAnsi="Times New Roman"/>
                <w:b w:val="0"/>
                <w:i w:val="0"/>
                <w:sz w:val="18"/>
              </w:rPr>
              <w:t>54,319 sessions</w:t>
            </w:r>
          </w:p>
        </w:tc>
        <w:tc>
          <w:tcPr>
            <w:tcW w:type="dxa" w:w="2160"/>
          </w:tcPr>
          <w:p>
            <w:r/>
            <w:r>
              <w:rPr>
                <w:rFonts w:ascii="Times New Roman" w:hAnsi="Times New Roman"/>
                <w:b w:val="0"/>
                <w:i w:val="0"/>
                <w:sz w:val="18"/>
              </w:rPr>
              <w:t>filename, acq_time</w:t>
            </w:r>
          </w:p>
        </w:tc>
        <w:tc>
          <w:tcPr>
            <w:tcW w:type="dxa" w:w="2160"/>
          </w:tcPr>
          <w:p>
            <w:r/>
            <w:r>
              <w:rPr>
                <w:rFonts w:ascii="Times New Roman" w:hAnsi="Times New Roman"/>
                <w:b w:val="0"/>
                <w:i w:val="0"/>
                <w:sz w:val="18"/>
              </w:rPr>
              <w:t>Relative path of the EDF file and its date-shifted acquisition start (ISO 8601)</w:t>
            </w:r>
          </w:p>
        </w:tc>
      </w:tr>
      <w:tr>
        <w:tc>
          <w:tcPr>
            <w:tcW w:type="dxa" w:w="2160"/>
          </w:tcPr>
          <w:p>
            <w:r/>
            <w:r>
              <w:rPr>
                <w:rFonts w:ascii="Times New Roman" w:hAnsi="Times New Roman"/>
                <w:b w:val="0"/>
                <w:i w:val="0"/>
                <w:sz w:val="18"/>
              </w:rPr>
              <w:t>*_task-EEG_eeg.edf</w:t>
            </w:r>
          </w:p>
        </w:tc>
        <w:tc>
          <w:tcPr>
            <w:tcW w:type="dxa" w:w="2160"/>
          </w:tcPr>
          <w:p>
            <w:r/>
            <w:r>
              <w:rPr>
                <w:rFonts w:ascii="Times New Roman" w:hAnsi="Times New Roman"/>
                <w:b w:val="0"/>
                <w:i w:val="0"/>
                <w:sz w:val="18"/>
              </w:rPr>
              <w:t>23,600 with signal; 30,719 header-only</w:t>
            </w:r>
          </w:p>
        </w:tc>
        <w:tc>
          <w:tcPr>
            <w:tcW w:type="dxa" w:w="2160"/>
          </w:tcPr>
          <w:p>
            <w:r/>
            <w:r>
              <w:rPr>
                <w:rFonts w:ascii="Times New Roman" w:hAnsi="Times New Roman"/>
                <w:b w:val="0"/>
                <w:i w:val="0"/>
                <w:sz w:val="18"/>
              </w:rPr>
              <w:t>EDF+C</w:t>
            </w:r>
          </w:p>
        </w:tc>
        <w:tc>
          <w:tcPr>
            <w:tcW w:type="dxa" w:w="2160"/>
          </w:tcPr>
          <w:p>
            <w:r/>
            <w:r>
              <w:rPr>
                <w:rFonts w:ascii="Times New Roman" w:hAnsi="Times New Roman"/>
                <w:b w:val="0"/>
                <w:i w:val="0"/>
                <w:sz w:val="18"/>
              </w:rPr>
              <w:t>De-identified recording; header patient field X X X X</w:t>
            </w:r>
          </w:p>
        </w:tc>
      </w:tr>
      <w:tr>
        <w:tc>
          <w:tcPr>
            <w:tcW w:type="dxa" w:w="2160"/>
          </w:tcPr>
          <w:p>
            <w:r/>
            <w:r>
              <w:rPr>
                <w:rFonts w:ascii="Times New Roman" w:hAnsi="Times New Roman"/>
                <w:b w:val="0"/>
                <w:i w:val="0"/>
                <w:sz w:val="18"/>
              </w:rPr>
              <w:t>*_task-EEG_eeg.json</w:t>
            </w:r>
          </w:p>
        </w:tc>
        <w:tc>
          <w:tcPr>
            <w:tcW w:type="dxa" w:w="2160"/>
          </w:tcPr>
          <w:p>
            <w:r/>
            <w:r>
              <w:rPr>
                <w:rFonts w:ascii="Times New Roman" w:hAnsi="Times New Roman"/>
                <w:b w:val="0"/>
                <w:i w:val="0"/>
                <w:sz w:val="18"/>
              </w:rPr>
              <w:t>1 per session</w:t>
            </w:r>
          </w:p>
        </w:tc>
        <w:tc>
          <w:tcPr>
            <w:tcW w:type="dxa" w:w="2160"/>
          </w:tcPr>
          <w:p>
            <w:r/>
            <w:r>
              <w:rPr>
                <w:rFonts w:ascii="Times New Roman" w:hAnsi="Times New Roman"/>
                <w:b w:val="0"/>
                <w:i w:val="0"/>
                <w:sz w:val="18"/>
              </w:rPr>
              <w:t>TaskName, Manufacturer, PowerLineFrequency, SamplingFrequency, SoftwareFilters, RecordingDuration, RecordingType, EEGReference, EEGGround, EEGPlacementScheme, EEGChannelCount, EOGChannelCount, ECGChannelCount, EMGChannelCount, MiscChannelCount, TriggerChannelCount</w:t>
            </w:r>
          </w:p>
        </w:tc>
        <w:tc>
          <w:tcPr>
            <w:tcW w:type="dxa" w:w="2160"/>
          </w:tcPr>
          <w:p>
            <w:r/>
            <w:r>
              <w:rPr>
                <w:rFonts w:ascii="Times New Roman" w:hAnsi="Times New Roman"/>
                <w:b w:val="0"/>
                <w:i w:val="0"/>
                <w:sz w:val="18"/>
              </w:rPr>
              <w:t>BIDS EEG sidecar. RecordingDuration in seconds (0 for header-only stubs); PowerLineFrequency 60 Hz; EEGPlacementScheme 10-20</w:t>
            </w:r>
          </w:p>
        </w:tc>
      </w:tr>
      <w:tr>
        <w:tc>
          <w:tcPr>
            <w:tcW w:type="dxa" w:w="2160"/>
          </w:tcPr>
          <w:p>
            <w:r/>
            <w:r>
              <w:rPr>
                <w:rFonts w:ascii="Times New Roman" w:hAnsi="Times New Roman"/>
                <w:b w:val="0"/>
                <w:i w:val="0"/>
                <w:sz w:val="18"/>
              </w:rPr>
              <w:t>*_task-EEG_channels.tsv</w:t>
            </w:r>
          </w:p>
        </w:tc>
        <w:tc>
          <w:tcPr>
            <w:tcW w:type="dxa" w:w="2160"/>
          </w:tcPr>
          <w:p>
            <w:r/>
            <w:r>
              <w:rPr>
                <w:rFonts w:ascii="Times New Roman" w:hAnsi="Times New Roman"/>
                <w:b w:val="0"/>
                <w:i w:val="0"/>
                <w:sz w:val="18"/>
              </w:rPr>
              <w:t>1 per session</w:t>
            </w:r>
          </w:p>
        </w:tc>
        <w:tc>
          <w:tcPr>
            <w:tcW w:type="dxa" w:w="2160"/>
          </w:tcPr>
          <w:p>
            <w:r/>
            <w:r>
              <w:rPr>
                <w:rFonts w:ascii="Times New Roman" w:hAnsi="Times New Roman"/>
                <w:b w:val="0"/>
                <w:i w:val="0"/>
                <w:sz w:val="18"/>
              </w:rPr>
              <w:t>name, type, units, low_cutoff, high_cutoff, description, sampling_frequency, status, status_description</w:t>
            </w:r>
          </w:p>
        </w:tc>
        <w:tc>
          <w:tcPr>
            <w:tcW w:type="dxa" w:w="2160"/>
          </w:tcPr>
          <w:p>
            <w:r/>
            <w:r>
              <w:rPr>
                <w:rFonts w:ascii="Times New Roman" w:hAnsi="Times New Roman"/>
                <w:b w:val="0"/>
                <w:i w:val="0"/>
                <w:sz w:val="18"/>
              </w:rPr>
              <w:t>One row per channel. type: EEG, ECG, or MISC. units: uV. Cutoffs in Hz. status is good for all channels (no per-channel quality assessment was performed)</w:t>
            </w:r>
          </w:p>
        </w:tc>
      </w:tr>
      <w:tr>
        <w:tc>
          <w:tcPr>
            <w:tcW w:type="dxa" w:w="2160"/>
          </w:tcPr>
          <w:p>
            <w:r/>
            <w:r>
              <w:rPr>
                <w:rFonts w:ascii="Times New Roman" w:hAnsi="Times New Roman"/>
                <w:b w:val="0"/>
                <w:i w:val="0"/>
                <w:sz w:val="18"/>
              </w:rPr>
              <w:t>*_task-EEG_Xltek.csv</w:t>
            </w:r>
          </w:p>
        </w:tc>
        <w:tc>
          <w:tcPr>
            <w:tcW w:type="dxa" w:w="2160"/>
          </w:tcPr>
          <w:p>
            <w:r/>
            <w:r>
              <w:rPr>
                <w:rFonts w:ascii="Times New Roman" w:hAnsi="Times New Roman"/>
                <w:b w:val="0"/>
                <w:i w:val="0"/>
                <w:sz w:val="18"/>
              </w:rPr>
              <w:t>14,491 sessions</w:t>
            </w:r>
          </w:p>
        </w:tc>
        <w:tc>
          <w:tcPr>
            <w:tcW w:type="dxa" w:w="2160"/>
          </w:tcPr>
          <w:p>
            <w:r/>
            <w:r>
              <w:rPr>
                <w:rFonts w:ascii="Times New Roman" w:hAnsi="Times New Roman"/>
                <w:b w:val="0"/>
                <w:i w:val="0"/>
                <w:sz w:val="18"/>
              </w:rPr>
              <w:t>Text, CreationTime</w:t>
            </w:r>
          </w:p>
        </w:tc>
        <w:tc>
          <w:tcPr>
            <w:tcW w:type="dxa" w:w="2160"/>
          </w:tcPr>
          <w:p>
            <w:r/>
            <w:r>
              <w:rPr>
                <w:rFonts w:ascii="Times New Roman" w:hAnsi="Times New Roman"/>
                <w:b w:val="0"/>
                <w:i w:val="0"/>
                <w:sz w:val="18"/>
              </w:rPr>
              <w:t>One row per annotation. Text: annotation string as entered in the clinical workflow (names scrubbed). CreationTime: date-shifted absolute timestamp (ISO 8601)</w:t>
            </w:r>
          </w:p>
        </w:tc>
      </w:tr>
    </w:tbl>
    <w:p/>
    <w:p>
      <w:pPr>
        <w:pStyle w:val="Heading1"/>
      </w:pPr>
      <w:r>
        <w:rPr>
          <w:rFonts w:ascii="Times New Roman" w:hAnsi="Times New Roman"/>
          <w:b/>
          <w:i w:val="0"/>
          <w:sz w:val="28"/>
        </w:rPr>
        <w:t>Data Overview</w:t>
      </w:r>
    </w:p>
    <w:p>
      <w:r>
        <w:rPr>
          <w:rFonts w:ascii="Times New Roman" w:hAnsi="Times New Roman"/>
          <w:b w:val="0"/>
          <w:i w:val="0"/>
          <w:sz w:val="22"/>
        </w:rPr>
        <w:t>Table 3 and Figure 3 summarize the contents of the release. Of the 23,600 signal-bearing EDF segments, 36% are under one hour, 53% are between 1 and 24 hours, and 11% exceed 24 hours (Figure 3a); the segments correspond to approximately one multi-day ambulatory study per patient. Technologist clips (53,280) and spike markers (51,546) are the most frequent annotation categories, followed by free-text observations, sharp waves (21,290), slowing (19,364), activation procedures (11,688), and seizure markers (6,956) (Figure 3b); 14,491 segments (61%) carry at least one annotation, with a median of 8 annotations per annotated segment (interquartile range 3 to 19). Epilepsy (ICD-10 G40) accounts for 54% of referral codes, followed by convulsions (R56, 13%) and abnormal movements (R25, 5%) (Figure 3c). Age at first EEG spans infancy to old age with a median of 27 years and a bimodal distribution reflecting pediatric and adult referrals (Figure 3d). Among 10,726 technologist reports, 34% were read as abnormal, interictal epileptiform discharges were documented in 6,345 and electrographic seizures in 2,379; the posterior dominant rhythm frequency peaks at 9 to 10 Hz (Figure 3e), and generalized spike and spike-and-wave patterns are the most common epileptiform morphologies (Figure 3f). Every value in this section is regenerated from the released data by the code described in Code Availability.</w:t>
      </w:r>
    </w:p>
    <w:p>
      <w:pPr>
        <w:spacing w:after="120"/>
      </w:pPr>
      <w:r>
        <w:rPr>
          <w:rFonts w:ascii="Times New Roman" w:hAnsi="Times New Roman"/>
          <w:b/>
          <w:i w:val="0"/>
          <w:sz w:val="22"/>
        </w:rPr>
        <w:t>Table 3. Patient and study characteristics.</w:t>
      </w:r>
      <w:r>
        <w:rPr>
          <w:rFonts w:ascii="Times New Roman" w:hAnsi="Times New Roman"/>
          <w:b w:val="0"/>
          <w:i w:val="0"/>
          <w:sz w:val="22"/>
        </w:rPr>
        <w:t xml:space="preserve"> Clinical metadata were extracted from technologist scan reports and referring physician documentation for the patients with available clinical records (4,812 of 4,912). Age and sex were extractable for 2,915 and 3,005 patients respectively. EEG findings are from technologist scan reports (10,726 studies). Recording statistics are from the full BIDS release. IQR, interquartile range.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p>
        </w:tc>
        <w:tc>
          <w:tcPr>
            <w:tcW w:type="dxa" w:w="2880"/>
          </w:tcPr>
          <w:p>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4,912</w:t>
            </w:r>
          </w:p>
        </w:tc>
        <w:tc>
          <w:tcPr>
            <w:tcW w:type="dxa" w:w="2880"/>
          </w:tcPr>
          <w:p>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 to 48.2)</w:t>
            </w:r>
          </w:p>
        </w:tc>
        <w:tc>
          <w:tcPr>
            <w:tcW w:type="dxa" w:w="2880"/>
          </w:tcPr>
          <w:p>
            <w:r/>
            <w:r>
              <w:rPr>
                <w:rFonts w:ascii="Times New Roman" w:hAnsi="Times New Roman"/>
                <w:b w:val="0"/>
                <w:i w:val="0"/>
                <w:sz w:val="18"/>
              </w:rPr>
              <w:t>n = 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i w:val="0"/>
                <w:sz w:val="18"/>
              </w:rPr>
              <w:t>Referral indications (ICD-10)</w:t>
            </w:r>
          </w:p>
        </w:tc>
        <w:tc>
          <w:tcPr>
            <w:tcW w:type="dxa" w:w="2880"/>
          </w:tcPr>
          <w:p>
            <w:r/>
          </w:p>
        </w:tc>
        <w:tc>
          <w:tcPr>
            <w:tcW w:type="dxa" w:w="2880"/>
          </w:tcPr>
          <w:p>
            <w:r/>
            <w:r>
              <w:rPr>
                <w:rFonts w:ascii="Times New Roman" w:hAnsi="Times New Roman"/>
                <w:b w:val="0"/>
                <w:i w:val="0"/>
                <w:sz w:val="18"/>
              </w:rPr>
              <w:t>n = 13,049 codes recorded across intake documents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p>
        </w:tc>
        <w:tc>
          <w:tcPr>
            <w:tcW w:type="dxa" w:w="2880"/>
          </w:tcPr>
          <w:p>
            <w:r/>
          </w:p>
        </w:tc>
      </w:tr>
      <w:tr>
        <w:tc>
          <w:tcPr>
            <w:tcW w:type="dxa" w:w="2880"/>
          </w:tcPr>
          <w:p>
            <w:r/>
            <w:r>
              <w:rPr>
                <w:rFonts w:ascii="Times New Roman" w:hAnsi="Times New Roman"/>
                <w:b w:val="0"/>
                <w:i w:val="0"/>
                <w:sz w:val="18"/>
              </w:rPr>
              <w:t>EDF segments with signal data</w:t>
            </w:r>
          </w:p>
        </w:tc>
        <w:tc>
          <w:tcPr>
            <w:tcW w:type="dxa" w:w="2880"/>
          </w:tcPr>
          <w:p>
            <w:r/>
            <w:r>
              <w:rPr>
                <w:rFonts w:ascii="Times New Roman" w:hAnsi="Times New Roman"/>
                <w:b w:val="0"/>
                <w:i w:val="0"/>
                <w:sz w:val="18"/>
              </w:rPr>
              <w:t>23,600</w:t>
            </w:r>
          </w:p>
        </w:tc>
        <w:tc>
          <w:tcPr>
            <w:tcW w:type="dxa" w:w="2880"/>
          </w:tcPr>
          <w:p>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212,133</w:t>
            </w:r>
          </w:p>
        </w:tc>
        <w:tc>
          <w:tcPr>
            <w:tcW w:type="dxa" w:w="2880"/>
          </w:tcPr>
          <w:p>
            <w:r/>
          </w:p>
        </w:tc>
      </w:tr>
      <w:tr>
        <w:tc>
          <w:tcPr>
            <w:tcW w:type="dxa" w:w="2880"/>
          </w:tcPr>
          <w:p>
            <w:r/>
            <w:r>
              <w:rPr>
                <w:rFonts w:ascii="Times New Roman" w:hAnsi="Times New Roman"/>
                <w:b w:val="0"/>
                <w:i w:val="0"/>
                <w:sz w:val="18"/>
              </w:rPr>
              <w:t>Segment duration, median (IQR)</w:t>
            </w:r>
          </w:p>
        </w:tc>
        <w:tc>
          <w:tcPr>
            <w:tcW w:type="dxa" w:w="2880"/>
          </w:tcPr>
          <w:p>
            <w:r/>
            <w:r>
              <w:rPr>
                <w:rFonts w:ascii="Times New Roman" w:hAnsi="Times New Roman"/>
                <w:b w:val="0"/>
                <w:i w:val="0"/>
                <w:sz w:val="18"/>
              </w:rPr>
              <w:t>3.0 (0.3 to 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Segments per patient, median (IQR)</w:t>
            </w:r>
          </w:p>
        </w:tc>
        <w:tc>
          <w:tcPr>
            <w:tcW w:type="dxa" w:w="2880"/>
          </w:tcPr>
          <w:p>
            <w:r/>
            <w:r>
              <w:rPr>
                <w:rFonts w:ascii="Times New Roman" w:hAnsi="Times New Roman"/>
                <w:b w:val="0"/>
                <w:i w:val="0"/>
                <w:sz w:val="18"/>
              </w:rPr>
              <w:t>3.0 (1.0 to 6.0)</w:t>
            </w:r>
          </w:p>
        </w:tc>
        <w:tc>
          <w:tcPr>
            <w:tcW w:type="dxa" w:w="2880"/>
          </w:tcPr>
          <w:p>
            <w:r/>
          </w:p>
        </w:tc>
      </w:tr>
      <w:tr>
        <w:tc>
          <w:tcPr>
            <w:tcW w:type="dxa" w:w="2880"/>
          </w:tcPr>
          <w:p>
            <w:r/>
            <w:r>
              <w:rPr>
                <w:rFonts w:ascii="Times New Roman" w:hAnsi="Times New Roman"/>
                <w:b w:val="0"/>
                <w:i w:val="0"/>
                <w:sz w:val="18"/>
              </w:rPr>
              <w:t>Patients with multiple segments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Segments with annotation files</w:t>
            </w:r>
          </w:p>
        </w:tc>
        <w:tc>
          <w:tcPr>
            <w:tcW w:type="dxa" w:w="2880"/>
          </w:tcPr>
          <w:p>
            <w:r/>
            <w:r>
              <w:rPr>
                <w:rFonts w:ascii="Times New Roman" w:hAnsi="Times New Roman"/>
                <w:b w:val="0"/>
                <w:i w:val="0"/>
                <w:sz w:val="18"/>
              </w:rPr>
              <w:t>14,491</w:t>
            </w:r>
          </w:p>
        </w:tc>
        <w:tc>
          <w:tcPr>
            <w:tcW w:type="dxa" w:w="2880"/>
          </w:tcPr>
          <w:p>
            <w:r/>
            <w:r>
              <w:rPr>
                <w:rFonts w:ascii="Times New Roman" w:hAnsi="Times New Roman"/>
                <w:b w:val="0"/>
                <w:i w:val="0"/>
                <w:sz w:val="18"/>
              </w:rPr>
              <w:t>(61%)</w:t>
            </w:r>
          </w:p>
        </w:tc>
      </w:tr>
      <w:tr>
        <w:tc>
          <w:tcPr>
            <w:tcW w:type="dxa" w:w="2880"/>
          </w:tcPr>
          <w:p>
            <w:r/>
            <w:r>
              <w:rPr>
                <w:rFonts w:ascii="Times New Roman" w:hAnsi="Times New Roman"/>
                <w:b w:val="0"/>
                <w:i w:val="0"/>
                <w:sz w:val="18"/>
              </w:rPr>
              <w:t>Annotations, total</w:t>
            </w:r>
          </w:p>
        </w:tc>
        <w:tc>
          <w:tcPr>
            <w:tcW w:type="dxa" w:w="2880"/>
          </w:tcPr>
          <w:p>
            <w:r/>
            <w:r>
              <w:rPr>
                <w:rFonts w:ascii="Times New Roman" w:hAnsi="Times New Roman"/>
                <w:b w:val="0"/>
                <w:i w:val="0"/>
                <w:sz w:val="18"/>
              </w:rPr>
              <w:t>225,957</w:t>
            </w:r>
          </w:p>
        </w:tc>
        <w:tc>
          <w:tcPr>
            <w:tcW w:type="dxa" w:w="2880"/>
          </w:tcPr>
          <w:p>
            <w:r/>
          </w:p>
        </w:tc>
      </w:tr>
      <w:tr>
        <w:tc>
          <w:tcPr>
            <w:tcW w:type="dxa" w:w="2880"/>
          </w:tcPr>
          <w:p>
            <w:r/>
            <w:r>
              <w:rPr>
                <w:rFonts w:ascii="Times New Roman" w:hAnsi="Times New Roman"/>
                <w:b/>
                <w:i w:val="0"/>
                <w:sz w:val="18"/>
              </w:rPr>
              <w:t>EEG findings (technologist reports)</w:t>
            </w:r>
          </w:p>
        </w:tc>
        <w:tc>
          <w:tcPr>
            <w:tcW w:type="dxa" w:w="2880"/>
          </w:tcPr>
          <w:p>
            <w:r/>
          </w:p>
        </w:tc>
        <w:tc>
          <w:tcPr>
            <w:tcW w:type="dxa" w:w="2880"/>
          </w:tcPr>
          <w:p>
            <w:r/>
            <w:r>
              <w:rPr>
                <w:rFonts w:ascii="Times New Roman" w:hAnsi="Times New Roman"/>
                <w:b w:val="0"/>
                <w:i w:val="0"/>
                <w:sz w:val="18"/>
              </w:rPr>
              <w:t>n = 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(22%)</w:t>
            </w:r>
          </w:p>
        </w:tc>
      </w:tr>
    </w:tbl>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format compliance</w:t>
      </w:r>
    </w:p>
    <w:p>
      <w:r>
        <w:rPr>
          <w:rFonts w:ascii="Times New Roman" w:hAnsi="Times New Roman"/>
          <w:b w:val="0"/>
          <w:i w:val="0"/>
          <w:sz w:val="22"/>
        </w:rPr>
        <w:t>All 23,600 signal-bearing EEG recordings were validated for EDF format compliance during BIDS conversion, and every session directory was generated with its sidecar, channels table, and scans table by the same conversion script. Channel configuration is consistent across recordings, with all signal-bearing files containing 22 to 30 channels at 256 Hz (median 28 channels). The 30,719 header-only stubs were verified to contain zero data records and are documented in Data Records. Signal quality metrics beyond format compliance (for example impedance values or artifact rates) are not reported; users should apply quality control appropriate to their use case. Figure 4 shows representative traces from one released recording, illustrating normal background activity and an interictal spike with its accompanying technologist annotation.</w:t>
      </w:r>
    </w:p>
    <w:p>
      <w:pPr>
        <w:pStyle w:val="Heading2"/>
      </w:pPr>
      <w:r>
        <w:rPr>
          <w:rFonts w:ascii="Times New Roman" w:hAnsi="Times New Roman"/>
          <w:b/>
          <w:i w:val="0"/>
          <w:sz w:val="24"/>
        </w:rPr>
        <w:t>Annotation completeness</w:t>
      </w:r>
    </w:p>
    <w:p>
      <w:r>
        <w:rPr>
          <w:rFonts w:ascii="Times New Roman" w:hAnsi="Times New Roman"/>
          <w:b w:val="0"/>
          <w:i w:val="0"/>
          <w:sz w:val="22"/>
        </w:rPr>
        <w:t>Of the 23,600 signal-bearing recordings, 14,491 (61%) have at least one technologist annotation file, and nearly all patients have at least one annotated recording. Annotation density varies widely: the median annotated recording contains 8 annotations (interquartile range 3 to 19), corresponding to 1.08 annotations per hour (interquartile range 0.46 to 2.90), with routine EEGs typically showing higher per-hour density and prolonged studies more total events (Figure 3b).</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ind w:left="432" w:hanging="432"/>
      </w:pPr>
      <w:r>
        <w:rPr>
          <w:rFonts w:ascii="Times New Roman" w:hAnsi="Times New Roman"/>
          <w:b w:val="0"/>
          <w:i w:val="0"/>
          <w:sz w:val="22"/>
        </w:rPr>
        <w:t xml:space="preserve">1. </w:t>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and the recording identification field only the shifted start date, with no residual patient names, identifiers, technologist or equipment identifiers, or unshifted dates (Figure 2).</w:t>
      </w:r>
    </w:p>
    <w:p>
      <w:pPr>
        <w:ind w:left="432" w:hanging="432"/>
      </w:pPr>
      <w:r>
        <w:rPr>
          <w:rFonts w:ascii="Times New Roman" w:hAnsi="Times New Roman"/>
          <w:b w:val="0"/>
          <w:i w:val="0"/>
          <w:sz w:val="22"/>
        </w:rPr>
        <w:t xml:space="preserve">2. </w:t>
      </w:r>
      <w:r>
        <w:rPr>
          <w:rFonts w:ascii="Times New Roman" w:hAnsi="Times New Roman"/>
          <w:b/>
          <w:i w:val="0"/>
          <w:sz w:val="22"/>
        </w:rPr>
        <w:t>Annotation text</w:t>
      </w:r>
      <w:r>
        <w:rPr>
          <w:rFonts w:ascii="Times New Roman" w:hAnsi="Times New Roman"/>
          <w:b w:val="0"/>
          <w:i w:val="0"/>
          <w:sz w:val="22"/>
        </w:rPr>
        <w:t>: we scanned all 225,957 annotation text entries from the source data for potential PHI. Pattern matching identified annotations containing embedded dates (all shifted in the output) and annotations containing patient first or last names (all replaced with [NAME] in the output). No medical record numbers, phone numbers, or other identifiers were detected in the released data.</w:t>
      </w:r>
    </w:p>
    <w:p>
      <w:pPr>
        <w:ind w:left="432" w:hanging="432"/>
      </w:pPr>
      <w:r>
        <w:rPr>
          <w:rFonts w:ascii="Times New Roman" w:hAnsi="Times New Roman"/>
          <w:b w:val="0"/>
          <w:i w:val="0"/>
          <w:sz w:val="22"/>
        </w:rPr>
        <w:t xml:space="preserve">3. </w:t>
      </w:r>
      <w:r>
        <w:rPr>
          <w:rFonts w:ascii="Times New Roman" w:hAnsi="Times New Roman"/>
          <w:b/>
          <w:i w:val="0"/>
          <w:sz w:val="22"/>
        </w:rPr>
        <w:t>Clinical metadata</w:t>
      </w:r>
      <w:r>
        <w:rPr>
          <w:rFonts w:ascii="Times New Roman" w:hAnsi="Times New Roman"/>
          <w:b w:val="0"/>
          <w:i w:val="0"/>
          <w:sz w:val="22"/>
        </w:rPr>
        <w:t>: de-identified fields underwent automated screening for residual Last, First name patterns, untranslated dates, phone-number-like patterns, and street-address patterns. All extracted dates were shifted using each patient's assigned offset, the same offset applied to that patient's EEG recording dates and annotation timestamps; only date-free patient-level aggregates are released. Patients whose name match to the linking table fell below high or medium confidence (29 of 7,364 clinical record folders) were excluded from the release.</w:t>
      </w:r>
    </w:p>
    <w:p>
      <w:pPr>
        <w:ind w:left="432" w:hanging="432"/>
      </w:pPr>
      <w:r>
        <w:rPr>
          <w:rFonts w:ascii="Times New Roman" w:hAnsi="Times New Roman"/>
          <w:b w:val="0"/>
          <w:i w:val="0"/>
          <w:sz w:val="22"/>
        </w:rPr>
        <w:t xml:space="preserve">4. </w:t>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pPr>
        <w:pStyle w:val="Heading2"/>
      </w:pPr>
      <w:r>
        <w:rPr>
          <w:rFonts w:ascii="Times New Roman" w:hAnsi="Times New Roman"/>
          <w:b/>
          <w:i w:val="0"/>
          <w:sz w:val="24"/>
        </w:rPr>
        <w:t>Clinical metadata extraction accuracy</w:t>
      </w:r>
    </w:p>
    <w:p>
      <w:r>
        <w:rPr>
          <w:rFonts w:ascii="Times New Roman" w:hAnsi="Times New Roman"/>
          <w:b w:val="0"/>
          <w:i w:val="0"/>
          <w:sz w:val="22"/>
        </w:rPr>
        <w:t>Manual review of 30 randomly sampled patient records compared every extracted field against the source documents and found no fabricated values. Cross-checking medication names and diagnosis codes against the source text confirmed accurate extraction in 94% of cases, with the remainder attributable to OCR-related spelling variation in the source. The distribution of extracted posterior dominant rhythm frequencies peaks at 9 to 10 Hz with 85% of values in the 8 to 13 Hz range (Figure 3e), consistent with the expected physiological distribution and providing an independent check on the extraction pipeline.</w:t>
      </w:r>
    </w:p>
    <w:p>
      <w:pPr>
        <w:pStyle w:val="Heading1"/>
      </w:pPr>
      <w:r>
        <w:rPr>
          <w:rFonts w:ascii="Times New Roman" w:hAnsi="Times New Roman"/>
          <w:b/>
          <w:i w:val="0"/>
          <w:sz w:val="28"/>
        </w:rPr>
        <w:t>Usage Notes</w:t>
      </w:r>
    </w:p>
    <w:p>
      <w:pPr>
        <w:pStyle w:val="Heading2"/>
      </w:pPr>
      <w:r>
        <w:rPr>
          <w:rFonts w:ascii="Times New Roman" w:hAnsi="Times New Roman"/>
          <w:b/>
          <w:i w:val="0"/>
          <w:sz w:val="24"/>
        </w:rPr>
        <w:t>Access procedure</w:t>
      </w:r>
    </w:p>
    <w:p>
      <w:r>
        <w:rPr>
          <w:rFonts w:ascii="Times New Roman" w:hAnsi="Times New Roman"/>
          <w:b w:val="0"/>
          <w:i w:val="0"/>
          <w:sz w:val="22"/>
        </w:rPr>
        <w:t xml:space="preserve">The dataset is distributed under controlled access because it contains patient-level health information (diagnoses, medications, EEG findings) together with age and sex, which under the applicable regulations requires safeguards against re-identification. Users register at </w:t>
      </w:r>
      <w:hyperlink r:id="rId10">
        <w:r>
          <w:rPr>
            <w:rFonts w:ascii="Times New Roman" w:hAnsi="Times New Roman"/>
            <w:sz w:val="22"/>
            <w:color w:val="0563C1"/>
            <w:u w:val="single"/>
          </w:rPr>
          <w:t xml:space="preserve">https://bdsp.io</w:t>
        </w:r>
      </w:hyperlink>
      <w:r>
        <w:rPr>
          <w:rFonts w:ascii="Times New Roman" w:hAnsi="Times New Roman"/>
          <w:b w:val="0"/>
          <w:i w:val="0"/>
          <w:sz w:val="22"/>
        </w:rPr>
        <w:t xml:space="preserve"> with their name, institution, and email address, complete BDSP credentialing, and sign the BDSP data use agreement, which prohibits attempts at re-identification and redistribution of the data. Credentialed users then receive access credentials for direct download from the storage location given in Data Records. The text of the data use agreement is publicly viewable at </w:t>
      </w:r>
      <w:hyperlink r:id="rId11">
        <w:r>
          <w:rPr>
            <w:rFonts w:ascii="Times New Roman" w:hAnsi="Times New Roman"/>
            <w:sz w:val="22"/>
            <w:color w:val="0563C1"/>
            <w:u w:val="single"/>
          </w:rPr>
          <w:t xml:space="preserve">https://bdsp.io/content/nf89816gtxbon11kbr9a/view-dua/1.0/</w:t>
        </w:r>
      </w:hyperlink>
      <w:r>
        <w:rPr>
          <w:rFonts w:ascii="Times New Roman" w:hAnsi="Times New Roman"/>
          <w:b w:val="0"/>
          <w:i w:val="0"/>
          <w:sz w:val="22"/>
        </w:rPr>
        <w:t xml:space="preserve"> and the dataset license at </w:t>
      </w:r>
      <w:hyperlink r:id="rId12">
        <w:r>
          <w:rPr>
            <w:rFonts w:ascii="Times New Roman" w:hAnsi="Times New Roman"/>
            <w:sz w:val="22"/>
            <w:color w:val="0563C1"/>
            <w:u w:val="single"/>
          </w:rPr>
          <w:t xml:space="preserve">https://bdsp.io/content/nf89816gtxbon11kbr9a/view-license/1.0/</w:t>
        </w:r>
      </w:hyperlink>
      <w:r>
        <w:rPr>
          <w:rFonts w:ascii="Times New Roman" w:hAnsi="Times New Roman"/>
          <w:b w:val="0"/>
          <w:i w:val="0"/>
          <w:sz w:val="22"/>
        </w:rPr>
        <w:t>.</w:t>
      </w:r>
    </w:p>
    <w:p>
      <w:pPr>
        <w:pStyle w:val="Heading2"/>
      </w:pPr>
      <w:r>
        <w:rPr>
          <w:rFonts w:ascii="Times New Roman" w:hAnsi="Times New Roman"/>
          <w:b/>
          <w:i w:val="0"/>
          <w:sz w:val="24"/>
        </w:rPr>
        <w:t>Reading the data</w:t>
      </w:r>
    </w:p>
    <w:p>
      <w:r>
        <w:rPr>
          <w:rFonts w:ascii="Times New Roman" w:hAnsi="Times New Roman"/>
          <w:b w:val="0"/>
          <w:i w:val="0"/>
          <w:sz w:val="22"/>
        </w:rPr>
        <w:t>The release conforms to BIDS-EEG and can be read with standard tools including MNE-Python, MNE-BIDS, pyedflib, and edfio. Because each EDF segment is a separate BIDS session, users reconstructing complete clinical studies should group sessions by patient and by the date-shifted acquisition time in scans.tsv; segments from the same study share the same date-shift offset, so their relative timing is preserved. Header-only stubs (zero data records; RecordingDuration of 0 in the sidecar) should be excluded from signal-level analyses. Annotation timestamps in CreationTime are absolute, date-shifted times on the same clock as the EDF start time, so the offset of an annotation within a recording is the difference between CreationTime and the EDF start time. The Manufacturer field of the JSON sidecars identifies the acquisition hardware as Lifelines or EMS ambulatory equipment; per-recording attribution to one of the two systems is not available in the release.</w:t>
      </w:r>
    </w:p>
    <w:p>
      <w:pPr>
        <w:pStyle w:val="Heading2"/>
      </w:pPr>
      <w:r>
        <w:rPr>
          <w:rFonts w:ascii="Times New Roman" w:hAnsi="Times New Roman"/>
          <w:b/>
          <w:i w:val="0"/>
          <w:sz w:val="24"/>
        </w:rPr>
        <w:t>Intended uses and limitations</w:t>
      </w:r>
    </w:p>
    <w:p>
      <w:r>
        <w:rPr>
          <w:rFonts w:ascii="Times New Roman" w:hAnsi="Times New Roman"/>
          <w:b w:val="0"/>
          <w:i w:val="0"/>
          <w:sz w:val="22"/>
        </w:rPr>
        <w:t>The annotations provide pre-existing labels for spike and seizure detection (51,546 spike markers and 6,956 seizure markers across 14,491 annotated segments), and the mix of routine and multi-day home recordings supports evaluation of algorithms across recording settings. The unselected cohort and linked clinical metadata support studies of EEG finding prevalence and of annotation practice in clinical workflow. Users should note the following limitations. First, all recordings originate from a single service provider using one hardware and acquisition workflow; although studies were acquired in many settings and geographically distributed sites, generalization to other providers and platforms requires caution. Second, annotations are clinical workflow annotations placed by technologists during routine practice, not multi-expert research labels, and may include unconfirmed automated detections; they should not be treated as ground truth without independent validation. Third, clinical metadata were extracted from scanned documentation with OCR, regex parsing, and a large language model, and coverage varies by field: age is available for 59% of patients, sex for 61%, referral diagnosis codes for 63%, and anti-seizure medication data for 32%; fields extracted from handwritten forms have lower accuracy than those from typed notes. Fourth, annotation coverage is heterogeneous: 61% of signal-bearing segments have annotation files. Fifth, the release contains 30,719 header-only stubs alongside the 23,600 signal-bearing recordings, as described above. Sixth, name-based linkage between clinical records and de-identified subject identifiers excluded 0.04% of clinical record folders whose names differed substantially between source systems.</w:t>
      </w:r>
    </w:p>
    <w:p>
      <w:pPr>
        <w:pStyle w:val="Heading1"/>
      </w:pPr>
      <w:r>
        <w:rPr>
          <w:rFonts w:ascii="Times New Roman" w:hAnsi="Times New Roman"/>
          <w:b/>
          <w:i w:val="0"/>
          <w:sz w:val="28"/>
        </w:rPr>
        <w:t>Data Availability</w:t>
      </w:r>
    </w:p>
    <w:p>
      <w:r>
        <w:rPr>
          <w:rFonts w:ascii="Times New Roman" w:hAnsi="Times New Roman"/>
          <w:b w:val="0"/>
          <w:i w:val="0"/>
          <w:sz w:val="22"/>
        </w:rPr>
        <w:t>The Neurotech EEG Dataset</w:t>
      </w:r>
      <w:r>
        <w:rPr>
          <w:rFonts w:ascii="Times New Roman" w:hAnsi="Times New Roman"/>
          <w:b w:val="0"/>
          <w:i w:val="0"/>
          <w:sz w:val="22"/>
          <w:vertAlign w:val="superscript"/>
        </w:rPr>
        <w:t>13</w:t>
      </w:r>
      <w:r>
        <w:rPr>
          <w:rFonts w:ascii="Times New Roman" w:hAnsi="Times New Roman"/>
          <w:b w:val="0"/>
          <w:i w:val="0"/>
          <w:sz w:val="22"/>
        </w:rPr>
        <w:t xml:space="preserve"> is available through the Brain Data Science Platform at </w:t>
      </w:r>
      <w:hyperlink r:id="rId9">
        <w:r>
          <w:rPr>
            <w:rFonts w:ascii="Times New Roman" w:hAnsi="Times New Roman"/>
            <w:sz w:val="22"/>
            <w:color w:val="0563C1"/>
            <w:u w:val="single"/>
          </w:rPr>
          <w:t xml:space="preserve">https://bdsp.io/content/nf89816gtxbon11kbr9a/1.0/</w:t>
        </w:r>
      </w:hyperlink>
      <w:r>
        <w:rPr>
          <w:rFonts w:ascii="Times New Roman" w:hAnsi="Times New Roman"/>
          <w:b w:val="0"/>
          <w:i w:val="0"/>
          <w:sz w:val="22"/>
        </w:rPr>
        <w:t xml:space="preserve"> (DOI 10.60508/v99k-ek82) and is stored at s3://bdsp-opendata-repository/EEG/bids/Neurotech/. Access is controlled: users register on BDSP, complete credentialing, and sign a data use agreement prohibiting re-identification, after which the complete BIDS release (EEG recordings, sidecars, annotation files, participants table, and phenotype tables, as defined in Data Records and Table 2) can be downloaded. The released data are de-identified; the linking table is not shared.</w:t>
      </w:r>
    </w:p>
    <w:p>
      <w:pPr>
        <w:pStyle w:val="Heading1"/>
      </w:pPr>
      <w:r>
        <w:rPr>
          <w:rFonts w:ascii="Times New Roman" w:hAnsi="Times New Roman"/>
          <w:b/>
          <w:i w:val="0"/>
          <w:sz w:val="28"/>
        </w:rPr>
        <w:t>Code Availability</w:t>
      </w:r>
    </w:p>
    <w:p>
      <w:r>
        <w:rPr>
          <w:rFonts w:ascii="Times New Roman" w:hAnsi="Times New Roman"/>
          <w:b w:val="0"/>
          <w:i w:val="0"/>
          <w:sz w:val="22"/>
        </w:rPr>
        <w:t xml:space="preserve">All code used to build, de-identify, and validate the release is available at </w:t>
      </w:r>
      <w:hyperlink r:id="rId13">
        <w:r>
          <w:rPr>
            <w:rFonts w:ascii="Times New Roman" w:hAnsi="Times New Roman"/>
            <w:sz w:val="22"/>
            <w:color w:val="0563C1"/>
            <w:u w:val="single"/>
          </w:rPr>
          <w:t xml:space="preserve">https://github.com/bdsp-core/Neurotech-EEG-Wrangling</w:t>
        </w:r>
      </w:hyperlink>
      <w:r>
        <w:rPr>
          <w:rFonts w:ascii="Times New Roman" w:hAnsi="Times New Roman"/>
          <w:b w:val="0"/>
          <w:i w:val="0"/>
          <w:sz w:val="22"/>
        </w:rPr>
        <w:t>.</w:t>
      </w:r>
      <w:r>
        <w:rPr>
          <w:rFonts w:ascii="Times New Roman" w:hAnsi="Times New Roman"/>
          <w:b w:val="0"/>
          <w:i w:val="0"/>
          <w:sz w:val="22"/>
        </w:rPr>
        <w:t xml:space="preserve"> The repository contains the BIDS conversion and de-identification pipeline (build_bids.py), the de-identification audit, the clinical metadata extraction pipeline (ehr_pipeline/, including the on-premises OCR and large language model extraction and the phenotype table builder), and the annotation category keyword mapping. Every quantitative value in this paper is regenerated from de-identified data by reproduce_manuscript_numbers.py, as documented in REPRODUCIBILITY.md; the EEG and annotation statistics can additionally be recomputed directly from the released BIDS dataset with compute_eeg_stats_from_s3.py. The pipeline is written in Python 3 and uses pyedflib for EDF handling, pdftotext and Tesseract for text extraction, and Qwen2.5 via Apple MLX for narrative text extraction.</w:t>
      </w:r>
    </w:p>
    <w:p>
      <w:pPr>
        <w:pStyle w:val="Heading1"/>
      </w:pPr>
      <w:r>
        <w:rPr>
          <w:rFonts w:ascii="Times New Roman" w:hAnsi="Times New Roman"/>
          <w:b/>
          <w:i w:val="0"/>
          <w:sz w:val="28"/>
        </w:rPr>
        <w:t>Author Contributions</w:t>
      </w:r>
    </w:p>
    <w:p>
      <w:r>
        <w:rPr>
          <w:rFonts w:ascii="Times New Roman" w:hAnsi="Times New Roman"/>
          <w:b w:val="0"/>
          <w:i w:val="0"/>
          <w:sz w:val="22"/>
        </w:rPr>
        <w:t>M.B.W., D.M.G., K.M., and C.P. conceived and designed the study. K.M., C.P., and M.G. provided the clinical EEG data and domain expertise. H.W., M.G. (Ghanta), A.G., J.J., and C.S. developed the de-identification, conversion, and clinical-metadata-extraction pipelines and performed the analyses. M.B.W. and D.M.G. supervised the work. H.W. and M.B.W. drafted the manuscript. All authors critically revised the manuscript and approved the final version.</w:t>
      </w:r>
    </w:p>
    <w:p>
      <w:pPr>
        <w:pStyle w:val="Heading1"/>
      </w:pPr>
      <w:r>
        <w:rPr>
          <w:rFonts w:ascii="Times New Roman" w:hAnsi="Times New Roman"/>
          <w:b/>
          <w:i w:val="0"/>
          <w:sz w:val="28"/>
        </w:rPr>
        <w:t>Competing Interests</w:t>
      </w:r>
    </w:p>
    <w:p>
      <w:r>
        <w:rPr>
          <w:rFonts w:ascii="Times New Roman" w:hAnsi="Times New Roman"/>
          <w:b w:val="0"/>
          <w:i w:val="0"/>
          <w:sz w:val="22"/>
        </w:rPr>
        <w:t>M.B.W. is a co-founder of, scientific advisor and consultant to, and has personal equity interest in Beacon Biosignals. K.M., C.P., and M.G. are employees of Neurotech; K.M. also has personal equity interest in Neurotech. D.M.G. has received speaker fees from Harvard Medical School, AAN, AES, ACNS, NNS, AI in Epilepsy and Neurology, Florida Epilepsy Alliance, and UT-Austin; has previously been a paid consultant for Neuro Event Labs, IDR, LivaNova, Health Advances, Duke University, Bloom Insights, and Wiley; and has received grants from NIH, ABPN, BIDMC, and the Lions Club. The remaining authors declare no competing interests.</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National Institutes of Health (RF1AG064312, RF1NS120947, R01AG073410, R01HL161253, R01NS126282, R01AG073598, R01NS131347, R01NS130119). D.M.G. receives research funding from the National Institutes of Health (K23NS124656, R21NS142800) and the American Board of Psychiatry and Neurology.</w:t>
      </w:r>
    </w:p>
    <w:p>
      <w:r>
        <w:br w:type="page"/>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760720" cy="2468450"/>
            <wp:docPr id="1" name="Picture 1"/>
            <wp:cNvGraphicFramePr>
              <a:graphicFrameLocks noChangeAspect="1"/>
            </wp:cNvGraphicFramePr>
            <a:graphic>
              <a:graphicData uri="http://schemas.openxmlformats.org/drawingml/2006/picture">
                <pic:pic>
                  <pic:nvPicPr>
                    <pic:cNvPr id="0" name="Figure1.png"/>
                    <pic:cNvPicPr/>
                  </pic:nvPicPr>
                  <pic:blipFill>
                    <a:blip r:embed="rId14"/>
                    <a:stretch>
                      <a:fillRect/>
                    </a:stretch>
                  </pic:blipFill>
                  <pic:spPr>
                    <a:xfrm>
                      <a:off x="0" y="0"/>
                      <a:ext cx="5760720" cy="2468450"/>
                    </a:xfrm>
                    <a:prstGeom prst="rect"/>
                  </pic:spPr>
                </pic:pic>
              </a:graphicData>
            </a:graphic>
          </wp:inline>
        </w:drawing>
      </w:r>
    </w:p>
    <w:p>
      <w:pPr>
        <w:spacing w:after="280"/>
      </w:pPr>
      <w:r>
        <w:rPr>
          <w:rFonts w:ascii="Times New Roman" w:hAnsi="Times New Roman"/>
          <w:b/>
          <w:i w:val="0"/>
          <w:sz w:val="22"/>
        </w:rPr>
        <w:t>Figure 1.</w:t>
      </w:r>
      <w:r>
        <w:rPr>
          <w:rFonts w:ascii="Times New Roman" w:hAnsi="Times New Roman"/>
          <w:b w:val="0"/>
          <w:i w:val="0"/>
          <w:sz w:val="22"/>
        </w:rPr>
        <w:t xml:space="preserve"> Data pipeline from clinical recording to public release. Clinical EEG from 4,912 patients recorded between 2021 and 2025 on Lifelines or EMS ambulatory equipment with Persyst detection was exported as 23,600 signal-bearing EDF recording segments (212,133 hours) with annotation files, de-identified through header scrubbing, per-patient date shifting (uniform random offset of up to 365 days in either direction), and automated name replacement in free text, converted to BIDS-EEG format, and released through the Brain Data Science Platform under a data use agreement.</w:t>
      </w:r>
    </w:p>
    <w:p>
      <w:pPr>
        <w:jc w:val="center"/>
      </w:pPr>
      <w:r>
        <w:drawing>
          <wp:inline xmlns:a="http://schemas.openxmlformats.org/drawingml/2006/main" xmlns:pic="http://schemas.openxmlformats.org/drawingml/2006/picture">
            <wp:extent cx="5760720" cy="3518067"/>
            <wp:docPr id="2" name="Picture 2"/>
            <wp:cNvGraphicFramePr>
              <a:graphicFrameLocks noChangeAspect="1"/>
            </wp:cNvGraphicFramePr>
            <a:graphic>
              <a:graphicData uri="http://schemas.openxmlformats.org/drawingml/2006/picture">
                <pic:pic>
                  <pic:nvPicPr>
                    <pic:cNvPr id="0" name="Figure2.png"/>
                    <pic:cNvPicPr/>
                  </pic:nvPicPr>
                  <pic:blipFill>
                    <a:blip r:embed="rId15"/>
                    <a:stretch>
                      <a:fillRect/>
                    </a:stretch>
                  </pic:blipFill>
                  <pic:spPr>
                    <a:xfrm>
                      <a:off x="0" y="0"/>
                      <a:ext cx="5760720" cy="3518067"/>
                    </a:xfrm>
                    <a:prstGeom prst="rect"/>
                  </pic:spPr>
                </pic:pic>
              </a:graphicData>
            </a:graphic>
          </wp:inline>
        </w:drawing>
      </w:r>
    </w:p>
    <w:p>
      <w:pPr>
        <w:spacing w:after="280"/>
      </w:pPr>
      <w:r>
        <w:rPr>
          <w:rFonts w:ascii="Times New Roman" w:hAnsi="Times New Roman"/>
          <w:b/>
          <w:i w:val="0"/>
          <w:sz w:val="22"/>
        </w:rPr>
        <w:t>Figure 2.</w:t>
      </w:r>
      <w:r>
        <w:rPr>
          <w:rFonts w:ascii="Times New Roman" w:hAnsi="Times New Roman"/>
          <w:b w:val="0"/>
          <w:i w:val="0"/>
          <w:sz w:val="22"/>
        </w:rPr>
        <w:t xml:space="preserve"> De-identification of EDF header fields. Each row shows a header field before de-identification (containing protected health information) and after. Patient names are replaced with placeholders, identifiers are reassigned, dates are shifted by a consistent per-patient random offset, and technologist and equipment identifiers are removed. All examples shown are fictitious.</w:t>
      </w:r>
    </w:p>
    <w:p>
      <w:pPr>
        <w:jc w:val="center"/>
      </w:pPr>
      <w:r>
        <w:drawing>
          <wp:inline xmlns:a="http://schemas.openxmlformats.org/drawingml/2006/main" xmlns:pic="http://schemas.openxmlformats.org/drawingml/2006/picture">
            <wp:extent cx="5760720" cy="3429312"/>
            <wp:docPr id="3" name="Picture 3"/>
            <wp:cNvGraphicFramePr>
              <a:graphicFrameLocks noChangeAspect="1"/>
            </wp:cNvGraphicFramePr>
            <a:graphic>
              <a:graphicData uri="http://schemas.openxmlformats.org/drawingml/2006/picture">
                <pic:pic>
                  <pic:nvPicPr>
                    <pic:cNvPr id="0" name="Figure3.png"/>
                    <pic:cNvPicPr/>
                  </pic:nvPicPr>
                  <pic:blipFill>
                    <a:blip r:embed="rId16"/>
                    <a:stretch>
                      <a:fillRect/>
                    </a:stretch>
                  </pic:blipFill>
                  <pic:spPr>
                    <a:xfrm>
                      <a:off x="0" y="0"/>
                      <a:ext cx="5760720" cy="3429312"/>
                    </a:xfrm>
                    <a:prstGeom prst="rect"/>
                  </pic:spPr>
                </pic:pic>
              </a:graphicData>
            </a:graphic>
          </wp:inline>
        </w:drawing>
      </w:r>
    </w:p>
    <w:p>
      <w:pPr>
        <w:spacing w:after="280"/>
      </w:pPr>
      <w:r>
        <w:rPr>
          <w:rFonts w:ascii="Times New Roman" w:hAnsi="Times New Roman"/>
          <w:b/>
          <w:i w:val="0"/>
          <w:sz w:val="22"/>
        </w:rPr>
        <w:t>Figure 3.</w:t>
      </w:r>
      <w:r>
        <w:rPr>
          <w:rFonts w:ascii="Times New Roman" w:hAnsi="Times New Roman"/>
          <w:b w:val="0"/>
          <w:i w:val="0"/>
          <w:sz w:val="22"/>
        </w:rPr>
        <w:t xml:space="preserve"> Overview of the released data. (a) Distribution of EDF segment duration on a logarithmic scale (n = 23,600 signal-bearing segments); dashed lines mark 1 hour and 24 hours. (b) Most frequent annotation categories among the 225,957 annotations, derived from annotation text by keyword matching; categories are not mutually exclusive and the residual uncategorized remainder is omitted. (c) Referral indications by ICD-10 code group (n = 13,049 codes from intake documents). (d) Age at first EEG (n = 2,915 patients with extractable date of birth); the dashed line marks the median. (e) Posterior dominant rhythm frequency extracted from technologist reports (n = 8,057 studies); shading marks the 8 to 13 Hz range. (f) Interictal epileptiform discharge morphology by spatial distribution across 6,345 studies with documented discharges; cell values are numbers of studies and a study may contribute to several cells.</w:t>
      </w:r>
    </w:p>
    <w:p>
      <w:pPr>
        <w:jc w:val="center"/>
      </w:pPr>
      <w:r>
        <w:drawing>
          <wp:inline xmlns:a="http://schemas.openxmlformats.org/drawingml/2006/main" xmlns:pic="http://schemas.openxmlformats.org/drawingml/2006/picture">
            <wp:extent cx="5760720" cy="3293931"/>
            <wp:docPr id="4" name="Picture 4"/>
            <wp:cNvGraphicFramePr>
              <a:graphicFrameLocks noChangeAspect="1"/>
            </wp:cNvGraphicFramePr>
            <a:graphic>
              <a:graphicData uri="http://schemas.openxmlformats.org/drawingml/2006/picture">
                <pic:pic>
                  <pic:nvPicPr>
                    <pic:cNvPr id="0" name="Figure4.png"/>
                    <pic:cNvPicPr/>
                  </pic:nvPicPr>
                  <pic:blipFill>
                    <a:blip r:embed="rId17"/>
                    <a:stretch>
                      <a:fillRect/>
                    </a:stretch>
                  </pic:blipFill>
                  <pic:spPr>
                    <a:xfrm>
                      <a:off x="0" y="0"/>
                      <a:ext cx="5760720" cy="3293931"/>
                    </a:xfrm>
                    <a:prstGeom prst="rect"/>
                  </pic:spPr>
                </pic:pic>
              </a:graphicData>
            </a:graphic>
          </wp:inline>
        </w:drawing>
      </w:r>
    </w:p>
    <w:p>
      <w:pPr>
        <w:spacing w:after="280"/>
      </w:pPr>
      <w:r>
        <w:rPr>
          <w:rFonts w:ascii="Times New Roman" w:hAnsi="Times New Roman"/>
          <w:b/>
          <w:i w:val="0"/>
          <w:sz w:val="22"/>
        </w:rPr>
        <w:t>Figure 4.</w:t>
      </w:r>
      <w:r>
        <w:rPr>
          <w:rFonts w:ascii="Times New Roman" w:hAnsi="Times New Roman"/>
          <w:b w:val="0"/>
          <w:i w:val="0"/>
          <w:sz w:val="22"/>
        </w:rPr>
        <w:t xml:space="preserve"> Example EEG traces from one released recording, shown in a longitudinal bipolar (double-banana) montage after 1 to 30 Hz band-pass and 60 Hz notch filtering. (a) Normal background activity. (b) An interictal spike (arrow) with the accompanying technologist annotation "NT-Bi-occipital S/W, right dominant", illustrating the free-text observations preserved in the dataset. Scale bars: 100 microvolts and 1 second.</w:t>
      </w:r>
    </w:p>
    <w:p>
      <w:pPr>
        <w:pStyle w:val="Heading1"/>
      </w:pPr>
      <w:r>
        <w:rPr>
          <w:rFonts w:ascii="Times New Roman" w:hAnsi="Times New Roman"/>
          <w:b/>
          <w:i w:val="0"/>
          <w:sz w:val="28"/>
        </w:rPr>
        <w:t>References</w:t>
      </w:r>
    </w:p>
    <w:p>
      <w:pPr>
        <w:ind w:left="432" w:hanging="432"/>
      </w:pPr>
      <w:r>
        <w:rPr>
          <w:rFonts w:ascii="Times New Roman" w:hAnsi="Times New Roman"/>
          <w:b w:val="0"/>
          <w:i w:val="0"/>
          <w:sz w:val="22"/>
        </w:rPr>
        <w:t xml:space="preserve">1. Noachtar, S. &amp; Rémi,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xml:space="preserve">, 22-33 (2009). </w:t>
      </w:r>
      <w:hyperlink r:id="rId18">
        <w:r>
          <w:rPr>
            <w:rFonts w:ascii="Times New Roman" w:hAnsi="Times New Roman"/>
            <w:sz w:val="22"/>
            <w:color w:val="0563C1"/>
            <w:u w:val="single"/>
          </w:rPr>
          <w:t xml:space="preserve">https://doi.org/10.1016/j.yebeh.2009.02.035</w:t>
        </w:r>
      </w:hyperlink>
    </w:p>
    <w:p>
      <w:pPr>
        <w:ind w:left="432" w:hanging="432"/>
      </w:pPr>
      <w:r>
        <w:rPr>
          <w:rFonts w:ascii="Times New Roman" w:hAnsi="Times New Roman"/>
          <w:b w:val="0"/>
          <w:i w:val="0"/>
          <w:sz w:val="22"/>
        </w:rPr>
        <w:t xml:space="preserve">2. Roy, Y. et al. Deep learning-based electroencephalography analysis: a systematic review. </w:t>
      </w:r>
      <w:r>
        <w:rPr>
          <w:rFonts w:ascii="Times New Roman" w:hAnsi="Times New Roman"/>
          <w:b w:val="0"/>
          <w:i/>
          <w:sz w:val="22"/>
        </w:rPr>
        <w:t>J. Neural Eng.</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xml:space="preserve">, 051001 (2019). </w:t>
      </w:r>
      <w:hyperlink r:id="rId19">
        <w:r>
          <w:rPr>
            <w:rFonts w:ascii="Times New Roman" w:hAnsi="Times New Roman"/>
            <w:sz w:val="22"/>
            <w:color w:val="0563C1"/>
            <w:u w:val="single"/>
          </w:rPr>
          <w:t xml:space="preserve">https://doi.org/10.1088/1741-2552/ab260c</w:t>
        </w:r>
      </w:hyperlink>
    </w:p>
    <w:p>
      <w:pPr>
        <w:ind w:left="432" w:hanging="432"/>
      </w:pPr>
      <w:r>
        <w:rPr>
          <w:rFonts w:ascii="Times New Roman" w:hAnsi="Times New Roman"/>
          <w:b w:val="0"/>
          <w:i w:val="0"/>
          <w:sz w:val="22"/>
        </w:rPr>
        <w:t xml:space="preserve">3. Shoeb, A. &amp; Guttag, J. Application of machine learning to epileptic seizure detection. In </w:t>
      </w:r>
      <w:r>
        <w:rPr>
          <w:rFonts w:ascii="Times New Roman" w:hAnsi="Times New Roman"/>
          <w:b w:val="0"/>
          <w:i/>
          <w:sz w:val="22"/>
        </w:rPr>
        <w:t>Proceedings of the 27th International Conference on Machine Learning (ICML 2010)</w:t>
      </w:r>
      <w:r>
        <w:rPr>
          <w:rFonts w:ascii="Times New Roman" w:hAnsi="Times New Roman"/>
          <w:b w:val="0"/>
          <w:i w:val="0"/>
          <w:sz w:val="22"/>
        </w:rPr>
        <w:t xml:space="preserve"> 975-982 (Omnipress, 2010).</w:t>
      </w:r>
    </w:p>
    <w:p>
      <w:pPr>
        <w:ind w:left="432" w:hanging="432"/>
      </w:pPr>
      <w:r>
        <w:rPr>
          <w:rFonts w:ascii="Times New Roman" w:hAnsi="Times New Roman"/>
          <w:b w:val="0"/>
          <w:i w:val="0"/>
          <w:sz w:val="22"/>
        </w:rPr>
        <w:t xml:space="preserve">4. Andrzejak, R. G. et al. Indications of nonlinear deterministic and finite-dimensional structures in time series of brain electrical activity: dependence on recording region and brain state. </w:t>
      </w:r>
      <w:r>
        <w:rPr>
          <w:rFonts w:ascii="Times New Roman" w:hAnsi="Times New Roman"/>
          <w:b w:val="0"/>
          <w:i/>
          <w:sz w:val="22"/>
        </w:rPr>
        <w:t>Phys. Rev. E</w:t>
      </w:r>
      <w:r>
        <w:rPr>
          <w:rFonts w:ascii="Times New Roman" w:hAnsi="Times New Roman"/>
          <w:b w:val="0"/>
          <w:i w:val="0"/>
          <w:sz w:val="22"/>
        </w:rPr>
        <w:t xml:space="preserve"> </w:t>
      </w:r>
      <w:r>
        <w:rPr>
          <w:rFonts w:ascii="Times New Roman" w:hAnsi="Times New Roman"/>
          <w:b/>
          <w:i w:val="0"/>
          <w:sz w:val="22"/>
        </w:rPr>
        <w:t>64</w:t>
      </w:r>
      <w:r>
        <w:rPr>
          <w:rFonts w:ascii="Times New Roman" w:hAnsi="Times New Roman"/>
          <w:b w:val="0"/>
          <w:i w:val="0"/>
          <w:sz w:val="22"/>
        </w:rPr>
        <w:t xml:space="preserve">, 061907 (2001). </w:t>
      </w:r>
      <w:hyperlink r:id="rId20">
        <w:r>
          <w:rPr>
            <w:rFonts w:ascii="Times New Roman" w:hAnsi="Times New Roman"/>
            <w:sz w:val="22"/>
            <w:color w:val="0563C1"/>
            <w:u w:val="single"/>
          </w:rPr>
          <w:t xml:space="preserve">https://doi.org/10.1103/PhysRevE.64.061907</w:t>
        </w:r>
      </w:hyperlink>
    </w:p>
    <w:p>
      <w:pPr>
        <w:ind w:left="432" w:hanging="432"/>
      </w:pPr>
      <w:r>
        <w:rPr>
          <w:rFonts w:ascii="Times New Roman" w:hAnsi="Times New Roman"/>
          <w:b w:val="0"/>
          <w:i w:val="0"/>
          <w:sz w:val="22"/>
        </w:rPr>
        <w:t xml:space="preserve">5. Detti, P., Vatti, G. &amp; Zabalo Manrique de Lara, G.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xml:space="preserve">, 846 (2020). </w:t>
      </w:r>
      <w:hyperlink r:id="rId21">
        <w:r>
          <w:rPr>
            <w:rFonts w:ascii="Times New Roman" w:hAnsi="Times New Roman"/>
            <w:sz w:val="22"/>
            <w:color w:val="0563C1"/>
            <w:u w:val="single"/>
          </w:rPr>
          <w:t xml:space="preserve">https://doi.org/10.3390/pr8070846</w:t>
        </w:r>
      </w:hyperlink>
    </w:p>
    <w:p>
      <w:pPr>
        <w:ind w:left="432" w:hanging="432"/>
      </w:pPr>
      <w:r>
        <w:rPr>
          <w:rFonts w:ascii="Times New Roman" w:hAnsi="Times New Roman"/>
          <w:b w:val="0"/>
          <w:i w:val="0"/>
          <w:sz w:val="22"/>
        </w:rPr>
        <w:t xml:space="preserve">6. Gemein, L. A. 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w:t>
      </w:r>
      <w:r>
        <w:rPr>
          <w:rFonts w:ascii="Times New Roman" w:hAnsi="Times New Roman"/>
          <w:b/>
          <w:i w:val="0"/>
          <w:sz w:val="22"/>
        </w:rPr>
        <w:t>220</w:t>
      </w:r>
      <w:r>
        <w:rPr>
          <w:rFonts w:ascii="Times New Roman" w:hAnsi="Times New Roman"/>
          <w:b w:val="0"/>
          <w:i w:val="0"/>
          <w:sz w:val="22"/>
        </w:rPr>
        <w:t xml:space="preserve">, 117021 (2020). </w:t>
      </w:r>
      <w:hyperlink r:id="rId22">
        <w:r>
          <w:rPr>
            <w:rFonts w:ascii="Times New Roman" w:hAnsi="Times New Roman"/>
            <w:sz w:val="22"/>
            <w:color w:val="0563C1"/>
            <w:u w:val="single"/>
          </w:rPr>
          <w:t xml:space="preserve">https://doi.org/10.1016/j.neuroimage.2020.117021</w:t>
        </w:r>
      </w:hyperlink>
    </w:p>
    <w:p>
      <w:pPr>
        <w:ind w:left="432" w:hanging="432"/>
      </w:pPr>
      <w:r>
        <w:rPr>
          <w:rFonts w:ascii="Times New Roman" w:hAnsi="Times New Roman"/>
          <w:b w:val="0"/>
          <w:i w:val="0"/>
          <w:sz w:val="22"/>
        </w:rPr>
        <w:t xml:space="preserve">7. 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xml:space="preserve">, 196 (2016). </w:t>
      </w:r>
      <w:hyperlink r:id="rId23">
        <w:r>
          <w:rPr>
            <w:rFonts w:ascii="Times New Roman" w:hAnsi="Times New Roman"/>
            <w:sz w:val="22"/>
            <w:color w:val="0563C1"/>
            <w:u w:val="single"/>
          </w:rPr>
          <w:t xml:space="preserve">https://doi.org/10.3389/fnins.2016.00196</w:t>
        </w:r>
      </w:hyperlink>
    </w:p>
    <w:p>
      <w:pPr>
        <w:ind w:left="432" w:hanging="432"/>
      </w:pPr>
      <w:r>
        <w:rPr>
          <w:rFonts w:ascii="Times New Roman" w:hAnsi="Times New Roman"/>
          <w:b w:val="0"/>
          <w:i w:val="0"/>
          <w:sz w:val="22"/>
        </w:rPr>
        <w:t xml:space="preserve">8. Pernet, C. 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w:t>
      </w:r>
      <w:r>
        <w:rPr>
          <w:rFonts w:ascii="Times New Roman" w:hAnsi="Times New Roman"/>
          <w:b/>
          <w:i w:val="0"/>
          <w:sz w:val="22"/>
        </w:rPr>
        <w:t>6</w:t>
      </w:r>
      <w:r>
        <w:rPr>
          <w:rFonts w:ascii="Times New Roman" w:hAnsi="Times New Roman"/>
          <w:b w:val="0"/>
          <w:i w:val="0"/>
          <w:sz w:val="22"/>
        </w:rPr>
        <w:t xml:space="preserve">, 103 (2019). </w:t>
      </w:r>
      <w:hyperlink r:id="rId24">
        <w:r>
          <w:rPr>
            <w:rFonts w:ascii="Times New Roman" w:hAnsi="Times New Roman"/>
            <w:sz w:val="22"/>
            <w:color w:val="0563C1"/>
            <w:u w:val="single"/>
          </w:rPr>
          <w:t xml:space="preserve">https://doi.org/10.1038/s41597-019-0104-8</w:t>
        </w:r>
      </w:hyperlink>
    </w:p>
    <w:p>
      <w:pPr>
        <w:ind w:left="432" w:hanging="432"/>
      </w:pPr>
      <w:r>
        <w:rPr>
          <w:rFonts w:ascii="Times New Roman" w:hAnsi="Times New Roman"/>
          <w:b w:val="0"/>
          <w:i w:val="0"/>
          <w:sz w:val="22"/>
        </w:rPr>
        <w:t xml:space="preserve">9. World Health Organization. </w:t>
      </w:r>
      <w:r>
        <w:rPr>
          <w:rFonts w:ascii="Times New Roman" w:hAnsi="Times New Roman"/>
          <w:b w:val="0"/>
          <w:i/>
          <w:sz w:val="22"/>
        </w:rPr>
        <w:t>Epilepsy: A Public Health Imperative</w:t>
      </w:r>
      <w:r>
        <w:rPr>
          <w:rFonts w:ascii="Times New Roman" w:hAnsi="Times New Roman"/>
          <w:b w:val="0"/>
          <w:i w:val="0"/>
          <w:sz w:val="22"/>
        </w:rPr>
        <w:t xml:space="preserve"> (World Health Organization, 2019). </w:t>
      </w:r>
      <w:hyperlink r:id="rId25">
        <w:r>
          <w:rPr>
            <w:rFonts w:ascii="Times New Roman" w:hAnsi="Times New Roman"/>
            <w:sz w:val="22"/>
            <w:color w:val="0563C1"/>
            <w:u w:val="single"/>
          </w:rPr>
          <w:t xml:space="preserve">https://www.who.int/publications/i/item/epilepsy-a-public-health-imperative</w:t>
        </w:r>
      </w:hyperlink>
    </w:p>
    <w:p>
      <w:pPr>
        <w:ind w:left="432" w:hanging="432"/>
      </w:pPr>
      <w:r>
        <w:rPr>
          <w:rFonts w:ascii="Times New Roman" w:hAnsi="Times New Roman"/>
          <w:b w:val="0"/>
          <w:i w:val="0"/>
          <w:sz w:val="22"/>
        </w:rPr>
        <w:t xml:space="preserve">10. Gorgolewski, K. 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w:t>
      </w:r>
      <w:r>
        <w:rPr>
          <w:rFonts w:ascii="Times New Roman" w:hAnsi="Times New Roman"/>
          <w:b/>
          <w:i w:val="0"/>
          <w:sz w:val="22"/>
        </w:rPr>
        <w:t>3</w:t>
      </w:r>
      <w:r>
        <w:rPr>
          <w:rFonts w:ascii="Times New Roman" w:hAnsi="Times New Roman"/>
          <w:b w:val="0"/>
          <w:i w:val="0"/>
          <w:sz w:val="22"/>
        </w:rPr>
        <w:t xml:space="preserve">, 160044 (2016). </w:t>
      </w:r>
      <w:hyperlink r:id="rId26">
        <w:r>
          <w:rPr>
            <w:rFonts w:ascii="Times New Roman" w:hAnsi="Times New Roman"/>
            <w:sz w:val="22"/>
            <w:color w:val="0563C1"/>
            <w:u w:val="single"/>
          </w:rPr>
          <w:t xml:space="preserve">https://doi.org/10.1038/sdata.2016.44</w:t>
        </w:r>
      </w:hyperlink>
    </w:p>
    <w:p>
      <w:pPr>
        <w:ind w:left="432" w:hanging="432"/>
      </w:pPr>
      <w:r>
        <w:rPr>
          <w:rFonts w:ascii="Times New Roman" w:hAnsi="Times New Roman"/>
          <w:b w:val="0"/>
          <w:i w:val="0"/>
          <w:sz w:val="22"/>
        </w:rPr>
        <w:t xml:space="preserve">11. 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w:t>
      </w:r>
      <w:r>
        <w:rPr>
          <w:rFonts w:ascii="Times New Roman" w:hAnsi="Times New Roman"/>
          <w:b/>
          <w:i w:val="0"/>
          <w:sz w:val="22"/>
        </w:rPr>
        <w:t>66</w:t>
      </w:r>
      <w:r>
        <w:rPr>
          <w:rFonts w:ascii="Times New Roman" w:hAnsi="Times New Roman"/>
          <w:b w:val="0"/>
          <w:i w:val="0"/>
          <w:sz w:val="22"/>
        </w:rPr>
        <w:t xml:space="preserve">, 3411-3425 (2025). </w:t>
      </w:r>
      <w:hyperlink r:id="rId27">
        <w:r>
          <w:rPr>
            <w:rFonts w:ascii="Times New Roman" w:hAnsi="Times New Roman"/>
            <w:sz w:val="22"/>
            <w:color w:val="0563C1"/>
            <w:u w:val="single"/>
          </w:rPr>
          <w:t xml:space="preserve">https://doi.org/10.1111/epi.18487</w:t>
        </w:r>
      </w:hyperlink>
    </w:p>
    <w:p>
      <w:pPr>
        <w:ind w:left="432" w:hanging="432"/>
      </w:pPr>
      <w:r>
        <w:rPr>
          <w:rFonts w:ascii="Times New Roman" w:hAnsi="Times New Roman"/>
          <w:b w:val="0"/>
          <w:i w:val="0"/>
          <w:sz w:val="22"/>
        </w:rPr>
        <w:t xml:space="preserve">12. 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w:t>
      </w:r>
      <w:r>
        <w:rPr>
          <w:rFonts w:ascii="Times New Roman" w:hAnsi="Times New Roman"/>
          <w:b/>
          <w:i w:val="0"/>
          <w:sz w:val="22"/>
        </w:rPr>
        <w:t>14</w:t>
      </w:r>
      <w:r>
        <w:rPr>
          <w:rFonts w:ascii="Times New Roman" w:hAnsi="Times New Roman"/>
          <w:b w:val="0"/>
          <w:i w:val="0"/>
          <w:sz w:val="22"/>
        </w:rPr>
        <w:t xml:space="preserve">, 103 (2020). </w:t>
      </w:r>
      <w:hyperlink r:id="rId28">
        <w:r>
          <w:rPr>
            <w:rFonts w:ascii="Times New Roman" w:hAnsi="Times New Roman"/>
            <w:sz w:val="22"/>
            <w:color w:val="0563C1"/>
            <w:u w:val="single"/>
          </w:rPr>
          <w:t xml:space="preserve">https://doi.org/10.3389/fnhum.2020.00103</w:t>
        </w:r>
      </w:hyperlink>
    </w:p>
    <w:p>
      <w:pPr>
        <w:ind w:left="432" w:hanging="432"/>
      </w:pPr>
      <w:r>
        <w:rPr>
          <w:rFonts w:ascii="Times New Roman" w:hAnsi="Times New Roman"/>
          <w:b w:val="0"/>
          <w:i w:val="0"/>
          <w:sz w:val="22"/>
        </w:rPr>
        <w:t xml:space="preserve">13. Morgan, K. et al. The Neurotech EEG Dataset. </w:t>
      </w:r>
      <w:r>
        <w:rPr>
          <w:rFonts w:ascii="Times New Roman" w:hAnsi="Times New Roman"/>
          <w:b w:val="0"/>
          <w:i/>
          <w:sz w:val="22"/>
        </w:rPr>
        <w:t>Brain Data Science Platform</w:t>
      </w:r>
      <w:r>
        <w:rPr>
          <w:rFonts w:ascii="Times New Roman" w:hAnsi="Times New Roman"/>
          <w:b w:val="0"/>
          <w:i w:val="0"/>
          <w:sz w:val="22"/>
        </w:rPr>
        <w:t xml:space="preserve"> </w:t>
      </w:r>
      <w:hyperlink r:id="rId29">
        <w:r>
          <w:rPr>
            <w:rFonts w:ascii="Times New Roman" w:hAnsi="Times New Roman"/>
            <w:sz w:val="22"/>
            <w:color w:val="0563C1"/>
            <w:u w:val="single"/>
          </w:rPr>
          <w:t xml:space="preserve">https://doi.org/10.60508/v99k-ek82</w:t>
        </w:r>
      </w:hyperlink>
      <w:r>
        <w:rPr>
          <w:rFonts w:ascii="Times New Roman" w:hAnsi="Times New Roman"/>
          <w:b w:val="0"/>
          <w:i w:val="0"/>
          <w:sz w:val="22"/>
        </w:rPr>
        <w:t xml:space="preserve">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dsp.io/content/nf89816gtxbon11kbr9a/1.0/" TargetMode="External"/><Relationship Id="rId10" Type="http://schemas.openxmlformats.org/officeDocument/2006/relationships/hyperlink" Target="https://bdsp.io" TargetMode="External"/><Relationship Id="rId11" Type="http://schemas.openxmlformats.org/officeDocument/2006/relationships/hyperlink" Target="https://bdsp.io/content/nf89816gtxbon11kbr9a/view-dua/1.0/" TargetMode="External"/><Relationship Id="rId12" Type="http://schemas.openxmlformats.org/officeDocument/2006/relationships/hyperlink" Target="https://bdsp.io/content/nf89816gtxbon11kbr9a/view-license/1.0/" TargetMode="External"/><Relationship Id="rId13" Type="http://schemas.openxmlformats.org/officeDocument/2006/relationships/hyperlink" Target="https://github.com/bdsp-core/Neurotech-EEG-Wrangling"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yperlink" Target="https://doi.org/10.1016/j.yebeh.2009.02.035" TargetMode="External"/><Relationship Id="rId19" Type="http://schemas.openxmlformats.org/officeDocument/2006/relationships/hyperlink" Target="https://doi.org/10.1088/1741-2552/ab260c" TargetMode="External"/><Relationship Id="rId20" Type="http://schemas.openxmlformats.org/officeDocument/2006/relationships/hyperlink" Target="https://doi.org/10.1103/PhysRevE.64.061907" TargetMode="External"/><Relationship Id="rId21" Type="http://schemas.openxmlformats.org/officeDocument/2006/relationships/hyperlink" Target="https://doi.org/10.3390/pr8070846" TargetMode="External"/><Relationship Id="rId22" Type="http://schemas.openxmlformats.org/officeDocument/2006/relationships/hyperlink" Target="https://doi.org/10.1016/j.neuroimage.2020.117021" TargetMode="External"/><Relationship Id="rId23" Type="http://schemas.openxmlformats.org/officeDocument/2006/relationships/hyperlink" Target="https://doi.org/10.3389/fnins.2016.00196" TargetMode="External"/><Relationship Id="rId24" Type="http://schemas.openxmlformats.org/officeDocument/2006/relationships/hyperlink" Target="https://doi.org/10.1038/s41597-019-0104-8" TargetMode="External"/><Relationship Id="rId25" Type="http://schemas.openxmlformats.org/officeDocument/2006/relationships/hyperlink" Target="https://www.who.int/publications/i/item/epilepsy-a-public-health-imperative" TargetMode="External"/><Relationship Id="rId26" Type="http://schemas.openxmlformats.org/officeDocument/2006/relationships/hyperlink" Target="https://doi.org/10.1038/sdata.2016.44" TargetMode="External"/><Relationship Id="rId27" Type="http://schemas.openxmlformats.org/officeDocument/2006/relationships/hyperlink" Target="https://doi.org/10.1111/epi.18487" TargetMode="External"/><Relationship Id="rId28" Type="http://schemas.openxmlformats.org/officeDocument/2006/relationships/hyperlink" Target="https://doi.org/10.3389/fnhum.2020.00103" TargetMode="External"/><Relationship Id="rId29" Type="http://schemas.openxmlformats.org/officeDocument/2006/relationships/hyperlink" Target="https://doi.org/10.60508/v99k-ek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