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val="0"/>
          <w:i w:val="0"/>
          <w:sz w:val="22"/>
        </w:rPr>
      </w:r>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val="0"/>
          <w:i w:val="0"/>
          <w:sz w:val="22"/>
        </w:rPr>
      </w:r>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A distinguishing feature is the large proportion of ambulatory recordings acquired in patients' homes, including multi-day studies -- a real-world, out-of-hospital recording context largely absent from existing large clinical EEG corpora, which are predominantly hospital-based.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problem^3-6,12^.</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val="0"/>
          <w:i w:val="0"/>
          <w:sz w:val="22"/>
        </w:rPr>
      </w:r>
      <w:r>
        <w:rPr>
          <w:rFonts w:ascii="Times New Roman" w:hAnsi="Times New Roman"/>
          <w:b/>
          <w:i w:val="0"/>
          <w:sz w:val="22"/>
        </w:rPr>
        <w:t>Table 1. Comparison with existing EEG datasets.</w:t>
      </w:r>
      <w:r>
        <w:rPr>
          <w:rFonts w:ascii="Times New Roman" w:hAnsi="Times New Roman"/>
          <w:b w:val="0"/>
          <w:i w:val="0"/>
          <w:sz w:val="22"/>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val="0"/>
          <w:i w:val="0"/>
          <w:sz w:val="22"/>
        </w:rPr>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val="0"/>
          <w:i w:val="0"/>
          <w:sz w:val="22"/>
        </w:rPr>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val="0"/>
          <w:i w:val="0"/>
          <w:sz w:val="22"/>
        </w:rPr>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val="0"/>
          <w:i w:val="0"/>
          <w:sz w:val="22"/>
        </w:rPr>
      </w:r>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val="0"/>
          <w:i w:val="0"/>
          <w:sz w:val="22"/>
        </w:rPr>
      </w:r>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val="0"/>
          <w:i w:val="0"/>
          <w:sz w:val="22"/>
        </w:rPr>
      </w:r>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1.7.0)^8,10^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val="0"/>
          <w:i w:val="0"/>
          <w:sz w:val="22"/>
        </w:rPr>
      </w: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val="0"/>
          <w:i w:val="0"/>
          <w:sz w:val="22"/>
        </w:rPr>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val="0"/>
          <w:i w:val="0"/>
          <w:sz w:val="22"/>
        </w:rPr>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val="0"/>
          <w:i w:val="0"/>
          <w:sz w:val="22"/>
        </w:rPr>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val="0"/>
          <w:i w:val="0"/>
          <w:sz w:val="22"/>
        </w:rPr>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The dataset is available through BDSP at s3://bdsp-opendata-repository/EEG/bids/Neurotech/. Access requires a data use agreement (DUA); registration details are available at https://bdsp.io.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Code for the BIDS conversion pipeline, de-identification procedures, and annotation extraction is available at https://github.com/bdsp-core/Neurotech-EEG-Wrangling.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2324456"/>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0"/>
                    <a:stretch>
                      <a:fillRect/>
                    </a:stretch>
                  </pic:blipFill>
                  <pic:spPr>
                    <a:xfrm>
                      <a:off x="0" y="0"/>
                      <a:ext cx="5486400" cy="171485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1"/>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2"/>
                    <a:stretch>
                      <a:fillRect/>
                    </a:stretch>
                  </pic:blipFill>
                  <pic:spPr>
                    <a:xfrm>
                      <a:off x="0" y="0"/>
                      <a:ext cx="5486400" cy="18288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16, 051001 (2019).</w:t>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ListNumber"/>
      </w:pPr>
      <w:r>
        <w:rPr>
          <w:rFonts w:ascii="Times New Roman" w:hAnsi="Times New Roman"/>
          <w:b w:val="0"/>
          <w:i w:val="0"/>
          <w:sz w:val="22"/>
        </w:rPr>
        <w:t xml:space="preserve">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pStyle w:val="ListNumber"/>
      </w:pPr>
      <w:r>
        <w:rPr>
          <w:rFonts w:ascii="Times New Roman" w:hAnsi="Times New Roman"/>
          <w:b w:val="0"/>
          <w:i w:val="0"/>
          <w:sz w:val="22"/>
        </w:rPr>
        <w:t xml:space="preserve">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pStyle w:val="ListNumber"/>
      </w:pPr>
      <w:r>
        <w:rPr>
          <w:rFonts w:ascii="Times New Roman" w:hAnsi="Times New Roman"/>
          <w:b w:val="0"/>
          <w:i w:val="0"/>
          <w:sz w:val="22"/>
        </w:rPr>
        <w:t xml:space="preserve">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pStyle w:val="ListNumber"/>
      </w:pPr>
      <w:r>
        <w:rPr>
          <w:rFonts w:ascii="Times New Roman" w:hAnsi="Times New Roman"/>
          <w:b w:val="0"/>
          <w:i w:val="0"/>
          <w:sz w:val="22"/>
        </w:rPr>
        <w:t xml:space="preserve">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val="0"/>
          <w:i w:val="0"/>
          <w:sz w:val="22"/>
        </w:rPr>
      </w: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val="0"/>
          <w:i w:val="0"/>
          <w:sz w:val="22"/>
        </w:rPr>
      </w: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val="0"/>
          <w:i w:val="0"/>
          <w:sz w:val="22"/>
        </w:rPr>
      </w: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val="0"/>
          <w:i w:val="0"/>
          <w:sz w:val="22"/>
        </w:rPr>
      </w: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val="0"/>
          <w:i w:val="0"/>
          <w:sz w:val="22"/>
        </w:rPr>
      </w: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3"/>
                    <a:stretch>
                      <a:fillRect/>
                    </a:stretch>
                  </pic:blipFill>
                  <pic:spPr>
                    <a:xfrm>
                      <a:off x="0" y="0"/>
                      <a:ext cx="5486400" cy="319618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4"/>
                    <a:stretch>
                      <a:fillRect/>
                    </a:stretch>
                  </pic:blipFill>
                  <pic:spPr>
                    <a:xfrm>
                      <a:off x="0" y="0"/>
                      <a:ext cx="5486400" cy="306217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16"/>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