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A distinguishing feature is the large proportion of ambulatory recordings acquired in patients' homes, including multi-day studies -- a real-world, out-of-hospital recording context largely absent from existing large clinical EEG corpora, which are predominantly hospital-based.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problem^3-6,12^.</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i w:val="0"/>
          <w:sz w:val="22"/>
        </w:rPr>
        <w:t>Table 1. Comparison with existing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ICU/EMU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inpatient intensive care units and epilepsy monitoring units (ICU/EMU;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ind w:left="360" w:hanging="360"/>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ind w:left="360" w:hanging="360"/>
      </w:pPr>
      <w:r>
        <w:rPr>
          <w:rFonts w:ascii="Times New Roman" w:hAnsi="Times New Roman"/>
          <w:b w:val="0"/>
          <w:i w:val="0"/>
          <w:sz w:val="22"/>
        </w:rPr>
        <w:t xml:space="preserve">2. </w:t>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ind w:left="360" w:hanging="360"/>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1.7.0)^8,10^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360" w:hanging="360"/>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ind w:left="360" w:hanging="360"/>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ind w:left="360" w:hanging="360"/>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ind w:left="360" w:hanging="360"/>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 xml:space="preserve">The dataset is available through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w:t>
      </w:r>
      <w:hyperlink r:id="rId10">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hosted at s3://bdsp-opendata-repository/EEG/bids/Neurotech/. Access requires a data use agreement (DUA); register at </w:t>
      </w:r>
      <w:hyperlink r:id="rId11">
        <w:r>
          <w:rPr>
            <w:rFonts w:ascii="Times New Roman" w:hAnsi="Times New Roman"/>
            <w:sz w:val="22"/>
            <w:color w:val="0563C1"/>
            <w:u w:val="single"/>
          </w:rPr>
          <w:t xml:space="preserve">https://bdsp.io</w:t>
        </w:r>
      </w:hyperlink>
      <w:r>
        <w:rPr>
          <w:rFonts w:ascii="Times New Roman" w:hAnsi="Times New Roman"/>
          <w:b w:val="0"/>
          <w:i w:val="0"/>
          <w:sz w:val="22"/>
        </w:rPr>
        <w:t>.</w:t>
      </w:r>
      <w:r>
        <w:rPr>
          <w:rFonts w:ascii="Times New Roman" w:hAnsi="Times New Roman"/>
          <w:b w:val="0"/>
          <w:i w:val="0"/>
          <w:sz w:val="22"/>
        </w:rPr>
        <w:t xml:space="preserve">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 xml:space="preserve">Code for the BIDS conversion pipeline, de-identification procedures, and annotation extraction is available at </w:t>
      </w:r>
      <w:hyperlink r:id="rId12">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3"/>
                    <a:stretch>
                      <a:fillRect/>
                    </a:stretch>
                  </pic:blipFill>
                  <pic:spPr>
                    <a:xfrm>
                      <a:off x="0" y="0"/>
                      <a:ext cx="5486400" cy="2324456"/>
                    </a:xfrm>
                    <a:prstGeom prst="rect"/>
                  </pic:spPr>
                </pic:pic>
              </a:graphicData>
            </a:graphic>
          </wp:inline>
        </w:drawing>
      </w:r>
    </w:p>
    <w:p>
      <w:pPr>
        <w:spacing w:after="24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4"/>
                    <a:stretch>
                      <a:fillRect/>
                    </a:stretch>
                  </pic:blipFill>
                  <pic:spPr>
                    <a:xfrm>
                      <a:off x="0" y="0"/>
                      <a:ext cx="5486400" cy="1714857"/>
                    </a:xfrm>
                    <a:prstGeom prst="rect"/>
                  </pic:spPr>
                </pic:pic>
              </a:graphicData>
            </a:graphic>
          </wp:inline>
        </w:drawing>
      </w:r>
    </w:p>
    <w:p>
      <w:pPr>
        <w:spacing w:after="240"/>
      </w:pP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6"/>
                    <a:stretch>
                      <a:fillRect/>
                    </a:stretch>
                  </pic:blipFill>
                  <pic:spPr>
                    <a:xfrm>
                      <a:off x="0" y="0"/>
                      <a:ext cx="5486400" cy="1828800"/>
                    </a:xfrm>
                    <a:prstGeom prst="rect"/>
                  </pic:spPr>
                </pic:pic>
              </a:graphicData>
            </a:graphic>
          </wp:inline>
        </w:drawing>
      </w:r>
    </w:p>
    <w:p>
      <w:pPr>
        <w:spacing w:after="240"/>
      </w:pP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ind w:left="360" w:hanging="360"/>
      </w:pPr>
      <w:r>
        <w:rPr>
          <w:rFonts w:ascii="Times New Roman" w:hAnsi="Times New Roman"/>
          <w:b w:val="0"/>
          <w:i w:val="0"/>
          <w:sz w:val="22"/>
        </w:rPr>
        <w:t xml:space="preserve">1. 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ind w:left="360" w:hanging="360"/>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ind w:left="360" w:hanging="360"/>
      </w:pPr>
      <w:r>
        <w:rPr>
          <w:rFonts w:ascii="Times New Roman" w:hAnsi="Times New Roman"/>
          <w:b w:val="0"/>
          <w:i w:val="0"/>
          <w:sz w:val="22"/>
        </w:rPr>
        <w:t xml:space="preserve">3. 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ind w:left="360" w:hanging="360"/>
      </w:pPr>
      <w:r>
        <w:rPr>
          <w:rFonts w:ascii="Times New Roman" w:hAnsi="Times New Roman"/>
          <w:b w:val="0"/>
          <w:i w:val="0"/>
          <w:sz w:val="22"/>
        </w:rPr>
        <w:t xml:space="preserve">4. 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ind w:left="360" w:hanging="360"/>
      </w:pPr>
      <w:r>
        <w:rPr>
          <w:rFonts w:ascii="Times New Roman" w:hAnsi="Times New Roman"/>
          <w:b w:val="0"/>
          <w:i w:val="0"/>
          <w:sz w:val="22"/>
        </w:rPr>
        <w:t xml:space="preserve">5. 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ind w:left="360" w:hanging="360"/>
      </w:pPr>
      <w:r>
        <w:rPr>
          <w:rFonts w:ascii="Times New Roman" w:hAnsi="Times New Roman"/>
          <w:b w:val="0"/>
          <w:i w:val="0"/>
          <w:sz w:val="22"/>
        </w:rPr>
        <w:t xml:space="preserve">6. 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ind w:left="360" w:hanging="360"/>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ind w:left="360" w:hanging="360"/>
      </w:pPr>
      <w:r>
        <w:rPr>
          <w:rFonts w:ascii="Times New Roman" w:hAnsi="Times New Roman"/>
          <w:b w:val="0"/>
          <w:i w:val="0"/>
          <w:sz w:val="22"/>
        </w:rPr>
        <w:t xml:space="preserve">8. 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ind w:left="360" w:hanging="360"/>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ind w:left="360" w:hanging="360"/>
      </w:pPr>
      <w:r>
        <w:rPr>
          <w:rFonts w:ascii="Times New Roman" w:hAnsi="Times New Roman"/>
          <w:b w:val="0"/>
          <w:i w:val="0"/>
          <w:sz w:val="22"/>
        </w:rPr>
        <w:t xml:space="preserve">10. 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ind w:left="360" w:hanging="360"/>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ind w:left="360" w:hanging="360"/>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7"/>
                    <a:stretch>
                      <a:fillRect/>
                    </a:stretch>
                  </pic:blipFill>
                  <pic:spPr>
                    <a:xfrm>
                      <a:off x="0" y="0"/>
                      <a:ext cx="5486400" cy="3196180"/>
                    </a:xfrm>
                    <a:prstGeom prst="rect"/>
                  </pic:spPr>
                </pic:pic>
              </a:graphicData>
            </a:graphic>
          </wp:inline>
        </w:drawing>
      </w:r>
    </w:p>
    <w:p>
      <w:pPr>
        <w:spacing w:after="240"/>
      </w:pP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8"/>
                    <a:stretch>
                      <a:fillRect/>
                    </a:stretch>
                  </pic:blipFill>
                  <pic:spPr>
                    <a:xfrm>
                      <a:off x="0" y="0"/>
                      <a:ext cx="5486400" cy="3062177"/>
                    </a:xfrm>
                    <a:prstGeom prst="rect"/>
                  </pic:spPr>
                </pic:pic>
              </a:graphicData>
            </a:graphic>
          </wp:inline>
        </w:drawing>
      </w:r>
    </w:p>
    <w:p>
      <w:pPr>
        <w:spacing w:after="240"/>
      </w:pP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9"/>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20"/>
                    <a:stretch>
                      <a:fillRect/>
                    </a:stretch>
                  </pic:blipFill>
                  <pic:spPr>
                    <a:xfrm>
                      <a:off x="0" y="0"/>
                      <a:ext cx="5486400" cy="2286000"/>
                    </a:xfrm>
                    <a:prstGeom prst="rect"/>
                  </pic:spPr>
                </pic:pic>
              </a:graphicData>
            </a:graphic>
          </wp:inline>
        </w:drawing>
      </w:r>
    </w:p>
    <w:p>
      <w:pPr>
        <w:spacing w:after="240"/>
      </w:pP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bdsp.io" TargetMode="External"/><Relationship Id="rId12" Type="http://schemas.openxmlformats.org/officeDocument/2006/relationships/hyperlink" Target="https://github.com/bdsp-core/Neurotech-EEG-Wrangling"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