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Waukesha, WI</w:t>
      </w:r>
    </w:p>
    <w:p>
      <w:r>
        <w:rPr>
          <w:rFonts w:ascii="Times New Roman" w:hAnsi="Times New Roman"/>
          <w:b w:val="0"/>
          <w:i w:val="0"/>
          <w:sz w:val="22"/>
        </w:rPr>
        <w:t>[2] Department of Neurology, Beth Israel Deaconess Medical Center, Harvard Medical School, Boston, MA</w:t>
      </w:r>
    </w:p>
    <w:p>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EDF recording segments from 4,914 patients acquired by a single EEG monitoring service provider, predominantly in patients' homes,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A distinguishing feature is the large proportion of ambulatory recordings acquired in patients' homes, including multi-day studies -- a real-world, out-of-hospital recording context largely absent from existing large clinical EEG corpora, which are predominantly hospital-based.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diagnosis[1], yet the global shortage of trained EEG readers creates a bottleneck affecting the approximately 50 million people living with epilepsy worldwide[9]. Machine learning (ML) offers a path toward scalable automated interpretation[2],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w:t>
      </w:r>
      <w:r>
        <w:rPr>
          <w:rFonts w:ascii="Times New Roman" w:hAnsi="Times New Roman"/>
          <w:b w:val="0"/>
          <w:i w:val="0"/>
          <w:sz w:val="22"/>
          <w:vertAlign w:val="superscript"/>
        </w:rPr>
        <w:t>3-6,12</w:t>
      </w:r>
      <w:r>
        <w:rPr>
          <w:rFonts w:ascii="Times New Roman" w:hAnsi="Times New Roman"/>
          <w:b w:val="0"/>
          <w:i w:val="0"/>
          <w:sz w:val="22"/>
        </w:rPr>
        <w:t>.</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EDF recording segments from 4,914 patients totaling 212,186 recording hours. This dataset complements TUH by providing: (1) a majority of ambulatory and multi-day recordings (53% of recordings, compared with a predominantly inpatient corpus in TUH), (2) ambulatory acquisition hardware (Lifelines/EMS), distinct from the clinical acquisition systems used in existing corpora, enabling cross-platform algorithm validation, and (3) intact clinical workflow annotations including 50,482 technician-confirmed spike events and 6,892 seizure markers, enabling study of real-world annotation practices. This resource also complements large in-hospital clinical EEG databases such as the Harvard Electroencephalography Database (HEEDB; ~109,000 patients, ~329,000 recordings, and ~3.3 million recording hours across four hospitals, on the same BDSP platform)[11]: whereas HEEDB comprises routine, epilepsy monitoring unit (EMU), and intensive care unit (ICU) recordings acquired in clinical facilities, the present corpus is far smaller overall but uniquely contributes a large volume of multi-day ambulatory EEG recorded in patients' homes.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i w:val="0"/>
          <w:sz w:val="22"/>
        </w:rPr>
        <w:t>Table 1. Comparison with existing EEG datasets.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w:t>
            </w:r>
            <w:r>
              <w:rPr>
                <w:rFonts w:ascii="Times New Roman" w:hAnsi="Times New Roman"/>
                <w:b w:val="0"/>
                <w:i w:val="0"/>
                <w:sz w:val="18"/>
                <w:vertAlign w:val="superscript"/>
              </w:rPr>
              <w: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w:t>
            </w:r>
            <w:r>
              <w:rPr>
                <w:rFonts w:ascii="Times New Roman" w:hAnsi="Times New Roman"/>
                <w:b w:val="0"/>
                <w:i w:val="0"/>
                <w:sz w:val="18"/>
                <w:vertAlign w:val="superscript"/>
              </w:rPr>
              <w:t>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w:t>
            </w:r>
            <w:r>
              <w:rPr>
                <w:rFonts w:ascii="Times New Roman" w:hAnsi="Times New Roman"/>
                <w:b w:val="0"/>
                <w:i w:val="0"/>
                <w:sz w:val="18"/>
                <w:vertAlign w:val="superscript"/>
              </w:rPr>
              <w:t>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w:t>
            </w:r>
            <w:r>
              <w:rPr>
                <w:rFonts w:ascii="Times New Roman" w:hAnsi="Times New Roman"/>
                <w:b w:val="0"/>
                <w:i w:val="0"/>
                <w:sz w:val="18"/>
                <w:vertAlign w:val="superscript"/>
              </w:rPr>
              <w:t>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w:t>
            </w:r>
            <w:r>
              <w:rPr>
                <w:rFonts w:ascii="Times New Roman" w:hAnsi="Times New Roman"/>
                <w:b w:val="0"/>
                <w:i w:val="0"/>
                <w:sz w:val="18"/>
                <w:vertAlign w:val="superscript"/>
              </w:rPr>
              <w:t>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Lifelines / EMS</w:t>
            </w:r>
          </w:p>
        </w:tc>
        <w:tc>
          <w:tcPr>
            <w:tcW w:type="dxa" w:w="1234"/>
          </w:tcPr>
          <w:p>
            <w:r/>
            <w:r>
              <w:rPr>
                <w:rFonts w:ascii="Times New Roman" w:hAnsi="Times New Roman"/>
                <w:b/>
                <w:i w:val="0"/>
                <w:sz w:val="18"/>
              </w:rPr>
              <w:t>Routine + ambulatory (home)</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performs ambulatory EEG in patients' homes together with some routine outpatient studies (and occasional routine inpatient bedside recordings), across geographically distributed sites in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multi-day ambulatory monitoring (&gt;24 hours). Because the acquisition system exports each continuous recording as multiple EDF files, the 4,914 patients contributed 23,607 EDF recording segments containing signal data (median 3 segments per patient, interquartile range 1-6; 73% of patients have more than one segment). Grouping segments by recording date indicates they correspond to far fewer distinct EEG studies -- approximately one multi-day ambulatory study per patient (median one recording session per patient, spanning roughly two recording days) -- so the segment count should not be read as a count of separate EEG studies.</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Lifelines or EMS ambulatory EEG systems (with Persyst spike and seizure detection). Electrodes were placed according to the standard International 10-20 system (Fp1, Fp2, F3, F4, C3, C4, P3, P4, O1, O2, F7, F8, T3, T4, T5, T6, Fz, Pz, Cz) together with a two-channel electrocardiogram (ECG). Additional electrodes (e.g., A1, A2, T1, T2, F11, F12) were placed only on request and are absent from most recordings.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Persyst spike/seizure detection and clinical annotation workflow. Three annotation types are present:</w:t>
      </w:r>
    </w:p>
    <w:p>
      <w:pPr>
        <w:ind w:left="360" w:hanging="360"/>
      </w:pPr>
      <w:r>
        <w:rPr>
          <w:rFonts w:ascii="Times New Roman" w:hAnsi="Times New Roman"/>
          <w:b w:val="0"/>
          <w:i w:val="0"/>
          <w:sz w:val="22"/>
        </w:rPr>
        <w:t xml:space="preserve">1. </w:t>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ind w:left="360" w:hanging="360"/>
      </w:pPr>
      <w:r>
        <w:rPr>
          <w:rFonts w:ascii="Times New Roman" w:hAnsi="Times New Roman"/>
          <w:b w:val="0"/>
          <w:i w:val="0"/>
          <w:sz w:val="22"/>
        </w:rPr>
        <w:t xml:space="preserve">2. </w:t>
      </w: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ind w:left="360" w:hanging="360"/>
      </w:pPr>
      <w:r>
        <w:rPr>
          <w:rFonts w:ascii="Times New Roman" w:hAnsi="Times New Roman"/>
          <w:b w:val="0"/>
          <w:i w:val="0"/>
          <w:sz w:val="22"/>
        </w:rPr>
        <w:t xml:space="preserve">3. </w:t>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(PDR)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w:t>
      </w:r>
      <w:r>
        <w:rPr>
          <w:rFonts w:ascii="Times New Roman" w:hAnsi="Times New Roman"/>
          <w:b w:val="0"/>
          <w:i w:val="0"/>
          <w:sz w:val="22"/>
          <w:vertAlign w:val="superscript"/>
        </w:rPr>
        <w:t>8,10</w:t>
      </w:r>
      <w:r>
        <w:rPr>
          <w:rFonts w:ascii="Times New Roman" w:hAnsi="Times New Roman"/>
          <w:b w:val="0"/>
          <w:i w:val="0"/>
          <w:sz w:val="22"/>
        </w:rPr>
        <w:t xml:space="preserve">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p>
        </w:tc>
        <w:tc>
          <w:tcPr>
            <w:tcW w:type="dxa" w:w="2880"/>
          </w:tcPr>
          <w:p>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p>
        </w:tc>
        <w:tc>
          <w:tcPr>
            <w:tcW w:type="dxa" w:w="2880"/>
          </w:tcPr>
          <w:p>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p>
        </w:tc>
      </w:tr>
      <w:tr>
        <w:tc>
          <w:tcPr>
            <w:tcW w:type="dxa" w:w="2880"/>
          </w:tcPr>
          <w:p>
            <w:r/>
            <w:r>
              <w:rPr>
                <w:rFonts w:ascii="Times New Roman" w:hAnsi="Times New Roman"/>
                <w:b w:val="0"/>
                <w:i w:val="0"/>
                <w:sz w:val="18"/>
              </w:rPr>
              <w:t>Patients with multiple EDF segments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EDF segments (53%) fall in the 1-24 hour range consistent with ambulatory or short-term monitoring, while 36% are under one hour and 11% exceed 24 hours (multi-day ambulatory studies) (Supplementary Table 1, Figure 2A). Each continuous recording is exported as several EDF files, so these 23,607 signal-bearing segments correspond to substantially fewer distinct EEG studies (approximately one multi-day study per patient). In addition to the 23,607 segments containing signal data, the BIDS dataset includes 30,819 header-only EDF files originating from the acquisition-system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acquisition-system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ind w:left="360" w:hanging="360"/>
      </w:pPr>
      <w:r>
        <w:rPr>
          <w:rFonts w:ascii="Times New Roman" w:hAnsi="Times New Roman"/>
          <w:b w:val="0"/>
          <w:i w:val="0"/>
          <w:sz w:val="22"/>
        </w:rPr>
        <w:t xml:space="preserve">1. </w:t>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ind w:left="360" w:hanging="360"/>
      </w:pPr>
      <w:r>
        <w:rPr>
          <w:rFonts w:ascii="Times New Roman" w:hAnsi="Times New Roman"/>
          <w:b w:val="0"/>
          <w:i w:val="0"/>
          <w:sz w:val="22"/>
        </w:rPr>
        <w:t xml:space="preserve">2. </w:t>
      </w: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ind w:left="360" w:hanging="360"/>
      </w:pPr>
      <w:r>
        <w:rPr>
          <w:rFonts w:ascii="Times New Roman" w:hAnsi="Times New Roman"/>
          <w:b w:val="0"/>
          <w:i w:val="0"/>
          <w:sz w:val="22"/>
        </w:rPr>
        <w:t xml:space="preserve">3. </w:t>
      </w: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ind w:left="360" w:hanging="360"/>
      </w:pPr>
      <w:r>
        <w:rPr>
          <w:rFonts w:ascii="Times New Roman" w:hAnsi="Times New Roman"/>
          <w:b w:val="0"/>
          <w:i w:val="0"/>
          <w:sz w:val="22"/>
        </w:rPr>
        <w:t xml:space="preserve">4. </w:t>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and ambulatory)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(predominantly patients' homes, with some outpatient clinic and routine inpatient bedside studies)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(acquisition-system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may add multi-expert re-annotation of a validation subset to establish inter-rater reliability, apply automated sleep staging to multi-day recordings, and develop a curated bank of teaching cases with an interactive web application for EEG education. We also hope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 xml:space="preserve">The dataset is available through the Brain Data Science Platform (BDSP)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w:t>
      </w:r>
      <w:hyperlink r:id="rId10">
        <w:r>
          <w:rPr>
            <w:rFonts w:ascii="Times New Roman" w:hAnsi="Times New Roman"/>
            <w:sz w:val="22"/>
            <w:color w:val="0563C1"/>
            <w:u w:val="single"/>
          </w:rPr>
          <w:t xml:space="preserve">https://doi.org/10.60508/v99k-ek82</w:t>
        </w:r>
      </w:hyperlink>
      <w:r>
        <w:rPr>
          <w:rFonts w:ascii="Times New Roman" w:hAnsi="Times New Roman"/>
          <w:b w:val="0"/>
          <w:i w:val="0"/>
          <w:sz w:val="22"/>
        </w:rPr>
        <w:t xml:space="preserve">), hosted at s3://bdsp-opendata-repository/EEG/bids/Neurotech/. Access requires a data use agreement (DUA); register at </w:t>
      </w:r>
      <w:hyperlink r:id="rId11">
        <w:r>
          <w:rPr>
            <w:rFonts w:ascii="Times New Roman" w:hAnsi="Times New Roman"/>
            <w:sz w:val="22"/>
            <w:color w:val="0563C1"/>
            <w:u w:val="single"/>
          </w:rPr>
          <w:t xml:space="preserve">https://bdsp.io</w:t>
        </w:r>
      </w:hyperlink>
      <w:r>
        <w:rPr>
          <w:rFonts w:ascii="Times New Roman" w:hAnsi="Times New Roman"/>
          <w:b w:val="0"/>
          <w:i w:val="0"/>
          <w:sz w:val="22"/>
        </w:rPr>
        <w:t>.</w:t>
      </w:r>
      <w:r>
        <w:rPr>
          <w:rFonts w:ascii="Times New Roman" w:hAnsi="Times New Roman"/>
          <w:b w:val="0"/>
          <w:i w:val="0"/>
          <w:sz w:val="22"/>
        </w:rPr>
        <w:t xml:space="preserve">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 xml:space="preserve">Code for the BIDS conversion pipeline, de-identification procedures, and annotation extraction is available at </w:t>
      </w:r>
      <w:hyperlink r:id="rId12">
        <w:r>
          <w:rPr>
            <w:rFonts w:ascii="Times New Roman" w:hAnsi="Times New Roman"/>
            <w:sz w:val="22"/>
            <w:color w:val="0563C1"/>
            <w:u w:val="single"/>
          </w:rPr>
          <w:t xml:space="preserve">https://github.com/bdsp-core/Neurotech-EEG-Wrangling</w:t>
        </w:r>
      </w:hyperlink>
      <w:r>
        <w:rPr>
          <w:rFonts w:ascii="Times New Roman" w:hAnsi="Times New Roman"/>
          <w:b w:val="0"/>
          <w:i w:val="0"/>
          <w:sz w:val="22"/>
        </w:rPr>
        <w:t>.</w:t>
      </w:r>
      <w:r>
        <w:rPr>
          <w:rFonts w:ascii="Times New Roman" w:hAnsi="Times New Roman"/>
          <w:b w:val="0"/>
          <w:i w:val="0"/>
          <w:sz w:val="22"/>
        </w:rPr>
        <w:t xml:space="preserve">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1598400"/>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3"/>
                    <a:stretch>
                      <a:fillRect/>
                    </a:stretch>
                  </pic:blipFill>
                  <pic:spPr>
                    <a:xfrm>
                      <a:off x="0" y="0"/>
                      <a:ext cx="5486400" cy="1598400"/>
                    </a:xfrm>
                    <a:prstGeom prst="rect"/>
                  </pic:spPr>
                </pic:pic>
              </a:graphicData>
            </a:graphic>
          </wp:inline>
        </w:drawing>
      </w:r>
    </w:p>
    <w:p>
      <w:pPr>
        <w:spacing w:after="240"/>
      </w:pP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EDF recording segments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4"/>
                    <a:stretch>
                      <a:fillRect/>
                    </a:stretch>
                  </pic:blipFill>
                  <pic:spPr>
                    <a:xfrm>
                      <a:off x="0" y="0"/>
                      <a:ext cx="5486400" cy="1714857"/>
                    </a:xfrm>
                    <a:prstGeom prst="rect"/>
                  </pic:spPr>
                </pic:pic>
              </a:graphicData>
            </a:graphic>
          </wp:inline>
        </w:drawing>
      </w:r>
    </w:p>
    <w:p>
      <w:pPr>
        <w:spacing w:after="240"/>
      </w:pP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other clinical EEG datasets by number of patients and total recording hours on a logarithmic scale. The Harvard EEG Database (HEEDB), on the same platform, is far larger overall but comprises in-hospital recordings only; the present dataset uniquely contributes multi-day ambulatory/home recordings.</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6"/>
                    <a:stretch>
                      <a:fillRect/>
                    </a:stretch>
                  </pic:blipFill>
                  <pic:spPr>
                    <a:xfrm>
                      <a:off x="0" y="0"/>
                      <a:ext cx="5486400" cy="1828800"/>
                    </a:xfrm>
                    <a:prstGeom prst="rect"/>
                  </pic:spPr>
                </pic:pic>
              </a:graphicData>
            </a:graphic>
          </wp:inline>
        </w:drawing>
      </w:r>
    </w:p>
    <w:p>
      <w:pPr>
        <w:spacing w:after="240"/>
      </w:pP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ind w:left="360" w:hanging="360"/>
      </w:pPr>
      <w:r>
        <w:rPr>
          <w:rFonts w:ascii="Times New Roman" w:hAnsi="Times New Roman"/>
          <w:b w:val="0"/>
          <w:i w:val="0"/>
          <w:sz w:val="22"/>
        </w:rPr>
        <w:t xml:space="preserve">1. 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ind w:left="360" w:hanging="360"/>
      </w:pPr>
      <w:r>
        <w:rPr>
          <w:rFonts w:ascii="Times New Roman" w:hAnsi="Times New Roman"/>
          <w:b w:val="0"/>
          <w:i w:val="0"/>
          <w:sz w:val="22"/>
        </w:rPr>
        <w:t xml:space="preserve">2. Roy, Y. et al. Deep learning-based electroencephalography analysis: a systematic review. </w:t>
      </w:r>
      <w:r>
        <w:rPr>
          <w:rFonts w:ascii="Times New Roman" w:hAnsi="Times New Roman"/>
          <w:b w:val="0"/>
          <w:i/>
          <w:sz w:val="22"/>
        </w:rPr>
        <w:t>J. Neural Eng.</w:t>
      </w:r>
      <w:r>
        <w:rPr>
          <w:rFonts w:ascii="Times New Roman" w:hAnsi="Times New Roman"/>
          <w:b w:val="0"/>
          <w:i w:val="0"/>
          <w:sz w:val="22"/>
        </w:rPr>
        <w:t xml:space="preserve"> 16, 051001 (2019).</w:t>
      </w:r>
    </w:p>
    <w:p>
      <w:pPr>
        <w:ind w:left="360" w:hanging="360"/>
      </w:pPr>
      <w:r>
        <w:rPr>
          <w:rFonts w:ascii="Times New Roman" w:hAnsi="Times New Roman"/>
          <w:b w:val="0"/>
          <w:i w:val="0"/>
          <w:sz w:val="22"/>
        </w:rPr>
        <w:t xml:space="preserve">3. 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ind w:left="360" w:hanging="360"/>
      </w:pPr>
      <w:r>
        <w:rPr>
          <w:rFonts w:ascii="Times New Roman" w:hAnsi="Times New Roman"/>
          <w:b w:val="0"/>
          <w:i w:val="0"/>
          <w:sz w:val="22"/>
        </w:rPr>
        <w:t xml:space="preserve">4. 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ind w:left="360" w:hanging="360"/>
      </w:pPr>
      <w:r>
        <w:rPr>
          <w:rFonts w:ascii="Times New Roman" w:hAnsi="Times New Roman"/>
          <w:b w:val="0"/>
          <w:i w:val="0"/>
          <w:sz w:val="22"/>
        </w:rPr>
        <w:t xml:space="preserve">5. 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ind w:left="360" w:hanging="360"/>
      </w:pPr>
      <w:r>
        <w:rPr>
          <w:rFonts w:ascii="Times New Roman" w:hAnsi="Times New Roman"/>
          <w:b w:val="0"/>
          <w:i w:val="0"/>
          <w:sz w:val="22"/>
        </w:rPr>
        <w:t xml:space="preserve">6. 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ind w:left="360" w:hanging="360"/>
      </w:pPr>
      <w:r>
        <w:rPr>
          <w:rFonts w:ascii="Times New Roman" w:hAnsi="Times New Roman"/>
          <w:b w:val="0"/>
          <w:i w:val="0"/>
          <w:sz w:val="22"/>
        </w:rPr>
        <w:t xml:space="preserve">7. 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ind w:left="360" w:hanging="360"/>
      </w:pPr>
      <w:r>
        <w:rPr>
          <w:rFonts w:ascii="Times New Roman" w:hAnsi="Times New Roman"/>
          <w:b w:val="0"/>
          <w:i w:val="0"/>
          <w:sz w:val="22"/>
        </w:rPr>
        <w:t xml:space="preserve">8. 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ind w:left="360" w:hanging="360"/>
      </w:pPr>
      <w:r>
        <w:rPr>
          <w:rFonts w:ascii="Times New Roman" w:hAnsi="Times New Roman"/>
          <w:b w:val="0"/>
          <w:i w:val="0"/>
          <w:sz w:val="22"/>
        </w:rPr>
        <w:t xml:space="preserve">9. World Health Organization. </w:t>
      </w:r>
      <w:r>
        <w:rPr>
          <w:rFonts w:ascii="Times New Roman" w:hAnsi="Times New Roman"/>
          <w:b w:val="0"/>
          <w:i/>
          <w:sz w:val="22"/>
        </w:rPr>
        <w:t>Epilepsy: A Public Health Imperative</w:t>
      </w:r>
      <w:r>
        <w:rPr>
          <w:rFonts w:ascii="Times New Roman" w:hAnsi="Times New Roman"/>
          <w:b w:val="0"/>
          <w:i w:val="0"/>
          <w:sz w:val="22"/>
        </w:rPr>
        <w:t xml:space="preserve"> (WHO, Geneva, 2019).</w:t>
      </w:r>
    </w:p>
    <w:p>
      <w:pPr>
        <w:ind w:left="360" w:hanging="360"/>
      </w:pPr>
      <w:r>
        <w:rPr>
          <w:rFonts w:ascii="Times New Roman" w:hAnsi="Times New Roman"/>
          <w:b w:val="0"/>
          <w:i w:val="0"/>
          <w:sz w:val="22"/>
        </w:rPr>
        <w:t xml:space="preserve">10. Gorgolewski, K.J.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3, 160044 (2016).</w:t>
      </w:r>
    </w:p>
    <w:p>
      <w:pPr>
        <w:ind w:left="360" w:hanging="360"/>
      </w:pPr>
      <w:r>
        <w:rPr>
          <w:rFonts w:ascii="Times New Roman" w:hAnsi="Times New Roman"/>
          <w:b w:val="0"/>
          <w:i w:val="0"/>
          <w:sz w:val="22"/>
        </w:rPr>
        <w:t xml:space="preserve">11. 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(2025). doi:10.1111/epi.18487.</w:t>
      </w:r>
    </w:p>
    <w:p>
      <w:pPr>
        <w:ind w:left="360" w:hanging="360"/>
      </w:pPr>
      <w:r>
        <w:rPr>
          <w:rFonts w:ascii="Times New Roman" w:hAnsi="Times New Roman"/>
          <w:b w:val="0"/>
          <w:i w:val="0"/>
          <w:sz w:val="22"/>
        </w:rPr>
        <w:t xml:space="preserve">12. 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14, 103 (2020).</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DMG has been provided speaker fees from Harvard Medical School, AAN, AES, ACNS, NNS, AI in Epilepsy and Neurology, Florida Epilepsy Alliance, and UT-Austin. He also previously has been a paid consultant for Neuro Event Labs, IDR, LivaNova, Health Advances, Duke University, Bloom Insights and Wiley. He has received grants from NIH, ABPN, BIDMC and the Lions Club.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 R21NS142800) and the ABPN.</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pattern</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p>
        </w:tc>
        <w:tc>
          <w:tcPr>
            <w:tcW w:type="dxa" w:w="2880"/>
          </w:tcPr>
          <w:p>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p>
        </w:tc>
        <w:tc>
          <w:tcPr>
            <w:tcW w:type="dxa" w:w="2880"/>
          </w:tcPr>
          <w:p>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3342</w:t>
            </w:r>
          </w:p>
        </w:tc>
        <w:tc>
          <w:tcPr>
            <w:tcW w:type="dxa" w:w="2880"/>
          </w:tcPr>
          <w:p>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1755</w:t>
            </w:r>
          </w:p>
        </w:tc>
        <w:tc>
          <w:tcPr>
            <w:tcW w:type="dxa" w:w="2880"/>
          </w:tcPr>
          <w:p>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1669</w:t>
            </w:r>
          </w:p>
        </w:tc>
        <w:tc>
          <w:tcPr>
            <w:tcW w:type="dxa" w:w="2880"/>
          </w:tcPr>
          <w:p>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502</w:t>
            </w:r>
          </w:p>
        </w:tc>
        <w:tc>
          <w:tcPr>
            <w:tcW w:type="dxa" w:w="2880"/>
          </w:tcPr>
          <w:p>
            <w:r/>
          </w:p>
        </w:tc>
      </w:tr>
      <w:tr>
        <w:tc>
          <w:tcPr>
            <w:tcW w:type="dxa" w:w="2880"/>
          </w:tcPr>
          <w:p>
            <w:r/>
            <w:r>
              <w:rPr>
                <w:rFonts w:ascii="Times New Roman" w:hAnsi="Times New Roman"/>
                <w:b/>
                <w:i w:val="0"/>
                <w:sz w:val="18"/>
              </w:rPr>
              <w:t>Distribution</w:t>
            </w:r>
          </w:p>
        </w:tc>
        <w:tc>
          <w:tcPr>
            <w:tcW w:type="dxa" w:w="2880"/>
          </w:tcPr>
          <w:p>
            <w:r/>
          </w:p>
        </w:tc>
        <w:tc>
          <w:tcPr>
            <w:tcW w:type="dxa" w:w="2880"/>
          </w:tcPr>
          <w:p>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1691</w:t>
            </w:r>
          </w:p>
        </w:tc>
        <w:tc>
          <w:tcPr>
            <w:tcW w:type="dxa" w:w="2880"/>
          </w:tcPr>
          <w:p>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1364</w:t>
            </w:r>
          </w:p>
        </w:tc>
        <w:tc>
          <w:tcPr>
            <w:tcW w:type="dxa" w:w="2880"/>
          </w:tcPr>
          <w:p>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p>
        </w:tc>
      </w:tr>
      <w:tr>
        <w:tc>
          <w:tcPr>
            <w:tcW w:type="dxa" w:w="2880"/>
          </w:tcPr>
          <w:p>
            <w:r/>
            <w:r>
              <w:rPr>
                <w:rFonts w:ascii="Times New Roman" w:hAnsi="Times New Roman"/>
                <w:b/>
                <w:i w:val="0"/>
                <w:sz w:val="18"/>
              </w:rPr>
              <w:t>Laterality</w:t>
            </w:r>
          </w:p>
        </w:tc>
        <w:tc>
          <w:tcPr>
            <w:tcW w:type="dxa" w:w="2880"/>
          </w:tcPr>
          <w:p>
            <w:r/>
          </w:p>
        </w:tc>
        <w:tc>
          <w:tcPr>
            <w:tcW w:type="dxa" w:w="2880"/>
          </w:tcPr>
          <w:p>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1770</w:t>
            </w:r>
          </w:p>
        </w:tc>
        <w:tc>
          <w:tcPr>
            <w:tcW w:type="dxa" w:w="2880"/>
          </w:tcPr>
          <w:p>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1611</w:t>
            </w:r>
          </w:p>
        </w:tc>
        <w:tc>
          <w:tcPr>
            <w:tcW w:type="dxa" w:w="2880"/>
          </w:tcPr>
          <w:p>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709</w:t>
            </w:r>
          </w:p>
        </w:tc>
        <w:tc>
          <w:tcPr>
            <w:tcW w:type="dxa" w:w="2880"/>
          </w:tcPr>
          <w:p>
            <w:r/>
          </w:p>
        </w:tc>
      </w:tr>
      <w:tr>
        <w:tc>
          <w:tcPr>
            <w:tcW w:type="dxa" w:w="2880"/>
          </w:tcPr>
          <w:p>
            <w:r/>
            <w:r>
              <w:rPr>
                <w:rFonts w:ascii="Times New Roman" w:hAnsi="Times New Roman"/>
                <w:b/>
                <w:i w:val="0"/>
                <w:sz w:val="18"/>
              </w:rPr>
              <w:t>Region</w:t>
            </w:r>
          </w:p>
        </w:tc>
        <w:tc>
          <w:tcPr>
            <w:tcW w:type="dxa" w:w="2880"/>
          </w:tcPr>
          <w:p>
            <w:r/>
          </w:p>
        </w:tc>
        <w:tc>
          <w:tcPr>
            <w:tcW w:type="dxa" w:w="2880"/>
          </w:tcPr>
          <w:p>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1940</w:t>
            </w:r>
          </w:p>
        </w:tc>
        <w:tc>
          <w:tcPr>
            <w:tcW w:type="dxa" w:w="2880"/>
          </w:tcPr>
          <w:p>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1261</w:t>
            </w:r>
          </w:p>
        </w:tc>
        <w:tc>
          <w:tcPr>
            <w:tcW w:type="dxa" w:w="2880"/>
          </w:tcPr>
          <w:p>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878</w:t>
            </w:r>
          </w:p>
        </w:tc>
        <w:tc>
          <w:tcPr>
            <w:tcW w:type="dxa" w:w="2880"/>
          </w:tcPr>
          <w:p>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329</w:t>
            </w:r>
          </w:p>
        </w:tc>
        <w:tc>
          <w:tcPr>
            <w:tcW w:type="dxa" w:w="2880"/>
          </w:tcPr>
          <w:p>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404</w:t>
            </w:r>
          </w:p>
        </w:tc>
        <w:tc>
          <w:tcPr>
            <w:tcW w:type="dxa" w:w="2880"/>
          </w:tcPr>
          <w:p>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5119</w:t>
            </w:r>
          </w:p>
        </w:tc>
        <w:tc>
          <w:tcPr>
            <w:tcW w:type="dxa" w:w="2880"/>
          </w:tcPr>
          <w:p>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5011</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7"/>
                    <a:stretch>
                      <a:fillRect/>
                    </a:stretch>
                  </pic:blipFill>
                  <pic:spPr>
                    <a:xfrm>
                      <a:off x="0" y="0"/>
                      <a:ext cx="5486400" cy="3196180"/>
                    </a:xfrm>
                    <a:prstGeom prst="rect"/>
                  </pic:spPr>
                </pic:pic>
              </a:graphicData>
            </a:graphic>
          </wp:inline>
        </w:drawing>
      </w:r>
    </w:p>
    <w:p>
      <w:pPr>
        <w:spacing w:after="240"/>
      </w:pP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350540"/>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8"/>
                    <a:stretch>
                      <a:fillRect/>
                    </a:stretch>
                  </pic:blipFill>
                  <pic:spPr>
                    <a:xfrm>
                      <a:off x="0" y="0"/>
                      <a:ext cx="5486400" cy="3350540"/>
                    </a:xfrm>
                    <a:prstGeom prst="rect"/>
                  </pic:spPr>
                </pic:pic>
              </a:graphicData>
            </a:graphic>
          </wp:inline>
        </w:drawing>
      </w:r>
    </w:p>
    <w:p>
      <w:pPr>
        <w:spacing w:after="240"/>
      </w:pP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and equipment identifiers are removed.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9"/>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20"/>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dsp.io/content/nf89816gtxbon11kbr9a/1.0/" TargetMode="External"/><Relationship Id="rId10" Type="http://schemas.openxmlformats.org/officeDocument/2006/relationships/hyperlink" Target="https://doi.org/10.60508/v99k-ek82" TargetMode="External"/><Relationship Id="rId11" Type="http://schemas.openxmlformats.org/officeDocument/2006/relationships/hyperlink" Target="https://bdsp.io" TargetMode="External"/><Relationship Id="rId12" Type="http://schemas.openxmlformats.org/officeDocument/2006/relationships/hyperlink" Target="https://github.com/bdsp-core/Neurotech-EEG-Wrangling"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