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30"/>
        </w:rPr>
        <w:t>Supplementary Material</w:t>
      </w:r>
    </w:p>
    <w:p>
      <w:pPr>
        <w:spacing w:before="120"/>
      </w:pPr>
      <w:r>
        <w:rPr>
          <w:rFonts w:ascii="Times New Roman" w:hAnsi="Times New Roman"/>
          <w:b/>
          <w:i w:val="0"/>
          <w:sz w:val="26"/>
        </w:rPr>
        <w:t>The Neurotech EEG Dataset: A Large Clinical Scalp EEG Corpus Dominated by Multi-Day Ambulatory Recordings</w:t>
      </w:r>
    </w:p>
    <w:p>
      <w:r>
        <w:rPr>
          <w:rFonts w:ascii="Times New Roman" w:hAnsi="Times New Roman"/>
          <w:b w:val="0"/>
          <w:i w:val="0"/>
          <w:sz w:val="24"/>
        </w:rPr>
        <w:t>Morgan et al.</w:t>
      </w:r>
    </w:p>
    <w:p>
      <w:pPr>
        <w:spacing w:before="120"/>
      </w:pPr>
      <w:r>
        <w:rPr>
          <w:rFonts w:ascii="Times New Roman" w:hAnsi="Times New Roman"/>
          <w:b/>
          <w:i w:val="0"/>
          <w:sz w:val="26"/>
        </w:rPr>
        <w:t>Supplementary Tables</w:t>
      </w:r>
    </w:p>
    <w:p>
      <w:r>
        <w:rPr>
          <w:rFonts w:ascii="Times New Roman" w:hAnsi="Times New Roman"/>
          <w:b/>
          <w:i w:val="0"/>
          <w:sz w:val="24"/>
        </w:rPr>
        <w:t>Supplementary Table 1. Recording duration categories.</w:t>
      </w:r>
      <w:r>
        <w:rPr>
          <w:rFonts w:ascii="Times New Roman" w:hAnsi="Times New Roman"/>
          <w:b w:val="0"/>
          <w:i w:val="0"/>
          <w:sz w:val="24"/>
        </w:rPr>
        <w:t xml:space="preserve"> The majority of segments represent ambulatory or short-term monitoring.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b/>
                <w:i w:val="0"/>
                <w:sz w:val="18"/>
              </w:rPr>
              <w:t>Category</w:t>
            </w:r>
          </w:p>
        </w:tc>
        <w:tc>
          <w:tcPr>
            <w:tcW w:type="dxa" w:w="2160"/>
          </w:tcPr>
          <w:p>
            <w:r/>
            <w:r>
              <w:rPr>
                <w:rFonts w:ascii="Times New Roman" w:hAnsi="Times New Roman"/>
                <w:b/>
                <w:i w:val="0"/>
                <w:sz w:val="18"/>
              </w:rPr>
              <w:t>Duration</w:t>
            </w:r>
          </w:p>
        </w:tc>
        <w:tc>
          <w:tcPr>
            <w:tcW w:type="dxa" w:w="2160"/>
          </w:tcPr>
          <w:p>
            <w:r/>
            <w:r>
              <w:rPr>
                <w:rFonts w:ascii="Times New Roman" w:hAnsi="Times New Roman"/>
                <w:b/>
                <w:i w:val="0"/>
                <w:sz w:val="18"/>
              </w:rPr>
              <w:t>N segments (%)</w:t>
            </w:r>
          </w:p>
        </w:tc>
        <w:tc>
          <w:tcPr>
            <w:tcW w:type="dxa" w:w="2160"/>
          </w:tcPr>
          <w:p>
            <w:r/>
            <w:r>
              <w:rPr>
                <w:rFonts w:ascii="Times New Roman" w:hAnsi="Times New Roman"/>
                <w:b/>
                <w:i w:val="0"/>
                <w:sz w:val="18"/>
              </w:rPr>
              <w:t>Likely clinical setting</w:t>
            </w:r>
          </w:p>
        </w:tc>
      </w:tr>
      <w:tr>
        <w:tc>
          <w:tcPr>
            <w:tcW w:type="dxa" w:w="2160"/>
          </w:tcPr>
          <w:p>
            <w:r/>
            <w:r>
              <w:rPr>
                <w:rFonts w:ascii="Times New Roman" w:hAnsi="Times New Roman"/>
                <w:b w:val="0"/>
                <w:i w:val="0"/>
                <w:sz w:val="18"/>
              </w:rPr>
              <w:t>Routine</w:t>
            </w:r>
          </w:p>
        </w:tc>
        <w:tc>
          <w:tcPr>
            <w:tcW w:type="dxa" w:w="2160"/>
          </w:tcPr>
          <w:p>
            <w:r/>
            <w:r>
              <w:rPr>
                <w:rFonts w:ascii="Times New Roman" w:hAnsi="Times New Roman"/>
                <w:b w:val="0"/>
                <w:i w:val="0"/>
                <w:sz w:val="18"/>
              </w:rPr>
              <w:t>&lt; 1 hour</w:t>
            </w:r>
          </w:p>
        </w:tc>
        <w:tc>
          <w:tcPr>
            <w:tcW w:type="dxa" w:w="2160"/>
          </w:tcPr>
          <w:p>
            <w:r/>
            <w:r>
              <w:rPr>
                <w:rFonts w:ascii="Times New Roman" w:hAnsi="Times New Roman"/>
                <w:b w:val="0"/>
                <w:i w:val="0"/>
                <w:sz w:val="18"/>
              </w:rPr>
              <w:t>8,545 (36%)</w:t>
            </w:r>
          </w:p>
        </w:tc>
        <w:tc>
          <w:tcPr>
            <w:tcW w:type="dxa" w:w="2160"/>
          </w:tcPr>
          <w:p>
            <w:r/>
            <w:r>
              <w:rPr>
                <w:rFonts w:ascii="Times New Roman" w:hAnsi="Times New Roman"/>
                <w:b w:val="0"/>
                <w:i w:val="0"/>
                <w:sz w:val="18"/>
              </w:rPr>
              <w:t>Outpatient EEG</w:t>
            </w:r>
          </w:p>
        </w:tc>
      </w:tr>
      <w:tr>
        <w:tc>
          <w:tcPr>
            <w:tcW w:type="dxa" w:w="2160"/>
          </w:tcPr>
          <w:p>
            <w:r/>
            <w:r>
              <w:rPr>
                <w:rFonts w:ascii="Times New Roman" w:hAnsi="Times New Roman"/>
                <w:b w:val="0"/>
                <w:i w:val="0"/>
                <w:sz w:val="18"/>
              </w:rPr>
              <w:t>Short monitoring</w:t>
            </w:r>
          </w:p>
        </w:tc>
        <w:tc>
          <w:tcPr>
            <w:tcW w:type="dxa" w:w="2160"/>
          </w:tcPr>
          <w:p>
            <w:r/>
            <w:r>
              <w:rPr>
                <w:rFonts w:ascii="Times New Roman" w:hAnsi="Times New Roman"/>
                <w:b w:val="0"/>
                <w:i w:val="0"/>
                <w:sz w:val="18"/>
              </w:rPr>
              <w:t>1 - 24 hours</w:t>
            </w:r>
          </w:p>
        </w:tc>
        <w:tc>
          <w:tcPr>
            <w:tcW w:type="dxa" w:w="2160"/>
          </w:tcPr>
          <w:p>
            <w:r/>
            <w:r>
              <w:rPr>
                <w:rFonts w:ascii="Times New Roman" w:hAnsi="Times New Roman"/>
                <w:b w:val="0"/>
                <w:i w:val="0"/>
                <w:sz w:val="18"/>
              </w:rPr>
              <w:t>12,572 (53%)</w:t>
            </w:r>
          </w:p>
        </w:tc>
        <w:tc>
          <w:tcPr>
            <w:tcW w:type="dxa" w:w="2160"/>
          </w:tcPr>
          <w:p>
            <w:r/>
            <w:r>
              <w:rPr>
                <w:rFonts w:ascii="Times New Roman" w:hAnsi="Times New Roman"/>
                <w:b w:val="0"/>
                <w:i w:val="0"/>
                <w:sz w:val="18"/>
              </w:rPr>
              <w:t>Ambulatory or short-term</w:t>
            </w:r>
          </w:p>
        </w:tc>
      </w:tr>
      <w:tr>
        <w:tc>
          <w:tcPr>
            <w:tcW w:type="dxa" w:w="2160"/>
          </w:tcPr>
          <w:p>
            <w:r/>
            <w:r>
              <w:rPr>
                <w:rFonts w:ascii="Times New Roman" w:hAnsi="Times New Roman"/>
                <w:b w:val="0"/>
                <w:i w:val="0"/>
                <w:sz w:val="18"/>
              </w:rPr>
              <w:t>Prolonged monitoring</w:t>
            </w:r>
          </w:p>
        </w:tc>
        <w:tc>
          <w:tcPr>
            <w:tcW w:type="dxa" w:w="2160"/>
          </w:tcPr>
          <w:p>
            <w:r/>
            <w:r>
              <w:rPr>
                <w:rFonts w:ascii="Times New Roman" w:hAnsi="Times New Roman"/>
                <w:b w:val="0"/>
                <w:i w:val="0"/>
                <w:sz w:val="18"/>
              </w:rPr>
              <w:t>&gt; 24 hours</w:t>
            </w:r>
          </w:p>
        </w:tc>
        <w:tc>
          <w:tcPr>
            <w:tcW w:type="dxa" w:w="2160"/>
          </w:tcPr>
          <w:p>
            <w:r/>
            <w:r>
              <w:rPr>
                <w:rFonts w:ascii="Times New Roman" w:hAnsi="Times New Roman"/>
                <w:b w:val="0"/>
                <w:i w:val="0"/>
                <w:sz w:val="18"/>
              </w:rPr>
              <w:t>2,490 (11%)</w:t>
            </w:r>
          </w:p>
        </w:tc>
        <w:tc>
          <w:tcPr>
            <w:tcW w:type="dxa" w:w="2160"/>
          </w:tcPr>
          <w:p>
            <w:r/>
            <w:r>
              <w:rPr>
                <w:rFonts w:ascii="Times New Roman" w:hAnsi="Times New Roman"/>
                <w:b w:val="0"/>
                <w:i w:val="0"/>
                <w:sz w:val="18"/>
              </w:rPr>
              <w:t>Multi-day ambulatory</w:t>
            </w:r>
          </w:p>
        </w:tc>
      </w:tr>
    </w:tbl>
    <w:p/>
    <w:p>
      <w:r>
        <w:rPr>
          <w:rFonts w:ascii="Times New Roman" w:hAnsi="Times New Roman"/>
          <w:b w:val="0"/>
          <w:i/>
          <w:sz w:val="24"/>
        </w:rPr>
        <w:t>Percentages computed over 23,607 EDF segments containing recoverable signal data.</w:t>
      </w:r>
    </w:p>
    <w:p>
      <w:r>
        <w:rPr>
          <w:rFonts w:ascii="Times New Roman" w:hAnsi="Times New Roman"/>
          <w:b/>
          <w:i w:val="0"/>
          <w:sz w:val="24"/>
        </w:rPr>
        <w:t>Supplementary Table 2. Annotation categories.</w:t>
      </w:r>
      <w:r>
        <w:rPr>
          <w:rFonts w:ascii="Times New Roman" w:hAnsi="Times New Roman"/>
          <w:b w:val="0"/>
          <w:i w:val="0"/>
          <w:sz w:val="24"/>
        </w:rPr>
        <w:t xml:space="preserve"> Technician clips and spike markers are the most frequent categories.</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b/>
                <w:i w:val="0"/>
                <w:sz w:val="18"/>
              </w:rPr>
              <w:t>Category</w:t>
            </w:r>
          </w:p>
        </w:tc>
        <w:tc>
          <w:tcPr>
            <w:tcW w:type="dxa" w:w="2880"/>
          </w:tcPr>
          <w:p>
            <w:r/>
            <w:r>
              <w:rPr>
                <w:rFonts w:ascii="Times New Roman" w:hAnsi="Times New Roman"/>
                <w:b/>
                <w:i w:val="0"/>
                <w:sz w:val="18"/>
              </w:rPr>
              <w:t>Events</w:t>
            </w:r>
          </w:p>
        </w:tc>
        <w:tc>
          <w:tcPr>
            <w:tcW w:type="dxa" w:w="2880"/>
          </w:tcPr>
          <w:p>
            <w:r/>
            <w:r>
              <w:rPr>
                <w:rFonts w:ascii="Times New Roman" w:hAnsi="Times New Roman"/>
                <w:b/>
                <w:i w:val="0"/>
                <w:sz w:val="18"/>
              </w:rPr>
              <w:t>Description</w:t>
            </w:r>
          </w:p>
        </w:tc>
      </w:tr>
      <w:tr>
        <w:tc>
          <w:tcPr>
            <w:tcW w:type="dxa" w:w="2880"/>
          </w:tcPr>
          <w:p>
            <w:r/>
            <w:r>
              <w:rPr>
                <w:rFonts w:ascii="Times New Roman" w:hAnsi="Times New Roman"/>
                <w:b w:val="0"/>
                <w:i w:val="0"/>
                <w:sz w:val="18"/>
              </w:rPr>
              <w:t>Technician clips</w:t>
            </w:r>
          </w:p>
        </w:tc>
        <w:tc>
          <w:tcPr>
            <w:tcW w:type="dxa" w:w="2880"/>
          </w:tcPr>
          <w:p>
            <w:r/>
            <w:r>
              <w:rPr>
                <w:rFonts w:ascii="Times New Roman" w:hAnsi="Times New Roman"/>
                <w:b w:val="0"/>
                <w:i w:val="0"/>
                <w:sz w:val="18"/>
              </w:rPr>
              <w:t>53,469</w:t>
            </w:r>
          </w:p>
        </w:tc>
        <w:tc>
          <w:tcPr>
            <w:tcW w:type="dxa" w:w="2880"/>
          </w:tcPr>
          <w:p>
            <w:r/>
            <w:r>
              <w:rPr>
                <w:rFonts w:ascii="Times New Roman" w:hAnsi="Times New Roman"/>
                <w:b w:val="0"/>
                <w:i w:val="0"/>
                <w:sz w:val="18"/>
              </w:rPr>
              <w:t>Segments selected for physician review</w:t>
            </w:r>
          </w:p>
        </w:tc>
      </w:tr>
      <w:tr>
        <w:tc>
          <w:tcPr>
            <w:tcW w:type="dxa" w:w="2880"/>
          </w:tcPr>
          <w:p>
            <w:r/>
            <w:r>
              <w:rPr>
                <w:rFonts w:ascii="Times New Roman" w:hAnsi="Times New Roman"/>
                <w:b w:val="0"/>
                <w:i w:val="0"/>
                <w:sz w:val="18"/>
              </w:rPr>
              <w:t>Spike markers</w:t>
            </w:r>
          </w:p>
        </w:tc>
        <w:tc>
          <w:tcPr>
            <w:tcW w:type="dxa" w:w="2880"/>
          </w:tcPr>
          <w:p>
            <w:r/>
            <w:r>
              <w:rPr>
                <w:rFonts w:ascii="Times New Roman" w:hAnsi="Times New Roman"/>
                <w:b w:val="0"/>
                <w:i w:val="0"/>
                <w:sz w:val="18"/>
              </w:rPr>
              <w:t>50,482</w:t>
            </w:r>
          </w:p>
        </w:tc>
        <w:tc>
          <w:tcPr>
            <w:tcW w:type="dxa" w:w="2880"/>
          </w:tcPr>
          <w:p>
            <w:r/>
            <w:r>
              <w:rPr>
                <w:rFonts w:ascii="Times New Roman" w:hAnsi="Times New Roman"/>
                <w:b w:val="0"/>
                <w:i w:val="0"/>
                <w:sz w:val="18"/>
              </w:rPr>
              <w:t>Interictal epileptiform discharge detections</w:t>
            </w:r>
          </w:p>
        </w:tc>
      </w:tr>
      <w:tr>
        <w:tc>
          <w:tcPr>
            <w:tcW w:type="dxa" w:w="2880"/>
          </w:tcPr>
          <w:p>
            <w:r/>
            <w:r>
              <w:rPr>
                <w:rFonts w:ascii="Times New Roman" w:hAnsi="Times New Roman"/>
                <w:b w:val="0"/>
                <w:i w:val="0"/>
                <w:sz w:val="18"/>
              </w:rPr>
              <w:t>Neurotech free-text comments</w:t>
            </w:r>
          </w:p>
        </w:tc>
        <w:tc>
          <w:tcPr>
            <w:tcW w:type="dxa" w:w="2880"/>
          </w:tcPr>
          <w:p>
            <w:r/>
            <w:r>
              <w:rPr>
                <w:rFonts w:ascii="Times New Roman" w:hAnsi="Times New Roman"/>
                <w:b w:val="0"/>
                <w:i w:val="0"/>
                <w:sz w:val="18"/>
              </w:rPr>
              <w:t>24,267</w:t>
            </w:r>
          </w:p>
        </w:tc>
        <w:tc>
          <w:tcPr>
            <w:tcW w:type="dxa" w:w="2880"/>
          </w:tcPr>
          <w:p>
            <w:r/>
            <w:r>
              <w:rPr>
                <w:rFonts w:ascii="Times New Roman" w:hAnsi="Times New Roman"/>
                <w:b w:val="0"/>
                <w:i w:val="0"/>
                <w:sz w:val="18"/>
              </w:rPr>
              <w:t>Free-text EEG finding descriptions</w:t>
            </w:r>
          </w:p>
        </w:tc>
      </w:tr>
      <w:tr>
        <w:tc>
          <w:tcPr>
            <w:tcW w:type="dxa" w:w="2880"/>
          </w:tcPr>
          <w:p>
            <w:r/>
            <w:r>
              <w:rPr>
                <w:rFonts w:ascii="Times New Roman" w:hAnsi="Times New Roman"/>
                <w:b w:val="0"/>
                <w:i w:val="0"/>
                <w:sz w:val="18"/>
              </w:rPr>
              <w:t>Sharp waves</w:t>
            </w:r>
          </w:p>
        </w:tc>
        <w:tc>
          <w:tcPr>
            <w:tcW w:type="dxa" w:w="2880"/>
          </w:tcPr>
          <w:p>
            <w:r/>
            <w:r>
              <w:rPr>
                <w:rFonts w:ascii="Times New Roman" w:hAnsi="Times New Roman"/>
                <w:b w:val="0"/>
                <w:i w:val="0"/>
                <w:sz w:val="18"/>
              </w:rPr>
              <w:t>21,330</w:t>
            </w:r>
          </w:p>
        </w:tc>
        <w:tc>
          <w:tcPr>
            <w:tcW w:type="dxa" w:w="2880"/>
          </w:tcPr>
          <w:p>
            <w:r/>
            <w:r>
              <w:rPr>
                <w:rFonts w:ascii="Times New Roman" w:hAnsi="Times New Roman"/>
                <w:b w:val="0"/>
                <w:i w:val="0"/>
                <w:sz w:val="18"/>
              </w:rPr>
              <w:t>Sharp wave or sharp-slow-wave complexes</w:t>
            </w:r>
          </w:p>
        </w:tc>
      </w:tr>
      <w:tr>
        <w:tc>
          <w:tcPr>
            <w:tcW w:type="dxa" w:w="2880"/>
          </w:tcPr>
          <w:p>
            <w:r/>
            <w:r>
              <w:rPr>
                <w:rFonts w:ascii="Times New Roman" w:hAnsi="Times New Roman"/>
                <w:b w:val="0"/>
                <w:i w:val="0"/>
                <w:sz w:val="18"/>
              </w:rPr>
              <w:t>Slowing</w:t>
            </w:r>
          </w:p>
        </w:tc>
        <w:tc>
          <w:tcPr>
            <w:tcW w:type="dxa" w:w="2880"/>
          </w:tcPr>
          <w:p>
            <w:r/>
            <w:r>
              <w:rPr>
                <w:rFonts w:ascii="Times New Roman" w:hAnsi="Times New Roman"/>
                <w:b w:val="0"/>
                <w:i w:val="0"/>
                <w:sz w:val="18"/>
              </w:rPr>
              <w:t>19,401</w:t>
            </w:r>
          </w:p>
        </w:tc>
        <w:tc>
          <w:tcPr>
            <w:tcW w:type="dxa" w:w="2880"/>
          </w:tcPr>
          <w:p>
            <w:r/>
            <w:r>
              <w:rPr>
                <w:rFonts w:ascii="Times New Roman" w:hAnsi="Times New Roman"/>
                <w:b w:val="0"/>
                <w:i w:val="0"/>
                <w:sz w:val="18"/>
              </w:rPr>
              <w:t>Focal or diffuse slowing</w:t>
            </w:r>
          </w:p>
        </w:tc>
      </w:tr>
      <w:tr>
        <w:tc>
          <w:tcPr>
            <w:tcW w:type="dxa" w:w="2880"/>
          </w:tcPr>
          <w:p>
            <w:r/>
            <w:r>
              <w:rPr>
                <w:rFonts w:ascii="Times New Roman" w:hAnsi="Times New Roman"/>
                <w:b w:val="0"/>
                <w:i w:val="0"/>
                <w:sz w:val="18"/>
              </w:rPr>
              <w:t>Activation procedures</w:t>
            </w:r>
          </w:p>
        </w:tc>
        <w:tc>
          <w:tcPr>
            <w:tcW w:type="dxa" w:w="2880"/>
          </w:tcPr>
          <w:p>
            <w:r/>
            <w:r>
              <w:rPr>
                <w:rFonts w:ascii="Times New Roman" w:hAnsi="Times New Roman"/>
                <w:b w:val="0"/>
                <w:i w:val="0"/>
                <w:sz w:val="18"/>
              </w:rPr>
              <w:t>15,746</w:t>
            </w:r>
          </w:p>
        </w:tc>
        <w:tc>
          <w:tcPr>
            <w:tcW w:type="dxa" w:w="2880"/>
          </w:tcPr>
          <w:p>
            <w:r/>
            <w:r>
              <w:rPr>
                <w:rFonts w:ascii="Times New Roman" w:hAnsi="Times New Roman"/>
                <w:b w:val="0"/>
                <w:i w:val="0"/>
                <w:sz w:val="18"/>
              </w:rPr>
              <w:t>Eyes open/closed, photic, hyperventilation</w:t>
            </w:r>
          </w:p>
        </w:tc>
      </w:tr>
      <w:tr>
        <w:tc>
          <w:tcPr>
            <w:tcW w:type="dxa" w:w="2880"/>
          </w:tcPr>
          <w:p>
            <w:r/>
            <w:r>
              <w:rPr>
                <w:rFonts w:ascii="Times New Roman" w:hAnsi="Times New Roman"/>
                <w:b w:val="0"/>
                <w:i w:val="0"/>
                <w:sz w:val="18"/>
              </w:rPr>
              <w:t>Generalized patterns</w:t>
            </w:r>
          </w:p>
        </w:tc>
        <w:tc>
          <w:tcPr>
            <w:tcW w:type="dxa" w:w="2880"/>
          </w:tcPr>
          <w:p>
            <w:r/>
            <w:r>
              <w:rPr>
                <w:rFonts w:ascii="Times New Roman" w:hAnsi="Times New Roman"/>
                <w:b w:val="0"/>
                <w:i w:val="0"/>
                <w:sz w:val="18"/>
              </w:rPr>
              <w:t>12,345</w:t>
            </w:r>
          </w:p>
        </w:tc>
        <w:tc>
          <w:tcPr>
            <w:tcW w:type="dxa" w:w="2880"/>
          </w:tcPr>
          <w:p>
            <w:r/>
            <w:r>
              <w:rPr>
                <w:rFonts w:ascii="Times New Roman" w:hAnsi="Times New Roman"/>
                <w:b w:val="0"/>
                <w:i w:val="0"/>
                <w:sz w:val="18"/>
              </w:rPr>
              <w:t>Generalized discharges</w:t>
            </w:r>
          </w:p>
        </w:tc>
      </w:tr>
      <w:tr>
        <w:tc>
          <w:tcPr>
            <w:tcW w:type="dxa" w:w="2880"/>
          </w:tcPr>
          <w:p>
            <w:r/>
            <w:r>
              <w:rPr>
                <w:rFonts w:ascii="Times New Roman" w:hAnsi="Times New Roman"/>
                <w:b w:val="0"/>
                <w:i w:val="0"/>
                <w:sz w:val="18"/>
              </w:rPr>
              <w:t>Spike-wave</w:t>
            </w:r>
          </w:p>
        </w:tc>
        <w:tc>
          <w:tcPr>
            <w:tcW w:type="dxa" w:w="2880"/>
          </w:tcPr>
          <w:p>
            <w:r/>
            <w:r>
              <w:rPr>
                <w:rFonts w:ascii="Times New Roman" w:hAnsi="Times New Roman"/>
                <w:b w:val="0"/>
                <w:i w:val="0"/>
                <w:sz w:val="18"/>
              </w:rPr>
              <w:t>10,439</w:t>
            </w:r>
          </w:p>
        </w:tc>
        <w:tc>
          <w:tcPr>
            <w:tcW w:type="dxa" w:w="2880"/>
          </w:tcPr>
          <w:p>
            <w:r/>
            <w:r>
              <w:rPr>
                <w:rFonts w:ascii="Times New Roman" w:hAnsi="Times New Roman"/>
                <w:b w:val="0"/>
                <w:i w:val="0"/>
                <w:sz w:val="18"/>
              </w:rPr>
              <w:t>Spike-wave complexes</w:t>
            </w:r>
          </w:p>
        </w:tc>
      </w:tr>
      <w:tr>
        <w:tc>
          <w:tcPr>
            <w:tcW w:type="dxa" w:w="2880"/>
          </w:tcPr>
          <w:p>
            <w:r/>
            <w:r>
              <w:rPr>
                <w:rFonts w:ascii="Times New Roman" w:hAnsi="Times New Roman"/>
                <w:b w:val="0"/>
                <w:i w:val="0"/>
                <w:sz w:val="18"/>
              </w:rPr>
              <w:t>Seizure markers</w:t>
            </w:r>
          </w:p>
        </w:tc>
        <w:tc>
          <w:tcPr>
            <w:tcW w:type="dxa" w:w="2880"/>
          </w:tcPr>
          <w:p>
            <w:r/>
            <w:r>
              <w:rPr>
                <w:rFonts w:ascii="Times New Roman" w:hAnsi="Times New Roman"/>
                <w:b w:val="0"/>
                <w:i w:val="0"/>
                <w:sz w:val="18"/>
              </w:rPr>
              <w:t>6,892</w:t>
            </w:r>
          </w:p>
        </w:tc>
        <w:tc>
          <w:tcPr>
            <w:tcW w:type="dxa" w:w="2880"/>
          </w:tcPr>
          <w:p>
            <w:r/>
            <w:r>
              <w:rPr>
                <w:rFonts w:ascii="Times New Roman" w:hAnsi="Times New Roman"/>
                <w:b w:val="0"/>
                <w:i w:val="0"/>
                <w:sz w:val="18"/>
              </w:rPr>
              <w:t>Electrographic seizure events</w:t>
            </w:r>
          </w:p>
        </w:tc>
      </w:tr>
      <w:tr>
        <w:tc>
          <w:tcPr>
            <w:tcW w:type="dxa" w:w="2880"/>
          </w:tcPr>
          <w:p>
            <w:r/>
            <w:r>
              <w:rPr>
                <w:rFonts w:ascii="Times New Roman" w:hAnsi="Times New Roman"/>
                <w:b w:val="0"/>
                <w:i w:val="0"/>
                <w:sz w:val="18"/>
              </w:rPr>
              <w:t>Posterior dominant rhythm</w:t>
            </w:r>
          </w:p>
        </w:tc>
        <w:tc>
          <w:tcPr>
            <w:tcW w:type="dxa" w:w="2880"/>
          </w:tcPr>
          <w:p>
            <w:r/>
            <w:r>
              <w:rPr>
                <w:rFonts w:ascii="Times New Roman" w:hAnsi="Times New Roman"/>
                <w:b w:val="0"/>
                <w:i w:val="0"/>
                <w:sz w:val="18"/>
              </w:rPr>
              <w:t>5,535</w:t>
            </w:r>
          </w:p>
        </w:tc>
        <w:tc>
          <w:tcPr>
            <w:tcW w:type="dxa" w:w="2880"/>
          </w:tcPr>
          <w:p>
            <w:r/>
            <w:r>
              <w:rPr>
                <w:rFonts w:ascii="Times New Roman" w:hAnsi="Times New Roman"/>
                <w:b w:val="0"/>
                <w:i w:val="0"/>
                <w:sz w:val="18"/>
              </w:rPr>
              <w:t>PDR frequency notations</w:t>
            </w:r>
          </w:p>
        </w:tc>
      </w:tr>
      <w:tr>
        <w:tc>
          <w:tcPr>
            <w:tcW w:type="dxa" w:w="2880"/>
          </w:tcPr>
          <w:p>
            <w:r/>
            <w:r>
              <w:rPr>
                <w:rFonts w:ascii="Times New Roman" w:hAnsi="Times New Roman"/>
                <w:b w:val="0"/>
                <w:i w:val="0"/>
                <w:sz w:val="18"/>
              </w:rPr>
              <w:t>Artifact</w:t>
            </w:r>
          </w:p>
        </w:tc>
        <w:tc>
          <w:tcPr>
            <w:tcW w:type="dxa" w:w="2880"/>
          </w:tcPr>
          <w:p>
            <w:r/>
            <w:r>
              <w:rPr>
                <w:rFonts w:ascii="Times New Roman" w:hAnsi="Times New Roman"/>
                <w:b w:val="0"/>
                <w:i w:val="0"/>
                <w:sz w:val="18"/>
              </w:rPr>
              <w:t>4,881</w:t>
            </w:r>
          </w:p>
        </w:tc>
        <w:tc>
          <w:tcPr>
            <w:tcW w:type="dxa" w:w="2880"/>
          </w:tcPr>
          <w:p>
            <w:r/>
            <w:r>
              <w:rPr>
                <w:rFonts w:ascii="Times New Roman" w:hAnsi="Times New Roman"/>
                <w:b w:val="0"/>
                <w:i w:val="0"/>
                <w:sz w:val="18"/>
              </w:rPr>
              <w:t>Technical or physiological artifacts</w:t>
            </w:r>
          </w:p>
        </w:tc>
      </w:tr>
      <w:tr>
        <w:tc>
          <w:tcPr>
            <w:tcW w:type="dxa" w:w="2880"/>
          </w:tcPr>
          <w:p>
            <w:r/>
            <w:r>
              <w:rPr>
                <w:rFonts w:ascii="Times New Roman" w:hAnsi="Times New Roman"/>
                <w:b w:val="0"/>
                <w:i w:val="0"/>
                <w:sz w:val="18"/>
              </w:rPr>
              <w:t>Burst-suppression</w:t>
            </w:r>
          </w:p>
        </w:tc>
        <w:tc>
          <w:tcPr>
            <w:tcW w:type="dxa" w:w="2880"/>
          </w:tcPr>
          <w:p>
            <w:r/>
            <w:r>
              <w:rPr>
                <w:rFonts w:ascii="Times New Roman" w:hAnsi="Times New Roman"/>
                <w:b w:val="0"/>
                <w:i w:val="0"/>
                <w:sz w:val="18"/>
              </w:rPr>
              <w:t>3,350</w:t>
            </w:r>
          </w:p>
        </w:tc>
        <w:tc>
          <w:tcPr>
            <w:tcW w:type="dxa" w:w="2880"/>
          </w:tcPr>
          <w:p>
            <w:r/>
            <w:r>
              <w:rPr>
                <w:rFonts w:ascii="Times New Roman" w:hAnsi="Times New Roman"/>
                <w:b w:val="0"/>
                <w:i w:val="0"/>
                <w:sz w:val="18"/>
              </w:rPr>
              <w:t>Burst-suppression pattern</w:t>
            </w:r>
          </w:p>
        </w:tc>
      </w:tr>
      <w:tr>
        <w:tc>
          <w:tcPr>
            <w:tcW w:type="dxa" w:w="2880"/>
          </w:tcPr>
          <w:p>
            <w:r/>
            <w:r>
              <w:rPr>
                <w:rFonts w:ascii="Times New Roman" w:hAnsi="Times New Roman"/>
                <w:b w:val="0"/>
                <w:i w:val="0"/>
                <w:sz w:val="18"/>
              </w:rPr>
              <w:t>Focal</w:t>
            </w:r>
          </w:p>
        </w:tc>
        <w:tc>
          <w:tcPr>
            <w:tcW w:type="dxa" w:w="2880"/>
          </w:tcPr>
          <w:p>
            <w:r/>
            <w:r>
              <w:rPr>
                <w:rFonts w:ascii="Times New Roman" w:hAnsi="Times New Roman"/>
                <w:b w:val="0"/>
                <w:i w:val="0"/>
                <w:sz w:val="18"/>
              </w:rPr>
              <w:t>1,928</w:t>
            </w:r>
          </w:p>
        </w:tc>
        <w:tc>
          <w:tcPr>
            <w:tcW w:type="dxa" w:w="2880"/>
          </w:tcPr>
          <w:p>
            <w:r/>
            <w:r>
              <w:rPr>
                <w:rFonts w:ascii="Times New Roman" w:hAnsi="Times New Roman"/>
                <w:b w:val="0"/>
                <w:i w:val="0"/>
                <w:sz w:val="18"/>
              </w:rPr>
              <w:t>Focal patterns</w:t>
            </w:r>
          </w:p>
        </w:tc>
      </w:tr>
      <w:tr>
        <w:tc>
          <w:tcPr>
            <w:tcW w:type="dxa" w:w="2880"/>
          </w:tcPr>
          <w:p>
            <w:r/>
            <w:r>
              <w:rPr>
                <w:rFonts w:ascii="Times New Roman" w:hAnsi="Times New Roman"/>
                <w:b w:val="0"/>
                <w:i w:val="0"/>
                <w:sz w:val="18"/>
              </w:rPr>
              <w:t>Normal</w:t>
            </w:r>
          </w:p>
        </w:tc>
        <w:tc>
          <w:tcPr>
            <w:tcW w:type="dxa" w:w="2880"/>
          </w:tcPr>
          <w:p>
            <w:r/>
            <w:r>
              <w:rPr>
                <w:rFonts w:ascii="Times New Roman" w:hAnsi="Times New Roman"/>
                <w:b w:val="0"/>
                <w:i w:val="0"/>
                <w:sz w:val="18"/>
              </w:rPr>
              <w:t>505</w:t>
            </w:r>
          </w:p>
        </w:tc>
        <w:tc>
          <w:tcPr>
            <w:tcW w:type="dxa" w:w="2880"/>
          </w:tcPr>
          <w:p>
            <w:r/>
            <w:r>
              <w:rPr>
                <w:rFonts w:ascii="Times New Roman" w:hAnsi="Times New Roman"/>
                <w:b w:val="0"/>
                <w:i w:val="0"/>
                <w:sz w:val="18"/>
              </w:rPr>
              <w:t>"Normal" notations</w:t>
            </w:r>
          </w:p>
        </w:tc>
      </w:tr>
      <w:tr>
        <w:tc>
          <w:tcPr>
            <w:tcW w:type="dxa" w:w="2880"/>
          </w:tcPr>
          <w:p>
            <w:r/>
            <w:r>
              <w:rPr>
                <w:rFonts w:ascii="Times New Roman" w:hAnsi="Times New Roman"/>
                <w:b w:val="0"/>
                <w:i w:val="0"/>
                <w:sz w:val="18"/>
              </w:rPr>
              <w:t>Epileptiform</w:t>
            </w:r>
          </w:p>
        </w:tc>
        <w:tc>
          <w:tcPr>
            <w:tcW w:type="dxa" w:w="2880"/>
          </w:tcPr>
          <w:p>
            <w:r/>
            <w:r>
              <w:rPr>
                <w:rFonts w:ascii="Times New Roman" w:hAnsi="Times New Roman"/>
                <w:b w:val="0"/>
                <w:i w:val="0"/>
                <w:sz w:val="18"/>
              </w:rPr>
              <w:t>164</w:t>
            </w:r>
          </w:p>
        </w:tc>
        <w:tc>
          <w:tcPr>
            <w:tcW w:type="dxa" w:w="2880"/>
          </w:tcPr>
          <w:p>
            <w:r/>
            <w:r>
              <w:rPr>
                <w:rFonts w:ascii="Times New Roman" w:hAnsi="Times New Roman"/>
                <w:b w:val="0"/>
                <w:i w:val="0"/>
                <w:sz w:val="18"/>
              </w:rPr>
              <w:t>Other epileptiform</w:t>
            </w:r>
          </w:p>
        </w:tc>
      </w:tr>
      <w:tr>
        <w:tc>
          <w:tcPr>
            <w:tcW w:type="dxa" w:w="2880"/>
          </w:tcPr>
          <w:p>
            <w:r/>
            <w:r>
              <w:rPr>
                <w:rFonts w:ascii="Times New Roman" w:hAnsi="Times New Roman"/>
                <w:b w:val="0"/>
                <w:i w:val="0"/>
                <w:sz w:val="18"/>
              </w:rPr>
              <w:t>Periodic</w:t>
            </w:r>
          </w:p>
        </w:tc>
        <w:tc>
          <w:tcPr>
            <w:tcW w:type="dxa" w:w="2880"/>
          </w:tcPr>
          <w:p>
            <w:r/>
            <w:r>
              <w:rPr>
                <w:rFonts w:ascii="Times New Roman" w:hAnsi="Times New Roman"/>
                <w:b w:val="0"/>
                <w:i w:val="0"/>
                <w:sz w:val="18"/>
              </w:rPr>
              <w:t>139</w:t>
            </w:r>
          </w:p>
        </w:tc>
        <w:tc>
          <w:tcPr>
            <w:tcW w:type="dxa" w:w="2880"/>
          </w:tcPr>
          <w:p>
            <w:r/>
            <w:r>
              <w:rPr>
                <w:rFonts w:ascii="Times New Roman" w:hAnsi="Times New Roman"/>
                <w:b w:val="0"/>
                <w:i w:val="0"/>
                <w:sz w:val="18"/>
              </w:rPr>
              <w:t>Periodic discharges (LPDs/GPDs)</w:t>
            </w:r>
          </w:p>
        </w:tc>
      </w:tr>
    </w:tbl>
    <w:p/>
    <w:p>
      <w:r>
        <w:rPr>
          <w:rFonts w:ascii="Times New Roman" w:hAnsi="Times New Roman"/>
          <w:b w:val="0"/>
          <w:i/>
          <w:sz w:val="24"/>
        </w:rPr>
        <w:t>Categories are not mutually exclusive; a single annotation may contribute to multiple categories. Total annotation events: 226,486 across 14,517 segments with annotation files.</w:t>
      </w:r>
    </w:p>
    <w:p>
      <w:r>
        <w:rPr>
          <w:rFonts w:ascii="Times New Roman" w:hAnsi="Times New Roman"/>
          <w:b/>
          <w:i w:val="0"/>
          <w:sz w:val="24"/>
        </w:rPr>
        <w:t>Supplementary Table 3. De-identification example.</w:t>
      </w:r>
      <w:r>
        <w:rPr>
          <w:rFonts w:ascii="Times New Roman" w:hAnsi="Times New Roman"/>
          <w:b w:val="0"/>
          <w:i w:val="0"/>
          <w:sz w:val="24"/>
        </w:rPr>
        <w:t xml:space="preserve"> Header field transformation and annotation scrubbing for a representative recording.</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b/>
                <w:i w:val="0"/>
                <w:sz w:val="18"/>
              </w:rPr>
              <w:t>Field</w:t>
            </w:r>
          </w:p>
        </w:tc>
        <w:tc>
          <w:tcPr>
            <w:tcW w:type="dxa" w:w="2880"/>
          </w:tcPr>
          <w:p>
            <w:r/>
            <w:r>
              <w:rPr>
                <w:rFonts w:ascii="Times New Roman" w:hAnsi="Times New Roman"/>
                <w:b/>
                <w:i w:val="0"/>
                <w:sz w:val="18"/>
              </w:rPr>
              <w:t>Original</w:t>
            </w:r>
          </w:p>
        </w:tc>
        <w:tc>
          <w:tcPr>
            <w:tcW w:type="dxa" w:w="2880"/>
          </w:tcPr>
          <w:p>
            <w:r/>
            <w:r>
              <w:rPr>
                <w:rFonts w:ascii="Times New Roman" w:hAnsi="Times New Roman"/>
                <w:b/>
                <w:i w:val="0"/>
                <w:sz w:val="18"/>
              </w:rPr>
              <w:t>De-identified</w:t>
            </w:r>
          </w:p>
        </w:tc>
      </w:tr>
      <w:tr>
        <w:tc>
          <w:tcPr>
            <w:tcW w:type="dxa" w:w="2880"/>
          </w:tcPr>
          <w:p>
            <w:r/>
            <w:r>
              <w:rPr>
                <w:rFonts w:ascii="Times New Roman" w:hAnsi="Times New Roman"/>
                <w:b w:val="0"/>
                <w:i w:val="0"/>
                <w:sz w:val="18"/>
              </w:rPr>
              <w:t>Patient identification</w:t>
            </w:r>
          </w:p>
        </w:tc>
        <w:tc>
          <w:tcPr>
            <w:tcW w:type="dxa" w:w="2880"/>
          </w:tcPr>
          <w:p>
            <w:r/>
            <w:r>
              <w:rPr>
                <w:rFonts w:ascii="Times New Roman" w:hAnsi="Times New Roman"/>
                <w:b w:val="0"/>
                <w:i w:val="0"/>
                <w:sz w:val="18"/>
              </w:rPr>
              <w:t>12-34567 X 15-MAR-2023 Doe_Jane</w:t>
            </w:r>
          </w:p>
        </w:tc>
        <w:tc>
          <w:tcPr>
            <w:tcW w:type="dxa" w:w="2880"/>
          </w:tcPr>
          <w:p>
            <w:r/>
            <w:r>
              <w:rPr>
                <w:rFonts w:ascii="Times New Roman" w:hAnsi="Times New Roman"/>
                <w:b w:val="0"/>
                <w:i w:val="0"/>
                <w:sz w:val="18"/>
              </w:rPr>
              <w:t>X X X X</w:t>
            </w:r>
          </w:p>
        </w:tc>
      </w:tr>
      <w:tr>
        <w:tc>
          <w:tcPr>
            <w:tcW w:type="dxa" w:w="2880"/>
          </w:tcPr>
          <w:p>
            <w:r/>
            <w:r>
              <w:rPr>
                <w:rFonts w:ascii="Times New Roman" w:hAnsi="Times New Roman"/>
                <w:b w:val="0"/>
                <w:i w:val="0"/>
                <w:sz w:val="18"/>
              </w:rPr>
              <w:t>Recording identification</w:t>
            </w:r>
          </w:p>
        </w:tc>
        <w:tc>
          <w:tcPr>
            <w:tcW w:type="dxa" w:w="2880"/>
          </w:tcPr>
          <w:p>
            <w:r/>
            <w:r>
              <w:rPr>
                <w:rFonts w:ascii="Times New Roman" w:hAnsi="Times New Roman"/>
                <w:b w:val="0"/>
                <w:i w:val="0"/>
                <w:sz w:val="18"/>
              </w:rPr>
              <w:t>Startdate 15-MAR-2023 Record_stopped...</w:t>
            </w:r>
          </w:p>
        </w:tc>
        <w:tc>
          <w:tcPr>
            <w:tcW w:type="dxa" w:w="2880"/>
          </w:tcPr>
          <w:p>
            <w:r/>
            <w:r>
              <w:rPr>
                <w:rFonts w:ascii="Times New Roman" w:hAnsi="Times New Roman"/>
                <w:b w:val="0"/>
                <w:i w:val="0"/>
                <w:sz w:val="18"/>
              </w:rPr>
              <w:t>Startdate 22-JUN-2023 X X X</w:t>
            </w:r>
          </w:p>
        </w:tc>
      </w:tr>
      <w:tr>
        <w:tc>
          <w:tcPr>
            <w:tcW w:type="dxa" w:w="2880"/>
          </w:tcPr>
          <w:p>
            <w:r/>
            <w:r>
              <w:rPr>
                <w:rFonts w:ascii="Times New Roman" w:hAnsi="Times New Roman"/>
                <w:b w:val="0"/>
                <w:i w:val="0"/>
                <w:sz w:val="18"/>
              </w:rPr>
              <w:t>Start date</w:t>
            </w:r>
          </w:p>
        </w:tc>
        <w:tc>
          <w:tcPr>
            <w:tcW w:type="dxa" w:w="2880"/>
          </w:tcPr>
          <w:p>
            <w:r/>
            <w:r>
              <w:rPr>
                <w:rFonts w:ascii="Times New Roman" w:hAnsi="Times New Roman"/>
                <w:b w:val="0"/>
                <w:i w:val="0"/>
                <w:sz w:val="18"/>
              </w:rPr>
              <w:t>15.03.23</w:t>
            </w:r>
          </w:p>
        </w:tc>
        <w:tc>
          <w:tcPr>
            <w:tcW w:type="dxa" w:w="2880"/>
          </w:tcPr>
          <w:p>
            <w:r/>
            <w:r>
              <w:rPr>
                <w:rFonts w:ascii="Times New Roman" w:hAnsi="Times New Roman"/>
                <w:b w:val="0"/>
                <w:i w:val="0"/>
                <w:sz w:val="18"/>
              </w:rPr>
              <w:t>22.06.23 (shifted +99 days)</w:t>
            </w:r>
          </w:p>
        </w:tc>
      </w:tr>
      <w:tr>
        <w:tc>
          <w:tcPr>
            <w:tcW w:type="dxa" w:w="2880"/>
          </w:tcPr>
          <w:p>
            <w:r/>
            <w:r>
              <w:rPr>
                <w:rFonts w:ascii="Times New Roman" w:hAnsi="Times New Roman"/>
                <w:b w:val="0"/>
                <w:i w:val="0"/>
                <w:sz w:val="18"/>
              </w:rPr>
              <w:t>Start time</w:t>
            </w:r>
          </w:p>
        </w:tc>
        <w:tc>
          <w:tcPr>
            <w:tcW w:type="dxa" w:w="2880"/>
          </w:tcPr>
          <w:p>
            <w:r/>
            <w:r>
              <w:rPr>
                <w:rFonts w:ascii="Times New Roman" w:hAnsi="Times New Roman"/>
                <w:b w:val="0"/>
                <w:i w:val="0"/>
                <w:sz w:val="18"/>
              </w:rPr>
              <w:t>14.32.08</w:t>
            </w:r>
          </w:p>
        </w:tc>
        <w:tc>
          <w:tcPr>
            <w:tcW w:type="dxa" w:w="2880"/>
          </w:tcPr>
          <w:p>
            <w:r/>
            <w:r>
              <w:rPr>
                <w:rFonts w:ascii="Times New Roman" w:hAnsi="Times New Roman"/>
                <w:b w:val="0"/>
                <w:i w:val="0"/>
                <w:sz w:val="18"/>
              </w:rPr>
              <w:t>14.32.08 (preserved)</w:t>
            </w:r>
          </w:p>
        </w:tc>
      </w:tr>
      <w:tr>
        <w:tc>
          <w:tcPr>
            <w:tcW w:type="dxa" w:w="2880"/>
          </w:tcPr>
          <w:p>
            <w:r/>
            <w:r>
              <w:rPr>
                <w:rFonts w:ascii="Times New Roman" w:hAnsi="Times New Roman"/>
                <w:b w:val="0"/>
                <w:i w:val="0"/>
                <w:sz w:val="18"/>
              </w:rPr>
              <w:t>Annotation text</w:t>
            </w:r>
          </w:p>
        </w:tc>
        <w:tc>
          <w:tcPr>
            <w:tcW w:type="dxa" w:w="2880"/>
          </w:tcPr>
          <w:p>
            <w:r/>
            <w:r>
              <w:rPr>
                <w:rFonts w:ascii="Times New Roman" w:hAnsi="Times New Roman"/>
                <w:b w:val="0"/>
                <w:i w:val="0"/>
                <w:sz w:val="18"/>
              </w:rPr>
              <w:t>Patient event Jane had a blank stare</w:t>
            </w:r>
          </w:p>
        </w:tc>
        <w:tc>
          <w:tcPr>
            <w:tcW w:type="dxa" w:w="2880"/>
          </w:tcPr>
          <w:p>
            <w:r/>
            <w:r>
              <w:rPr>
                <w:rFonts w:ascii="Times New Roman" w:hAnsi="Times New Roman"/>
                <w:b w:val="0"/>
                <w:i w:val="0"/>
                <w:sz w:val="18"/>
              </w:rPr>
              <w:t>Patient event [NAME] had a blank stare</w:t>
            </w:r>
          </w:p>
        </w:tc>
      </w:tr>
      <w:tr>
        <w:tc>
          <w:tcPr>
            <w:tcW w:type="dxa" w:w="2880"/>
          </w:tcPr>
          <w:p>
            <w:r/>
            <w:r>
              <w:rPr>
                <w:rFonts w:ascii="Times New Roman" w:hAnsi="Times New Roman"/>
                <w:b w:val="0"/>
                <w:i w:val="0"/>
                <w:sz w:val="18"/>
              </w:rPr>
              <w:t>Annotation timestamp</w:t>
            </w:r>
          </w:p>
        </w:tc>
        <w:tc>
          <w:tcPr>
            <w:tcW w:type="dxa" w:w="2880"/>
          </w:tcPr>
          <w:p>
            <w:r/>
            <w:r>
              <w:rPr>
                <w:rFonts w:ascii="Times New Roman" w:hAnsi="Times New Roman"/>
                <w:b w:val="0"/>
                <w:i w:val="0"/>
                <w:sz w:val="18"/>
              </w:rPr>
              <w:t>2023-03-15T14:33:45</w:t>
            </w:r>
          </w:p>
        </w:tc>
        <w:tc>
          <w:tcPr>
            <w:tcW w:type="dxa" w:w="2880"/>
          </w:tcPr>
          <w:p>
            <w:r/>
            <w:r>
              <w:rPr>
                <w:rFonts w:ascii="Times New Roman" w:hAnsi="Times New Roman"/>
                <w:b w:val="0"/>
                <w:i w:val="0"/>
                <w:sz w:val="18"/>
              </w:rPr>
              <w:t>2023-06-22T14:33:45 (shifted)</w:t>
            </w:r>
          </w:p>
        </w:tc>
      </w:tr>
    </w:tbl>
    <w:p/>
    <w:p>
      <w:r>
        <w:rPr>
          <w:rFonts w:ascii="Times New Roman" w:hAnsi="Times New Roman"/>
          <w:b w:val="0"/>
          <w:i/>
          <w:sz w:val="24"/>
        </w:rPr>
        <w:t>Names and dates shown are fictitious. Actual date shifts are random per patient (uniform integer in [-365, +365] days) and applied consistently across all files for that patient.</w:t>
      </w:r>
    </w:p>
    <w:p>
      <w:r>
        <w:rPr>
          <w:rFonts w:ascii="Times New Roman" w:hAnsi="Times New Roman"/>
          <w:b/>
          <w:i w:val="0"/>
          <w:sz w:val="24"/>
        </w:rPr>
        <w:t>Supplementary Table 4. Detailed EEG findings.</w:t>
      </w:r>
      <w:r>
        <w:rPr>
          <w:rFonts w:ascii="Times New Roman" w:hAnsi="Times New Roman"/>
          <w:b w:val="0"/>
          <w:i w:val="0"/>
          <w:sz w:val="24"/>
        </w:rPr>
        <w:t xml:space="preserve"> Breakdown of posterior dominant rhythm (PDR), interictal epileptiform discharges, slowing, seizures, and patient-reported events extracted from technologist scan reports (n=10,726 studies with extractable reports).</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b/>
                <w:i w:val="0"/>
                <w:sz w:val="18"/>
              </w:rPr>
              <w:t>Finding</w:t>
            </w:r>
          </w:p>
        </w:tc>
        <w:tc>
          <w:tcPr>
            <w:tcW w:type="dxa" w:w="2880"/>
          </w:tcPr>
          <w:p>
            <w:r/>
            <w:r>
              <w:rPr>
                <w:rFonts w:ascii="Times New Roman" w:hAnsi="Times New Roman"/>
                <w:b/>
                <w:i w:val="0"/>
                <w:sz w:val="18"/>
              </w:rPr>
              <w:t>Value</w:t>
            </w:r>
          </w:p>
        </w:tc>
        <w:tc>
          <w:tcPr>
            <w:tcW w:type="dxa" w:w="2880"/>
          </w:tcPr>
          <w:p>
            <w:r/>
            <w:r>
              <w:rPr>
                <w:rFonts w:ascii="Times New Roman" w:hAnsi="Times New Roman"/>
                <w:b/>
                <w:i w:val="0"/>
                <w:sz w:val="18"/>
              </w:rPr>
              <w:t>Notes</w:t>
            </w:r>
          </w:p>
        </w:tc>
      </w:tr>
      <w:tr>
        <w:tc>
          <w:tcPr>
            <w:tcW w:type="dxa" w:w="2880"/>
          </w:tcPr>
          <w:p>
            <w:r/>
            <w:r>
              <w:rPr>
                <w:rFonts w:ascii="Times New Roman" w:hAnsi="Times New Roman"/>
                <w:b/>
                <w:i w:val="0"/>
                <w:sz w:val="18"/>
              </w:rPr>
              <w:t>Posterior dominant rhythm</w:t>
            </w:r>
          </w:p>
        </w:tc>
        <w:tc>
          <w:tcPr>
            <w:tcW w:type="dxa" w:w="2880"/>
          </w:tcPr>
          <w:p>
            <w:r/>
          </w:p>
        </w:tc>
        <w:tc>
          <w:tcPr>
            <w:tcW w:type="dxa" w:w="2880"/>
          </w:tcPr>
          <w:p>
            <w:r/>
          </w:p>
        </w:tc>
      </w:tr>
      <w:tr>
        <w:tc>
          <w:tcPr>
            <w:tcW w:type="dxa" w:w="2880"/>
          </w:tcPr>
          <w:p>
            <w:r/>
            <w:r>
              <w:rPr>
                <w:rFonts w:ascii="Times New Roman" w:hAnsi="Times New Roman"/>
                <w:b w:val="0"/>
                <w:i w:val="0"/>
                <w:sz w:val="18"/>
              </w:rPr>
              <w:t>PDR extractable</w:t>
            </w:r>
          </w:p>
        </w:tc>
        <w:tc>
          <w:tcPr>
            <w:tcW w:type="dxa" w:w="2880"/>
          </w:tcPr>
          <w:p>
            <w:r/>
            <w:r>
              <w:rPr>
                <w:rFonts w:ascii="Times New Roman" w:hAnsi="Times New Roman"/>
                <w:b w:val="0"/>
                <w:i w:val="0"/>
                <w:sz w:val="18"/>
              </w:rPr>
              <w:t>8057</w:t>
            </w:r>
          </w:p>
        </w:tc>
        <w:tc>
          <w:tcPr>
            <w:tcW w:type="dxa" w:w="2880"/>
          </w:tcPr>
          <w:p>
            <w:r/>
            <w:r>
              <w:rPr>
                <w:rFonts w:ascii="Times New Roman" w:hAnsi="Times New Roman"/>
                <w:b w:val="0"/>
                <w:i w:val="0"/>
                <w:sz w:val="18"/>
              </w:rPr>
              <w:t>of 10726 studies</w:t>
            </w:r>
          </w:p>
        </w:tc>
      </w:tr>
      <w:tr>
        <w:tc>
          <w:tcPr>
            <w:tcW w:type="dxa" w:w="2880"/>
          </w:tcPr>
          <w:p>
            <w:r/>
            <w:r>
              <w:rPr>
                <w:rFonts w:ascii="Times New Roman" w:hAnsi="Times New Roman"/>
                <w:b w:val="0"/>
                <w:i w:val="0"/>
                <w:sz w:val="18"/>
              </w:rPr>
              <w:t>PDR frequency, median (IQR)</w:t>
            </w:r>
          </w:p>
        </w:tc>
        <w:tc>
          <w:tcPr>
            <w:tcW w:type="dxa" w:w="2880"/>
          </w:tcPr>
          <w:p>
            <w:r/>
            <w:r>
              <w:rPr>
                <w:rFonts w:ascii="Times New Roman" w:hAnsi="Times New Roman"/>
                <w:b w:val="0"/>
                <w:i w:val="0"/>
                <w:sz w:val="18"/>
              </w:rPr>
              <w:t>9.0 (8.5-10.0)</w:t>
            </w:r>
          </w:p>
        </w:tc>
        <w:tc>
          <w:tcPr>
            <w:tcW w:type="dxa" w:w="2880"/>
          </w:tcPr>
          <w:p>
            <w:r/>
            <w:r>
              <w:rPr>
                <w:rFonts w:ascii="Times New Roman" w:hAnsi="Times New Roman"/>
                <w:b w:val="0"/>
                <w:i w:val="0"/>
                <w:sz w:val="18"/>
              </w:rPr>
              <w:t>Hz</w:t>
            </w:r>
          </w:p>
        </w:tc>
      </w:tr>
      <w:tr>
        <w:tc>
          <w:tcPr>
            <w:tcW w:type="dxa" w:w="2880"/>
          </w:tcPr>
          <w:p>
            <w:r/>
            <w:r>
              <w:rPr>
                <w:rFonts w:ascii="Times New Roman" w:hAnsi="Times New Roman"/>
                <w:b w:val="0"/>
                <w:i w:val="0"/>
                <w:sz w:val="18"/>
              </w:rPr>
              <w:t>Normal range (8-13 Hz)</w:t>
            </w:r>
          </w:p>
        </w:tc>
        <w:tc>
          <w:tcPr>
            <w:tcW w:type="dxa" w:w="2880"/>
          </w:tcPr>
          <w:p>
            <w:r/>
            <w:r>
              <w:rPr>
                <w:rFonts w:ascii="Times New Roman" w:hAnsi="Times New Roman"/>
                <w:b w:val="0"/>
                <w:i w:val="0"/>
                <w:sz w:val="18"/>
              </w:rPr>
              <w:t>6816</w:t>
            </w:r>
          </w:p>
        </w:tc>
        <w:tc>
          <w:tcPr>
            <w:tcW w:type="dxa" w:w="2880"/>
          </w:tcPr>
          <w:p>
            <w:r/>
            <w:r>
              <w:rPr>
                <w:rFonts w:ascii="Times New Roman" w:hAnsi="Times New Roman"/>
                <w:b w:val="0"/>
                <w:i w:val="0"/>
                <w:sz w:val="18"/>
              </w:rPr>
              <w:t>(85%)</w:t>
            </w:r>
          </w:p>
        </w:tc>
      </w:tr>
      <w:tr>
        <w:tc>
          <w:tcPr>
            <w:tcW w:type="dxa" w:w="2880"/>
          </w:tcPr>
          <w:p>
            <w:r/>
            <w:r>
              <w:rPr>
                <w:rFonts w:ascii="Times New Roman" w:hAnsi="Times New Roman"/>
                <w:b w:val="0"/>
                <w:i w:val="0"/>
                <w:sz w:val="18"/>
              </w:rPr>
              <w:t>Slow (&lt;8 Hz)</w:t>
            </w:r>
          </w:p>
        </w:tc>
        <w:tc>
          <w:tcPr>
            <w:tcW w:type="dxa" w:w="2880"/>
          </w:tcPr>
          <w:p>
            <w:r/>
            <w:r>
              <w:rPr>
                <w:rFonts w:ascii="Times New Roman" w:hAnsi="Times New Roman"/>
                <w:b w:val="0"/>
                <w:i w:val="0"/>
                <w:sz w:val="18"/>
              </w:rPr>
              <w:t>1146</w:t>
            </w:r>
          </w:p>
        </w:tc>
        <w:tc>
          <w:tcPr>
            <w:tcW w:type="dxa" w:w="2880"/>
          </w:tcPr>
          <w:p>
            <w:r/>
            <w:r>
              <w:rPr>
                <w:rFonts w:ascii="Times New Roman" w:hAnsi="Times New Roman"/>
                <w:b w:val="0"/>
                <w:i w:val="0"/>
                <w:sz w:val="18"/>
              </w:rPr>
              <w:t>(14%)</w:t>
            </w:r>
          </w:p>
        </w:tc>
      </w:tr>
      <w:tr>
        <w:tc>
          <w:tcPr>
            <w:tcW w:type="dxa" w:w="2880"/>
          </w:tcPr>
          <w:p>
            <w:r/>
            <w:r>
              <w:rPr>
                <w:rFonts w:ascii="Times New Roman" w:hAnsi="Times New Roman"/>
                <w:b w:val="0"/>
                <w:i w:val="0"/>
                <w:sz w:val="18"/>
              </w:rPr>
              <w:t>Interictal epileptiform discharges</w:t>
            </w:r>
          </w:p>
        </w:tc>
        <w:tc>
          <w:tcPr>
            <w:tcW w:type="dxa" w:w="2880"/>
          </w:tcPr>
          <w:p>
            <w:r/>
            <w:r>
              <w:rPr>
                <w:rFonts w:ascii="Times New Roman" w:hAnsi="Times New Roman"/>
                <w:b w:val="0"/>
                <w:i w:val="0"/>
                <w:sz w:val="18"/>
              </w:rPr>
              <w:t>6345</w:t>
            </w:r>
          </w:p>
        </w:tc>
        <w:tc>
          <w:tcPr>
            <w:tcW w:type="dxa" w:w="2880"/>
          </w:tcPr>
          <w:p>
            <w:r/>
            <w:r>
              <w:rPr>
                <w:rFonts w:ascii="Times New Roman" w:hAnsi="Times New Roman"/>
                <w:b w:val="0"/>
                <w:i w:val="0"/>
                <w:sz w:val="18"/>
              </w:rPr>
              <w:t>of 10726 studies (59%)</w:t>
            </w:r>
          </w:p>
        </w:tc>
      </w:tr>
      <w:tr>
        <w:tc>
          <w:tcPr>
            <w:tcW w:type="dxa" w:w="2880"/>
          </w:tcPr>
          <w:p>
            <w:r/>
            <w:r>
              <w:rPr>
                <w:rFonts w:ascii="Times New Roman" w:hAnsi="Times New Roman"/>
                <w:b/>
                <w:i w:val="0"/>
                <w:sz w:val="18"/>
              </w:rPr>
              <w:t>Morphology</w:t>
            </w:r>
          </w:p>
        </w:tc>
        <w:tc>
          <w:tcPr>
            <w:tcW w:type="dxa" w:w="2880"/>
          </w:tcPr>
          <w:p>
            <w:r/>
          </w:p>
        </w:tc>
        <w:tc>
          <w:tcPr>
            <w:tcW w:type="dxa" w:w="2880"/>
          </w:tcPr>
          <w:p>
            <w:r/>
          </w:p>
        </w:tc>
      </w:tr>
      <w:tr>
        <w:tc>
          <w:tcPr>
            <w:tcW w:type="dxa" w:w="2880"/>
          </w:tcPr>
          <w:p>
            <w:r/>
            <w:r>
              <w:rPr>
                <w:rFonts w:ascii="Times New Roman" w:hAnsi="Times New Roman"/>
                <w:b w:val="0"/>
                <w:i w:val="0"/>
                <w:sz w:val="18"/>
              </w:rPr>
              <w:t>Spike</w:t>
            </w:r>
          </w:p>
        </w:tc>
        <w:tc>
          <w:tcPr>
            <w:tcW w:type="dxa" w:w="2880"/>
          </w:tcPr>
          <w:p>
            <w:r/>
            <w:r>
              <w:rPr>
                <w:rFonts w:ascii="Times New Roman" w:hAnsi="Times New Roman"/>
                <w:b w:val="0"/>
                <w:i w:val="0"/>
                <w:sz w:val="18"/>
              </w:rPr>
              <w:t>3342</w:t>
            </w:r>
          </w:p>
        </w:tc>
        <w:tc>
          <w:tcPr>
            <w:tcW w:type="dxa" w:w="2880"/>
          </w:tcPr>
          <w:p>
            <w:r/>
          </w:p>
        </w:tc>
      </w:tr>
      <w:tr>
        <w:tc>
          <w:tcPr>
            <w:tcW w:type="dxa" w:w="2880"/>
          </w:tcPr>
          <w:p>
            <w:r/>
            <w:r>
              <w:rPr>
                <w:rFonts w:ascii="Times New Roman" w:hAnsi="Times New Roman"/>
                <w:b w:val="0"/>
                <w:i w:val="0"/>
                <w:sz w:val="18"/>
              </w:rPr>
              <w:t>Sharp wave</w:t>
            </w:r>
          </w:p>
        </w:tc>
        <w:tc>
          <w:tcPr>
            <w:tcW w:type="dxa" w:w="2880"/>
          </w:tcPr>
          <w:p>
            <w:r/>
            <w:r>
              <w:rPr>
                <w:rFonts w:ascii="Times New Roman" w:hAnsi="Times New Roman"/>
                <w:b w:val="0"/>
                <w:i w:val="0"/>
                <w:sz w:val="18"/>
              </w:rPr>
              <w:t>1755</w:t>
            </w:r>
          </w:p>
        </w:tc>
        <w:tc>
          <w:tcPr>
            <w:tcW w:type="dxa" w:w="2880"/>
          </w:tcPr>
          <w:p>
            <w:r/>
          </w:p>
        </w:tc>
      </w:tr>
      <w:tr>
        <w:tc>
          <w:tcPr>
            <w:tcW w:type="dxa" w:w="2880"/>
          </w:tcPr>
          <w:p>
            <w:r/>
            <w:r>
              <w:rPr>
                <w:rFonts w:ascii="Times New Roman" w:hAnsi="Times New Roman"/>
                <w:b w:val="0"/>
                <w:i w:val="0"/>
                <w:sz w:val="18"/>
              </w:rPr>
              <w:t>Spike-and-wave</w:t>
            </w:r>
          </w:p>
        </w:tc>
        <w:tc>
          <w:tcPr>
            <w:tcW w:type="dxa" w:w="2880"/>
          </w:tcPr>
          <w:p>
            <w:r/>
            <w:r>
              <w:rPr>
                <w:rFonts w:ascii="Times New Roman" w:hAnsi="Times New Roman"/>
                <w:b w:val="0"/>
                <w:i w:val="0"/>
                <w:sz w:val="18"/>
              </w:rPr>
              <w:t>1669</w:t>
            </w:r>
          </w:p>
        </w:tc>
        <w:tc>
          <w:tcPr>
            <w:tcW w:type="dxa" w:w="2880"/>
          </w:tcPr>
          <w:p>
            <w:r/>
          </w:p>
        </w:tc>
      </w:tr>
      <w:tr>
        <w:tc>
          <w:tcPr>
            <w:tcW w:type="dxa" w:w="2880"/>
          </w:tcPr>
          <w:p>
            <w:r/>
            <w:r>
              <w:rPr>
                <w:rFonts w:ascii="Times New Roman" w:hAnsi="Times New Roman"/>
                <w:b w:val="0"/>
                <w:i w:val="0"/>
                <w:sz w:val="18"/>
              </w:rPr>
              <w:t>Polyspike</w:t>
            </w:r>
          </w:p>
        </w:tc>
        <w:tc>
          <w:tcPr>
            <w:tcW w:type="dxa" w:w="2880"/>
          </w:tcPr>
          <w:p>
            <w:r/>
            <w:r>
              <w:rPr>
                <w:rFonts w:ascii="Times New Roman" w:hAnsi="Times New Roman"/>
                <w:b w:val="0"/>
                <w:i w:val="0"/>
                <w:sz w:val="18"/>
              </w:rPr>
              <w:t>502</w:t>
            </w:r>
          </w:p>
        </w:tc>
        <w:tc>
          <w:tcPr>
            <w:tcW w:type="dxa" w:w="2880"/>
          </w:tcPr>
          <w:p>
            <w:r/>
          </w:p>
        </w:tc>
      </w:tr>
      <w:tr>
        <w:tc>
          <w:tcPr>
            <w:tcW w:type="dxa" w:w="2880"/>
          </w:tcPr>
          <w:p>
            <w:r/>
            <w:r>
              <w:rPr>
                <w:rFonts w:ascii="Times New Roman" w:hAnsi="Times New Roman"/>
                <w:b/>
                <w:i w:val="0"/>
                <w:sz w:val="18"/>
              </w:rPr>
              <w:t>Distribution</w:t>
            </w:r>
          </w:p>
        </w:tc>
        <w:tc>
          <w:tcPr>
            <w:tcW w:type="dxa" w:w="2880"/>
          </w:tcPr>
          <w:p>
            <w:r/>
          </w:p>
        </w:tc>
        <w:tc>
          <w:tcPr>
            <w:tcW w:type="dxa" w:w="2880"/>
          </w:tcPr>
          <w:p>
            <w:r/>
          </w:p>
        </w:tc>
      </w:tr>
      <w:tr>
        <w:tc>
          <w:tcPr>
            <w:tcW w:type="dxa" w:w="2880"/>
          </w:tcPr>
          <w:p>
            <w:r/>
            <w:r>
              <w:rPr>
                <w:rFonts w:ascii="Times New Roman" w:hAnsi="Times New Roman"/>
                <w:b w:val="0"/>
                <w:i w:val="0"/>
                <w:sz w:val="18"/>
              </w:rPr>
              <w:t>Generalized</w:t>
            </w:r>
          </w:p>
        </w:tc>
        <w:tc>
          <w:tcPr>
            <w:tcW w:type="dxa" w:w="2880"/>
          </w:tcPr>
          <w:p>
            <w:r/>
            <w:r>
              <w:rPr>
                <w:rFonts w:ascii="Times New Roman" w:hAnsi="Times New Roman"/>
                <w:b w:val="0"/>
                <w:i w:val="0"/>
                <w:sz w:val="18"/>
              </w:rPr>
              <w:t>1691</w:t>
            </w:r>
          </w:p>
        </w:tc>
        <w:tc>
          <w:tcPr>
            <w:tcW w:type="dxa" w:w="2880"/>
          </w:tcPr>
          <w:p>
            <w:r/>
          </w:p>
        </w:tc>
      </w:tr>
      <w:tr>
        <w:tc>
          <w:tcPr>
            <w:tcW w:type="dxa" w:w="2880"/>
          </w:tcPr>
          <w:p>
            <w:r/>
            <w:r>
              <w:rPr>
                <w:rFonts w:ascii="Times New Roman" w:hAnsi="Times New Roman"/>
                <w:b w:val="0"/>
                <w:i w:val="0"/>
                <w:sz w:val="18"/>
              </w:rPr>
              <w:t>Focal</w:t>
            </w:r>
          </w:p>
        </w:tc>
        <w:tc>
          <w:tcPr>
            <w:tcW w:type="dxa" w:w="2880"/>
          </w:tcPr>
          <w:p>
            <w:r/>
            <w:r>
              <w:rPr>
                <w:rFonts w:ascii="Times New Roman" w:hAnsi="Times New Roman"/>
                <w:b w:val="0"/>
                <w:i w:val="0"/>
                <w:sz w:val="18"/>
              </w:rPr>
              <w:t>1364</w:t>
            </w:r>
          </w:p>
        </w:tc>
        <w:tc>
          <w:tcPr>
            <w:tcW w:type="dxa" w:w="2880"/>
          </w:tcPr>
          <w:p>
            <w:r/>
          </w:p>
        </w:tc>
      </w:tr>
      <w:tr>
        <w:tc>
          <w:tcPr>
            <w:tcW w:type="dxa" w:w="2880"/>
          </w:tcPr>
          <w:p>
            <w:r/>
            <w:r>
              <w:rPr>
                <w:rFonts w:ascii="Times New Roman" w:hAnsi="Times New Roman"/>
                <w:b w:val="0"/>
                <w:i w:val="0"/>
                <w:sz w:val="18"/>
              </w:rPr>
              <w:t>Multifocal</w:t>
            </w:r>
          </w:p>
        </w:tc>
        <w:tc>
          <w:tcPr>
            <w:tcW w:type="dxa" w:w="2880"/>
          </w:tcPr>
          <w:p>
            <w:r/>
            <w:r>
              <w:rPr>
                <w:rFonts w:ascii="Times New Roman" w:hAnsi="Times New Roman"/>
                <w:b w:val="0"/>
                <w:i w:val="0"/>
                <w:sz w:val="18"/>
              </w:rPr>
              <w:t>277</w:t>
            </w:r>
          </w:p>
        </w:tc>
        <w:tc>
          <w:tcPr>
            <w:tcW w:type="dxa" w:w="2880"/>
          </w:tcPr>
          <w:p>
            <w:r/>
          </w:p>
        </w:tc>
      </w:tr>
      <w:tr>
        <w:tc>
          <w:tcPr>
            <w:tcW w:type="dxa" w:w="2880"/>
          </w:tcPr>
          <w:p>
            <w:r/>
            <w:r>
              <w:rPr>
                <w:rFonts w:ascii="Times New Roman" w:hAnsi="Times New Roman"/>
                <w:b w:val="0"/>
                <w:i w:val="0"/>
                <w:sz w:val="18"/>
              </w:rPr>
              <w:t>Bilateral independent</w:t>
            </w:r>
          </w:p>
        </w:tc>
        <w:tc>
          <w:tcPr>
            <w:tcW w:type="dxa" w:w="2880"/>
          </w:tcPr>
          <w:p>
            <w:r/>
            <w:r>
              <w:rPr>
                <w:rFonts w:ascii="Times New Roman" w:hAnsi="Times New Roman"/>
                <w:b w:val="0"/>
                <w:i w:val="0"/>
                <w:sz w:val="18"/>
              </w:rPr>
              <w:t>97</w:t>
            </w:r>
          </w:p>
        </w:tc>
        <w:tc>
          <w:tcPr>
            <w:tcW w:type="dxa" w:w="2880"/>
          </w:tcPr>
          <w:p>
            <w:r/>
          </w:p>
        </w:tc>
      </w:tr>
      <w:tr>
        <w:tc>
          <w:tcPr>
            <w:tcW w:type="dxa" w:w="2880"/>
          </w:tcPr>
          <w:p>
            <w:r/>
            <w:r>
              <w:rPr>
                <w:rFonts w:ascii="Times New Roman" w:hAnsi="Times New Roman"/>
                <w:b/>
                <w:i w:val="0"/>
                <w:sz w:val="18"/>
              </w:rPr>
              <w:t>Laterality</w:t>
            </w:r>
          </w:p>
        </w:tc>
        <w:tc>
          <w:tcPr>
            <w:tcW w:type="dxa" w:w="2880"/>
          </w:tcPr>
          <w:p>
            <w:r/>
          </w:p>
        </w:tc>
        <w:tc>
          <w:tcPr>
            <w:tcW w:type="dxa" w:w="2880"/>
          </w:tcPr>
          <w:p>
            <w:r/>
          </w:p>
        </w:tc>
      </w:tr>
      <w:tr>
        <w:tc>
          <w:tcPr>
            <w:tcW w:type="dxa" w:w="2880"/>
          </w:tcPr>
          <w:p>
            <w:r/>
            <w:r>
              <w:rPr>
                <w:rFonts w:ascii="Times New Roman" w:hAnsi="Times New Roman"/>
                <w:b w:val="0"/>
                <w:i w:val="0"/>
                <w:sz w:val="18"/>
              </w:rPr>
              <w:t>Left / Right / Bilateral</w:t>
            </w:r>
          </w:p>
        </w:tc>
        <w:tc>
          <w:tcPr>
            <w:tcW w:type="dxa" w:w="2880"/>
          </w:tcPr>
          <w:p>
            <w:r/>
            <w:r>
              <w:rPr>
                <w:rFonts w:ascii="Times New Roman" w:hAnsi="Times New Roman"/>
                <w:b w:val="0"/>
                <w:i w:val="0"/>
                <w:sz w:val="18"/>
              </w:rPr>
              <w:t>1770 / 1611 / 709</w:t>
            </w:r>
          </w:p>
        </w:tc>
        <w:tc>
          <w:tcPr>
            <w:tcW w:type="dxa" w:w="2880"/>
          </w:tcPr>
          <w:p>
            <w:r/>
          </w:p>
        </w:tc>
      </w:tr>
      <w:tr>
        <w:tc>
          <w:tcPr>
            <w:tcW w:type="dxa" w:w="2880"/>
          </w:tcPr>
          <w:p>
            <w:r/>
            <w:r>
              <w:rPr>
                <w:rFonts w:ascii="Times New Roman" w:hAnsi="Times New Roman"/>
                <w:b/>
                <w:i w:val="0"/>
                <w:sz w:val="18"/>
              </w:rPr>
              <w:t>Region (temporal/frontal/central/parietal/occipital)</w:t>
            </w:r>
          </w:p>
        </w:tc>
        <w:tc>
          <w:tcPr>
            <w:tcW w:type="dxa" w:w="2880"/>
          </w:tcPr>
          <w:p>
            <w:r/>
            <w:r>
              <w:rPr>
                <w:rFonts w:ascii="Times New Roman" w:hAnsi="Times New Roman"/>
                <w:b w:val="0"/>
                <w:i w:val="0"/>
                <w:sz w:val="18"/>
              </w:rPr>
              <w:t>1940 / 1261 / 878 / 329 / 404</w:t>
            </w:r>
          </w:p>
        </w:tc>
        <w:tc>
          <w:tcPr>
            <w:tcW w:type="dxa" w:w="2880"/>
          </w:tcPr>
          <w:p>
            <w:r/>
          </w:p>
        </w:tc>
      </w:tr>
      <w:tr>
        <w:tc>
          <w:tcPr>
            <w:tcW w:type="dxa" w:w="2880"/>
          </w:tcPr>
          <w:p>
            <w:r/>
            <w:r>
              <w:rPr>
                <w:rFonts w:ascii="Times New Roman" w:hAnsi="Times New Roman"/>
                <w:b w:val="0"/>
                <w:i w:val="0"/>
                <w:sz w:val="18"/>
              </w:rPr>
              <w:t>Abnormal slowing</w:t>
            </w:r>
          </w:p>
        </w:tc>
        <w:tc>
          <w:tcPr>
            <w:tcW w:type="dxa" w:w="2880"/>
          </w:tcPr>
          <w:p>
            <w:r/>
            <w:r>
              <w:rPr>
                <w:rFonts w:ascii="Times New Roman" w:hAnsi="Times New Roman"/>
                <w:b w:val="0"/>
                <w:i w:val="0"/>
                <w:sz w:val="18"/>
              </w:rPr>
              <w:t>4524</w:t>
            </w:r>
          </w:p>
        </w:tc>
        <w:tc>
          <w:tcPr>
            <w:tcW w:type="dxa" w:w="2880"/>
          </w:tcPr>
          <w:p>
            <w:r/>
            <w:r>
              <w:rPr>
                <w:rFonts w:ascii="Times New Roman" w:hAnsi="Times New Roman"/>
                <w:b w:val="0"/>
                <w:i w:val="0"/>
                <w:sz w:val="18"/>
              </w:rPr>
              <w:t>of 10726 studies</w:t>
            </w:r>
          </w:p>
        </w:tc>
      </w:tr>
      <w:tr>
        <w:tc>
          <w:tcPr>
            <w:tcW w:type="dxa" w:w="2880"/>
          </w:tcPr>
          <w:p>
            <w:r/>
            <w:r>
              <w:rPr>
                <w:rFonts w:ascii="Times New Roman" w:hAnsi="Times New Roman"/>
                <w:b w:val="0"/>
                <w:i w:val="0"/>
                <w:sz w:val="18"/>
              </w:rPr>
              <w:t>Electrographic seizures</w:t>
            </w:r>
          </w:p>
        </w:tc>
        <w:tc>
          <w:tcPr>
            <w:tcW w:type="dxa" w:w="2880"/>
          </w:tcPr>
          <w:p>
            <w:r/>
            <w:r>
              <w:rPr>
                <w:rFonts w:ascii="Times New Roman" w:hAnsi="Times New Roman"/>
                <w:b w:val="0"/>
                <w:i w:val="0"/>
                <w:sz w:val="18"/>
              </w:rPr>
              <w:t>2379</w:t>
            </w:r>
          </w:p>
        </w:tc>
        <w:tc>
          <w:tcPr>
            <w:tcW w:type="dxa" w:w="2880"/>
          </w:tcPr>
          <w:p>
            <w:r/>
            <w:r>
              <w:rPr>
                <w:rFonts w:ascii="Times New Roman" w:hAnsi="Times New Roman"/>
                <w:b w:val="0"/>
                <w:i w:val="0"/>
                <w:sz w:val="18"/>
              </w:rPr>
              <w:t>of 10726 studies</w:t>
            </w:r>
          </w:p>
        </w:tc>
      </w:tr>
      <w:tr>
        <w:tc>
          <w:tcPr>
            <w:tcW w:type="dxa" w:w="2880"/>
          </w:tcPr>
          <w:p>
            <w:r/>
            <w:r>
              <w:rPr>
                <w:rFonts w:ascii="Times New Roman" w:hAnsi="Times New Roman"/>
                <w:b w:val="0"/>
                <w:i w:val="0"/>
                <w:sz w:val="18"/>
              </w:rPr>
              <w:t>Patient-reported events</w:t>
            </w:r>
          </w:p>
        </w:tc>
        <w:tc>
          <w:tcPr>
            <w:tcW w:type="dxa" w:w="2880"/>
          </w:tcPr>
          <w:p>
            <w:r/>
            <w:r>
              <w:rPr>
                <w:rFonts w:ascii="Times New Roman" w:hAnsi="Times New Roman"/>
                <w:b w:val="0"/>
                <w:i w:val="0"/>
                <w:sz w:val="18"/>
              </w:rPr>
              <w:t>5119</w:t>
            </w:r>
          </w:p>
        </w:tc>
        <w:tc>
          <w:tcPr>
            <w:tcW w:type="dxa" w:w="2880"/>
          </w:tcPr>
          <w:p>
            <w:r/>
          </w:p>
        </w:tc>
      </w:tr>
    </w:tbl>
    <w:p/>
    <w:p>
      <w:r>
        <w:rPr>
          <w:rFonts w:ascii="Times New Roman" w:hAnsi="Times New Roman"/>
          <w:b w:val="0"/>
          <w:i/>
          <w:sz w:val="24"/>
        </w:rPr>
        <w:t>Morphology, distribution, laterality, and region were extracted from free-text descriptions using regex pattern matching. Categories are not mutually exclusive.</w:t>
      </w:r>
    </w:p>
    <w:p>
      <w:r>
        <w:rPr>
          <w:rFonts w:ascii="Times New Roman" w:hAnsi="Times New Roman"/>
          <w:b/>
          <w:i w:val="0"/>
          <w:sz w:val="24"/>
        </w:rPr>
        <w:t>Supplementary Table 5. Hourly EEG monitoring data.</w:t>
      </w:r>
      <w:r>
        <w:rPr>
          <w:rFonts w:ascii="Times New Roman" w:hAnsi="Times New Roman"/>
          <w:b w:val="0"/>
          <w:i w:val="0"/>
          <w:sz w:val="24"/>
        </w:rPr>
        <w:t xml:space="preserve"> Summary of technician monitoring activity extracted from monitoring logs in technologist scan reports.</w:t>
      </w:r>
    </w:p>
    <w:tbl>
      <w:tblPr>
        <w:tblStyle w:val="TableGrid"/>
        <w:tblW w:type="auto" w:w="0"/>
        <w:tblLook w:firstColumn="1" w:firstRow="1" w:lastColumn="0" w:lastRow="0" w:noHBand="0" w:noVBand="1" w:val="04A0"/>
      </w:tblPr>
      <w:tblGrid>
        <w:gridCol w:w="4320"/>
        <w:gridCol w:w="4320"/>
      </w:tblGrid>
      <w:tr>
        <w:tc>
          <w:tcPr>
            <w:tcW w:type="dxa" w:w="4320"/>
          </w:tcPr>
          <w:p>
            <w:r/>
            <w:r>
              <w:rPr>
                <w:rFonts w:ascii="Times New Roman" w:hAnsi="Times New Roman"/>
                <w:b/>
                <w:i w:val="0"/>
                <w:sz w:val="18"/>
              </w:rPr>
              <w:t>Metric</w:t>
            </w:r>
          </w:p>
        </w:tc>
        <w:tc>
          <w:tcPr>
            <w:tcW w:type="dxa" w:w="4320"/>
          </w:tcPr>
          <w:p>
            <w:r/>
            <w:r>
              <w:rPr>
                <w:rFonts w:ascii="Times New Roman" w:hAnsi="Times New Roman"/>
                <w:b/>
                <w:i w:val="0"/>
                <w:sz w:val="18"/>
              </w:rPr>
              <w:t>Value</w:t>
            </w:r>
          </w:p>
        </w:tc>
      </w:tr>
      <w:tr>
        <w:tc>
          <w:tcPr>
            <w:tcW w:type="dxa" w:w="4320"/>
          </w:tcPr>
          <w:p>
            <w:r/>
            <w:r>
              <w:rPr>
                <w:rFonts w:ascii="Times New Roman" w:hAnsi="Times New Roman"/>
                <w:b w:val="0"/>
                <w:i w:val="0"/>
                <w:sz w:val="18"/>
              </w:rPr>
              <w:t>Studies with monitoring data</w:t>
            </w:r>
          </w:p>
        </w:tc>
        <w:tc>
          <w:tcPr>
            <w:tcW w:type="dxa" w:w="4320"/>
          </w:tcPr>
          <w:p>
            <w:r/>
            <w:r>
              <w:rPr>
                <w:rFonts w:ascii="Times New Roman" w:hAnsi="Times New Roman"/>
                <w:b w:val="0"/>
                <w:i w:val="0"/>
                <w:sz w:val="18"/>
              </w:rPr>
              <w:t>6413</w:t>
            </w:r>
          </w:p>
        </w:tc>
      </w:tr>
      <w:tr>
        <w:tc>
          <w:tcPr>
            <w:tcW w:type="dxa" w:w="4320"/>
          </w:tcPr>
          <w:p>
            <w:r/>
            <w:r>
              <w:rPr>
                <w:rFonts w:ascii="Times New Roman" w:hAnsi="Times New Roman"/>
                <w:b w:val="0"/>
                <w:i w:val="0"/>
                <w:sz w:val="18"/>
              </w:rPr>
              <w:t>Total logged hours</w:t>
            </w:r>
          </w:p>
        </w:tc>
        <w:tc>
          <w:tcPr>
            <w:tcW w:type="dxa" w:w="4320"/>
          </w:tcPr>
          <w:p>
            <w:r/>
            <w:r>
              <w:rPr>
                <w:rFonts w:ascii="Times New Roman" w:hAnsi="Times New Roman"/>
                <w:b w:val="0"/>
                <w:i w:val="0"/>
                <w:sz w:val="18"/>
              </w:rPr>
              <w:t>296,948</w:t>
            </w:r>
          </w:p>
        </w:tc>
      </w:tr>
      <w:tr>
        <w:tc>
          <w:tcPr>
            <w:tcW w:type="dxa" w:w="4320"/>
          </w:tcPr>
          <w:p>
            <w:r/>
            <w:r>
              <w:rPr>
                <w:rFonts w:ascii="Times New Roman" w:hAnsi="Times New Roman"/>
                <w:b w:val="0"/>
                <w:i w:val="0"/>
                <w:sz w:val="18"/>
              </w:rPr>
              <w:t>Hours recording active</w:t>
            </w:r>
          </w:p>
        </w:tc>
        <w:tc>
          <w:tcPr>
            <w:tcW w:type="dxa" w:w="4320"/>
          </w:tcPr>
          <w:p>
            <w:r/>
            <w:r>
              <w:rPr>
                <w:rFonts w:ascii="Times New Roman" w:hAnsi="Times New Roman"/>
                <w:b w:val="0"/>
                <w:i w:val="0"/>
                <w:sz w:val="18"/>
              </w:rPr>
              <w:t>273,796 (92%)</w:t>
            </w:r>
          </w:p>
        </w:tc>
      </w:tr>
      <w:tr>
        <w:tc>
          <w:tcPr>
            <w:tcW w:type="dxa" w:w="4320"/>
          </w:tcPr>
          <w:p>
            <w:r/>
            <w:r>
              <w:rPr>
                <w:rFonts w:ascii="Times New Roman" w:hAnsi="Times New Roman"/>
                <w:b w:val="0"/>
                <w:i w:val="0"/>
                <w:sz w:val="18"/>
              </w:rPr>
              <w:t>Distinct days/study, median (IQR)</w:t>
            </w:r>
          </w:p>
        </w:tc>
        <w:tc>
          <w:tcPr>
            <w:tcW w:type="dxa" w:w="4320"/>
          </w:tcPr>
          <w:p>
            <w:r/>
            <w:r>
              <w:rPr>
                <w:rFonts w:ascii="Times New Roman" w:hAnsi="Times New Roman"/>
                <w:b w:val="0"/>
                <w:i w:val="0"/>
                <w:sz w:val="18"/>
              </w:rPr>
              <w:t>3.0 (2.0-4.0)</w:t>
            </w:r>
          </w:p>
        </w:tc>
      </w:tr>
      <w:tr>
        <w:tc>
          <w:tcPr>
            <w:tcW w:type="dxa" w:w="4320"/>
          </w:tcPr>
          <w:p>
            <w:r/>
            <w:r>
              <w:rPr>
                <w:rFonts w:ascii="Times New Roman" w:hAnsi="Times New Roman"/>
                <w:b w:val="0"/>
                <w:i w:val="0"/>
                <w:sz w:val="18"/>
              </w:rPr>
              <w:t>Monitoring events</w:t>
            </w:r>
          </w:p>
        </w:tc>
        <w:tc>
          <w:tcPr>
            <w:tcW w:type="dxa" w:w="4320"/>
          </w:tcPr>
          <w:p>
            <w:r/>
            <w:r>
              <w:rPr>
                <w:rFonts w:ascii="Times New Roman" w:hAnsi="Times New Roman"/>
                <w:b w:val="0"/>
                <w:i w:val="0"/>
                <w:sz w:val="18"/>
              </w:rPr>
              <w:t>173,096</w:t>
            </w:r>
          </w:p>
        </w:tc>
      </w:tr>
      <w:tr>
        <w:tc>
          <w:tcPr>
            <w:tcW w:type="dxa" w:w="4320"/>
          </w:tcPr>
          <w:p>
            <w:r/>
            <w:r>
              <w:rPr>
                <w:rFonts w:ascii="Times New Roman" w:hAnsi="Times New Roman"/>
                <w:b w:val="0"/>
                <w:i w:val="0"/>
                <w:sz w:val="18"/>
              </w:rPr>
              <w:t>EEG reviewed / General notes / Equipment failures</w:t>
            </w:r>
          </w:p>
        </w:tc>
        <w:tc>
          <w:tcPr>
            <w:tcW w:type="dxa" w:w="4320"/>
          </w:tcPr>
          <w:p>
            <w:r/>
            <w:r>
              <w:rPr>
                <w:rFonts w:ascii="Times New Roman" w:hAnsi="Times New Roman"/>
                <w:b w:val="0"/>
                <w:i w:val="0"/>
                <w:sz w:val="18"/>
              </w:rPr>
              <w:t>134,875 / 37,704 / 517</w:t>
            </w:r>
          </w:p>
        </w:tc>
      </w:tr>
    </w:tbl>
    <w:p/>
    <w:p>
      <w:r>
        <w:rPr>
          <w:rFonts w:ascii="Times New Roman" w:hAnsi="Times New Roman"/>
          <w:b w:val="0"/>
          <w:i/>
          <w:sz w:val="24"/>
        </w:rPr>
        <w:t>Each monitoring hour was documented individually by the assigned technician, including impedance, recording status, battery level, and free-text observations.</w:t>
      </w:r>
    </w:p>
    <w:p>
      <w:pPr>
        <w:spacing w:before="120"/>
      </w:pPr>
      <w:r>
        <w:rPr>
          <w:rFonts w:ascii="Times New Roman" w:hAnsi="Times New Roman"/>
          <w:b/>
          <w:i w:val="0"/>
          <w:sz w:val="26"/>
        </w:rPr>
        <w:t>Supplementary Figures</w:t>
      </w:r>
    </w:p>
    <w:p>
      <w:pPr>
        <w:jc w:val="center"/>
      </w:pPr>
      <w:r>
        <w:drawing>
          <wp:inline xmlns:a="http://schemas.openxmlformats.org/drawingml/2006/main" xmlns:pic="http://schemas.openxmlformats.org/drawingml/2006/picture">
            <wp:extent cx="5486400" cy="3196180"/>
            <wp:docPr id="1" name="Picture 1"/>
            <wp:cNvGraphicFramePr>
              <a:graphicFrameLocks noChangeAspect="1"/>
            </wp:cNvGraphicFramePr>
            <a:graphic>
              <a:graphicData uri="http://schemas.openxmlformats.org/drawingml/2006/picture">
                <pic:pic>
                  <pic:nvPicPr>
                    <pic:cNvPr id="0" name="supp_figure1_eeg_example.png"/>
                    <pic:cNvPicPr/>
                  </pic:nvPicPr>
                  <pic:blipFill>
                    <a:blip r:embed="rId9"/>
                    <a:stretch>
                      <a:fillRect/>
                    </a:stretch>
                  </pic:blipFill>
                  <pic:spPr>
                    <a:xfrm>
                      <a:off x="0" y="0"/>
                      <a:ext cx="5486400" cy="3196180"/>
                    </a:xfrm>
                    <a:prstGeom prst="rect"/>
                  </pic:spPr>
                </pic:pic>
              </a:graphicData>
            </a:graphic>
          </wp:inline>
        </w:drawing>
      </w:r>
    </w:p>
    <w:p>
      <w:r>
        <w:rPr>
          <w:rFonts w:ascii="Times New Roman" w:hAnsi="Times New Roman"/>
          <w:b/>
          <w:i w:val="0"/>
          <w:sz w:val="24"/>
        </w:rPr>
        <w:t>Supplementary Figure 1.</w:t>
      </w:r>
      <w:r>
        <w:rPr>
          <w:rFonts w:ascii="Times New Roman" w:hAnsi="Times New Roman"/>
          <w:b w:val="0"/>
          <w:i w:val="0"/>
          <w:sz w:val="24"/>
        </w:rPr>
        <w:t xml:space="preserve"> Example EEG traces from a representative recording in standard bipolar montage showing normal background activity (left) and an interictal spike (right). Channels from the standard 10-20 montage are displayed; scale bars indicate 100 microvolts and 1 second.</w:t>
      </w:r>
    </w:p>
    <w:p>
      <w:pPr>
        <w:jc w:val="center"/>
      </w:pPr>
      <w:r>
        <w:drawing>
          <wp:inline xmlns:a="http://schemas.openxmlformats.org/drawingml/2006/main" xmlns:pic="http://schemas.openxmlformats.org/drawingml/2006/picture">
            <wp:extent cx="5486400" cy="3350540"/>
            <wp:docPr id="2" name="Picture 2"/>
            <wp:cNvGraphicFramePr>
              <a:graphicFrameLocks noChangeAspect="1"/>
            </wp:cNvGraphicFramePr>
            <a:graphic>
              <a:graphicData uri="http://schemas.openxmlformats.org/drawingml/2006/picture">
                <pic:pic>
                  <pic:nvPicPr>
                    <pic:cNvPr id="0" name="supp_figure2_deidentification.png"/>
                    <pic:cNvPicPr/>
                  </pic:nvPicPr>
                  <pic:blipFill>
                    <a:blip r:embed="rId10"/>
                    <a:stretch>
                      <a:fillRect/>
                    </a:stretch>
                  </pic:blipFill>
                  <pic:spPr>
                    <a:xfrm>
                      <a:off x="0" y="0"/>
                      <a:ext cx="5486400" cy="3350540"/>
                    </a:xfrm>
                    <a:prstGeom prst="rect"/>
                  </pic:spPr>
                </pic:pic>
              </a:graphicData>
            </a:graphic>
          </wp:inline>
        </w:drawing>
      </w:r>
    </w:p>
    <w:p>
      <w:r>
        <w:rPr>
          <w:rFonts w:ascii="Times New Roman" w:hAnsi="Times New Roman"/>
          <w:b/>
          <w:i w:val="0"/>
          <w:sz w:val="24"/>
        </w:rPr>
        <w:t>Supplementary Figure 2.</w:t>
      </w:r>
      <w:r>
        <w:rPr>
          <w:rFonts w:ascii="Times New Roman" w:hAnsi="Times New Roman"/>
          <w:b w:val="0"/>
          <w:i w:val="0"/>
          <w:sz w:val="24"/>
        </w:rPr>
        <w:t xml:space="preserve"> De-identification of EDF header fields. Each row shows a header field before (containing protected health information) and after de-identification. Patient names are replaced with placeholders, identifiers are reassigned, dates are shifted by a consistent per-patient random offset, and technician and equipment identifiers are removed. All examples shown are fictitious.</w:t>
      </w:r>
    </w:p>
    <w:p>
      <w:pPr>
        <w:jc w:val="center"/>
      </w:pPr>
      <w:r>
        <w:drawing>
          <wp:inline xmlns:a="http://schemas.openxmlformats.org/drawingml/2006/main" xmlns:pic="http://schemas.openxmlformats.org/drawingml/2006/picture">
            <wp:extent cx="5486400" cy="2286000"/>
            <wp:docPr id="3" name="Picture 3"/>
            <wp:cNvGraphicFramePr>
              <a:graphicFrameLocks noChangeAspect="1"/>
            </wp:cNvGraphicFramePr>
            <a:graphic>
              <a:graphicData uri="http://schemas.openxmlformats.org/drawingml/2006/picture">
                <pic:pic>
                  <pic:nvPicPr>
                    <pic:cNvPr id="0" name="supp_figure3_comorbidities_meds.png"/>
                    <pic:cNvPicPr/>
                  </pic:nvPicPr>
                  <pic:blipFill>
                    <a:blip r:embed="rId11"/>
                    <a:stretch>
                      <a:fillRect/>
                    </a:stretch>
                  </pic:blipFill>
                  <pic:spPr>
                    <a:xfrm>
                      <a:off x="0" y="0"/>
                      <a:ext cx="5486400" cy="2286000"/>
                    </a:xfrm>
                    <a:prstGeom prst="rect"/>
                  </pic:spPr>
                </pic:pic>
              </a:graphicData>
            </a:graphic>
          </wp:inline>
        </w:drawing>
      </w:r>
    </w:p>
    <w:p>
      <w:r>
        <w:rPr>
          <w:rFonts w:ascii="Times New Roman" w:hAnsi="Times New Roman"/>
          <w:b/>
          <w:i w:val="0"/>
          <w:sz w:val="24"/>
        </w:rPr>
        <w:t>Supplementary Figure 3.</w:t>
      </w:r>
      <w:r>
        <w:rPr>
          <w:rFonts w:ascii="Times New Roman" w:hAnsi="Times New Roman"/>
          <w:b w:val="0"/>
          <w:i w:val="0"/>
          <w:sz w:val="24"/>
        </w:rPr>
        <w:t xml:space="preserve"> Comorbidities and anti-seizure medications. (A) Ten most frequent comorbidities extracted from clinical progress notes, excluding seizure-related diagnoses. (B) Ten most frequently prescribed anti-seizure medications. Levetiracetam is the most common, consistent with its status as a first-line agent.</w:t>
      </w:r>
    </w:p>
    <w:p>
      <w:pPr>
        <w:jc w:val="center"/>
      </w:pPr>
      <w:r>
        <w:drawing>
          <wp:inline xmlns:a="http://schemas.openxmlformats.org/drawingml/2006/main" xmlns:pic="http://schemas.openxmlformats.org/drawingml/2006/picture">
            <wp:extent cx="5486400" cy="2286000"/>
            <wp:docPr id="4" name="Picture 4"/>
            <wp:cNvGraphicFramePr>
              <a:graphicFrameLocks noChangeAspect="1"/>
            </wp:cNvGraphicFramePr>
            <a:graphic>
              <a:graphicData uri="http://schemas.openxmlformats.org/drawingml/2006/picture">
                <pic:pic>
                  <pic:nvPicPr>
                    <pic:cNvPr id="0" name="supp_figure4_monitoring.png"/>
                    <pic:cNvPicPr/>
                  </pic:nvPicPr>
                  <pic:blipFill>
                    <a:blip r:embed="rId12"/>
                    <a:stretch>
                      <a:fillRect/>
                    </a:stretch>
                  </pic:blipFill>
                  <pic:spPr>
                    <a:xfrm>
                      <a:off x="0" y="0"/>
                      <a:ext cx="5486400" cy="2286000"/>
                    </a:xfrm>
                    <a:prstGeom prst="rect"/>
                  </pic:spPr>
                </pic:pic>
              </a:graphicData>
            </a:graphic>
          </wp:inline>
        </w:drawing>
      </w:r>
    </w:p>
    <w:p>
      <w:r>
        <w:rPr>
          <w:rFonts w:ascii="Times New Roman" w:hAnsi="Times New Roman"/>
          <w:b/>
          <w:i w:val="0"/>
          <w:sz w:val="24"/>
        </w:rPr>
        <w:t>Supplementary Figure 4.</w:t>
      </w:r>
      <w:r>
        <w:rPr>
          <w:rFonts w:ascii="Times New Roman" w:hAnsi="Times New Roman"/>
          <w:b w:val="0"/>
          <w:i w:val="0"/>
          <w:sz w:val="24"/>
        </w:rPr>
        <w:t xml:space="preserve"> Monitoring characteristics. (A) Distribution of total monitoring duration across 6413 studies with hour-by-hour monitoring data. Peaks at 24 and 48 hours reflect standard ordered monitoring durations. (B) Recording activity by hour of day across all 296,948 documented monitoring hours. Light shading shows total hours logged; dark shading shows hours with active recording.</w:t>
      </w:r>
    </w:p>
    <w:sectPr w:rsidR="00FC693F" w:rsidRPr="0006063C" w:rsidSect="00034616">
      <w:pgSz w:w="12240" w:h="15840"/>
      <w:pgMar w:top="1440" w:right="1800" w:bottom="1440" w:left="1800" w:header="720" w:footer="720" w:gutter="0"/>
      <w:cols w:space="720"/>
      <w:docGrid w:linePitch="360"/>
      <w:lnNumType w:countBy="1" w:restart="continuous" w:distan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