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6.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32"/>
        </w:rPr>
        <w:t>The Neurotech EEG Dataset: A Large Clinical Scalp EEG Corpus for AI Development and Research</w:t>
      </w:r>
    </w:p>
    <w:p>
      <w:r>
        <w:rPr>
          <w:rFonts w:ascii="Times New Roman" w:hAnsi="Times New Roman"/>
          <w:b/>
          <w:i w:val="0"/>
          <w:sz w:val="22"/>
        </w:rPr>
        <w:t>Authors:</w:t>
      </w:r>
      <w:r>
        <w:rPr>
          <w:rFonts w:ascii="Times New Roman" w:hAnsi="Times New Roman"/>
          <w:b w:val="0"/>
          <w:i w:val="0"/>
          <w:sz w:val="22"/>
        </w:rPr>
        <w:t xml:space="preserve"> Keith Morgan[1], Charles Pickering[1], Matthew Goodwin[1], Han Wu[2], Manohar Ghanta[2], Aditya Gupta[2], Jin Jing[2], ChenXi Sun[2], Daniel Goldenholz[2], M. Brandon Westover[2]</w:t>
      </w:r>
    </w:p>
    <w:p>
      <w:r>
        <w:rPr>
          <w:rFonts w:ascii="Times New Roman" w:hAnsi="Times New Roman"/>
          <w:b w:val="0"/>
          <w:i w:val="0"/>
          <w:sz w:val="22"/>
        </w:rPr>
        <w:t>[1] Neurotech, Waukesha, WI</w:t>
      </w:r>
    </w:p>
    <w:p>
      <w:r>
        <w:rPr>
          <w:rFonts w:ascii="Times New Roman" w:hAnsi="Times New Roman"/>
          <w:b w:val="0"/>
          <w:i w:val="0"/>
          <w:sz w:val="22"/>
        </w:rPr>
        <w:t>[2] Department of Neurology, Beth Israel Deaconess Medical Center, Harvard Medical School, Boston, MA</w:t>
      </w:r>
    </w:p>
    <w:p>
      <w:r>
        <w:rPr>
          <w:rFonts w:ascii="Times New Roman" w:hAnsi="Times New Roman"/>
          <w:b/>
          <w:i w:val="0"/>
          <w:sz w:val="22"/>
        </w:rPr>
        <w:t>Corresponding author:</w:t>
      </w:r>
      <w:r>
        <w:rPr>
          <w:rFonts w:ascii="Times New Roman" w:hAnsi="Times New Roman"/>
          <w:b w:val="0"/>
          <w:i w:val="0"/>
          <w:sz w:val="22"/>
        </w:rPr>
        <w:t xml:space="preserve"> M. Brandon Westover, MD, PhD (bwestove@bidmc.harvard.edu)</w:t>
      </w:r>
    </w:p>
    <w:p>
      <w:pPr>
        <w:pStyle w:val="Heading1"/>
      </w:pPr>
      <w:r>
        <w:rPr>
          <w:rFonts w:ascii="Times New Roman" w:hAnsi="Times New Roman"/>
          <w:b/>
          <w:i w:val="0"/>
          <w:sz w:val="28"/>
        </w:rPr>
        <w:t>Abstract</w:t>
      </w:r>
    </w:p>
    <w:p>
      <w:r>
        <w:rPr>
          <w:rFonts w:ascii="Times New Roman" w:hAnsi="Times New Roman"/>
          <w:b w:val="0"/>
          <w:i w:val="0"/>
          <w:sz w:val="22"/>
        </w:rPr>
        <w:t>We present the Neurotech EEG Dataset, a large clinical scalp electroencephalography (EEG) corpus comprising 23,607 EEG recordings from 4,914 patients acquired by a single EEG monitoring service provider across in-home and inpatient settings between 2021 and 2025, totaling 212,186 hours of signal data and 10.2 TB of storage. All recordings used the standard International 10-20 montage, spanning the full spectrum of clinical EEG practice: routine outpatient recordings (36%), ambulatory and short-term monitoring (53%), and prolonged continuous monitoring (11%). A distinguishing feature is the large proportion of ambulatory recordings acquired in patients' homes, including multi-day studies -- a real-world, out-of-hospital recording context largely absent from existing large clinical EEG corpora, which are predominantly hospital-based. Recordings are accompanied by 226,486 technician-placed annotations including 50,482 spike markers, 6,892 seizure markers, 21,330 sharp wave annotations, and free-text clinical observations. We release the dataset in Brain Imaging Data Structure (BIDS) EEG format through the Brain Data Science Platform (BDSP) with de-identification compliant with the Health Insurance Portability and Accountability Act (HIPAA), including per-patient date shifting and automated name scrubbing of free-text annotations. By preserving workflow-native annotations, this resource enables researchers to train and validate EEG algorithms against the variability and noise of real clinical practice -- bridging the gap between benchmark performance and real-world deployment.</w:t>
      </w:r>
    </w:p>
    <w:p>
      <w:pPr>
        <w:pStyle w:val="Heading1"/>
      </w:pPr>
      <w:r>
        <w:rPr>
          <w:rFonts w:ascii="Times New Roman" w:hAnsi="Times New Roman"/>
          <w:b/>
          <w:i w:val="0"/>
          <w:sz w:val="28"/>
        </w:rPr>
        <w:t>Background &amp; Summary</w:t>
      </w:r>
    </w:p>
    <w:p>
      <w:r>
        <w:rPr>
          <w:rFonts w:ascii="Times New Roman" w:hAnsi="Times New Roman"/>
          <w:b w:val="0"/>
          <w:i w:val="0"/>
          <w:sz w:val="22"/>
        </w:rPr>
        <w:t>Expert interpretation of the electroencephalogram (EEG) remains the cornerstone of epilepsy diagnosis[1], yet the global shortage of trained EEG readers creates a bottleneck affecting the approximately 50 million people living with epilepsy worldwide[9]. Machine learning (ML) offers a path toward scalable automated interpretation[2], but the scarcity of large, clinically representative public datasets has constrained progress. Spike detection algorithms trained on existing public datasets can achieve high accuracy on held-out test sets but can drop substantially when deployed on recordings from different clinical settings or hardware platforms -- a persistent and well-documented generalization problem</w:t>
      </w:r>
      <w:r>
        <w:rPr>
          <w:rFonts w:ascii="Times New Roman" w:hAnsi="Times New Roman"/>
          <w:b w:val="0"/>
          <w:i w:val="0"/>
          <w:sz w:val="22"/>
          <w:vertAlign w:val="superscript"/>
        </w:rPr>
        <w:t>3-6,12</w:t>
      </w:r>
      <w:r>
        <w:rPr>
          <w:rFonts w:ascii="Times New Roman" w:hAnsi="Times New Roman"/>
          <w:b w:val="0"/>
          <w:i w:val="0"/>
          <w:sz w:val="22"/>
        </w:rPr>
        <w:t>.</w:t>
      </w:r>
    </w:p>
    <w:p>
      <w:r>
        <w:rPr>
          <w:rFonts w:ascii="Times New Roman" w:hAnsi="Times New Roman"/>
          <w:b w:val="0"/>
          <w:i w:val="0"/>
          <w:sz w:val="22"/>
        </w:rPr>
        <w:t>Existing public EEG resources span a range of sizes and designs but share common limitations (Table 1). The CHB-MIT dataset provides 23 pediatric patients with seizure annotations[3]; the Bonn dataset offers intracranial recordings from 5 patients[4]; the Siena dataset contributes 14 patients with scalp EEG[5]. The Temple University Hospital (TUH) EEG Corpus, at over 25,000 sessions, demonstrated that large-scale release of unselected clinical data could become the most widely used benchmark in the EEG artificial intelligence (AI) literature[7]. However, publicly available clinical EEG remains insufficiently diverse across institutions, hardware platforms, clinical settings, and annotation practices.</w:t>
      </w:r>
    </w:p>
    <w:p>
      <w:r>
        <w:rPr>
          <w:rFonts w:ascii="Times New Roman" w:hAnsi="Times New Roman"/>
          <w:b w:val="0"/>
          <w:i w:val="0"/>
          <w:sz w:val="22"/>
        </w:rPr>
        <w:t>Here we release the Neurotech EEG Dataset -- to our knowledge, one of the largest public clinical EEG corpora from a single service provider -- comprising 23,607 EEG recordings from 4,914 patients totaling 212,186 recording hours. This dataset complements TUH by providing: (1) a majority of ambulatory and multi-day recordings (53% of recordings, compared with a predominantly inpatient corpus in TUH), (2) Natus/Xltek hardware enabling cross-platform algorithm validation, and (3) intact clinical workflow annotations including 50,482 technician-confirmed spike events and 6,892 seizure markers, enabling study of real-world annotation practices. This resource also complements large in-hospital clinical EEG databases such as the Harvard Electroencephalography Database (HEEDB; ~109,000 patients, ~329,000 recordings, and ~3.3 million recording hours across four hospitals, on the same BDSP platform)[11]: whereas HEEDB comprises routine, epilepsy monitoring unit (EMU), and intensive care unit (ICU) recordings acquired in clinical facilities, the present corpus is far smaller overall but uniquely contributes a large volume of multi-day ambulatory EEG recorded in patients' homes. We preserve these workflow-native annotations deliberately: while they lack the consistency of multi-expert research labels, they capture the noise, variability, and practical constraints under which automated systems must ultimately operate (Figure 1).</w:t>
      </w:r>
    </w:p>
    <w:p>
      <w:pPr>
        <w:spacing w:after="120"/>
      </w:pPr>
      <w:r>
        <w:rPr>
          <w:rFonts w:ascii="Times New Roman" w:hAnsi="Times New Roman"/>
          <w:b/>
          <w:i w:val="0"/>
          <w:sz w:val="22"/>
        </w:rPr>
        <w:t>Table 1. Comparison with existing EEG datasets.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Times New Roman" w:hAnsi="Times New Roman"/>
                <w:b/>
                <w:i w:val="0"/>
                <w:sz w:val="18"/>
              </w:rPr>
              <w:t>Dataset</w:t>
            </w:r>
          </w:p>
        </w:tc>
        <w:tc>
          <w:tcPr>
            <w:tcW w:type="dxa" w:w="1234"/>
          </w:tcPr>
          <w:p>
            <w:r/>
            <w:r>
              <w:rPr>
                <w:rFonts w:ascii="Times New Roman" w:hAnsi="Times New Roman"/>
                <w:b/>
                <w:i w:val="0"/>
                <w:sz w:val="18"/>
              </w:rPr>
              <w:t>Patients</w:t>
            </w:r>
          </w:p>
        </w:tc>
        <w:tc>
          <w:tcPr>
            <w:tcW w:type="dxa" w:w="1234"/>
          </w:tcPr>
          <w:p>
            <w:r/>
            <w:r>
              <w:rPr>
                <w:rFonts w:ascii="Times New Roman" w:hAnsi="Times New Roman"/>
                <w:b/>
                <w:i w:val="0"/>
                <w:sz w:val="18"/>
              </w:rPr>
              <w:t>Sessions</w:t>
            </w:r>
          </w:p>
        </w:tc>
        <w:tc>
          <w:tcPr>
            <w:tcW w:type="dxa" w:w="1234"/>
          </w:tcPr>
          <w:p>
            <w:r/>
            <w:r>
              <w:rPr>
                <w:rFonts w:ascii="Times New Roman" w:hAnsi="Times New Roman"/>
                <w:b/>
                <w:i w:val="0"/>
                <w:sz w:val="18"/>
              </w:rPr>
              <w:t>Hours</w:t>
            </w:r>
          </w:p>
        </w:tc>
        <w:tc>
          <w:tcPr>
            <w:tcW w:type="dxa" w:w="1234"/>
          </w:tcPr>
          <w:p>
            <w:r/>
            <w:r>
              <w:rPr>
                <w:rFonts w:ascii="Times New Roman" w:hAnsi="Times New Roman"/>
                <w:b/>
                <w:i w:val="0"/>
                <w:sz w:val="18"/>
              </w:rPr>
              <w:t>Hardware</w:t>
            </w:r>
          </w:p>
        </w:tc>
        <w:tc>
          <w:tcPr>
            <w:tcW w:type="dxa" w:w="1234"/>
          </w:tcPr>
          <w:p>
            <w:r/>
            <w:r>
              <w:rPr>
                <w:rFonts w:ascii="Times New Roman" w:hAnsi="Times New Roman"/>
                <w:b/>
                <w:i w:val="0"/>
                <w:sz w:val="18"/>
              </w:rPr>
              <w:t>Recording types</w:t>
            </w:r>
          </w:p>
        </w:tc>
        <w:tc>
          <w:tcPr>
            <w:tcW w:type="dxa" w:w="1234"/>
          </w:tcPr>
          <w:p>
            <w:r/>
            <w:r>
              <w:rPr>
                <w:rFonts w:ascii="Times New Roman" w:hAnsi="Times New Roman"/>
                <w:b/>
                <w:i w:val="0"/>
                <w:sz w:val="18"/>
              </w:rPr>
              <w:t>Annotation style</w:t>
            </w:r>
          </w:p>
        </w:tc>
      </w:tr>
      <w:tr>
        <w:tc>
          <w:tcPr>
            <w:tcW w:type="dxa" w:w="1234"/>
          </w:tcPr>
          <w:p>
            <w:r/>
            <w:r>
              <w:rPr>
                <w:rFonts w:ascii="Times New Roman" w:hAnsi="Times New Roman"/>
                <w:b w:val="0"/>
                <w:i w:val="0"/>
                <w:sz w:val="18"/>
              </w:rPr>
              <w:t>CHB-MIT</w:t>
            </w:r>
            <w:r>
              <w:rPr>
                <w:rFonts w:ascii="Times New Roman" w:hAnsi="Times New Roman"/>
                <w:b w:val="0"/>
                <w:i w:val="0"/>
                <w:sz w:val="18"/>
                <w:vertAlign w:val="superscript"/>
              </w:rPr>
              <w:t>3</w:t>
            </w:r>
          </w:p>
        </w:tc>
        <w:tc>
          <w:tcPr>
            <w:tcW w:type="dxa" w:w="1234"/>
          </w:tcPr>
          <w:p>
            <w:r/>
            <w:r>
              <w:rPr>
                <w:rFonts w:ascii="Times New Roman" w:hAnsi="Times New Roman"/>
                <w:b w:val="0"/>
                <w:i w:val="0"/>
                <w:sz w:val="18"/>
              </w:rPr>
              <w:t>23</w:t>
            </w:r>
          </w:p>
        </w:tc>
        <w:tc>
          <w:tcPr>
            <w:tcW w:type="dxa" w:w="1234"/>
          </w:tcPr>
          <w:p>
            <w:r/>
            <w:r>
              <w:rPr>
                <w:rFonts w:ascii="Times New Roman" w:hAnsi="Times New Roman"/>
                <w:b w:val="0"/>
                <w:i w:val="0"/>
                <w:sz w:val="18"/>
              </w:rPr>
              <w:t>23</w:t>
            </w:r>
          </w:p>
        </w:tc>
        <w:tc>
          <w:tcPr>
            <w:tcW w:type="dxa" w:w="1234"/>
          </w:tcPr>
          <w:p>
            <w:r/>
            <w:r>
              <w:rPr>
                <w:rFonts w:ascii="Times New Roman" w:hAnsi="Times New Roman"/>
                <w:b w:val="0"/>
                <w:i w:val="0"/>
                <w:sz w:val="18"/>
              </w:rPr>
              <w:t>~982</w:t>
            </w:r>
          </w:p>
        </w:tc>
        <w:tc>
          <w:tcPr>
            <w:tcW w:type="dxa" w:w="1234"/>
          </w:tcPr>
          <w:p>
            <w:r/>
            <w:r>
              <w:rPr>
                <w:rFonts w:ascii="Times New Roman" w:hAnsi="Times New Roman"/>
                <w:b w:val="0"/>
                <w:i w:val="0"/>
                <w:sz w:val="18"/>
              </w:rPr>
              <w:t>Unknown</w:t>
            </w:r>
          </w:p>
        </w:tc>
        <w:tc>
          <w:tcPr>
            <w:tcW w:type="dxa" w:w="1234"/>
          </w:tcPr>
          <w:p>
            <w:r/>
            <w:r>
              <w:rPr>
                <w:rFonts w:ascii="Times New Roman" w:hAnsi="Times New Roman"/>
                <w:b w:val="0"/>
                <w:i w:val="0"/>
                <w:sz w:val="18"/>
              </w:rPr>
              <w:t>Inpatient</w:t>
            </w:r>
          </w:p>
        </w:tc>
        <w:tc>
          <w:tcPr>
            <w:tcW w:type="dxa" w:w="1234"/>
          </w:tcPr>
          <w:p>
            <w:r/>
            <w:r>
              <w:rPr>
                <w:rFonts w:ascii="Times New Roman" w:hAnsi="Times New Roman"/>
                <w:b w:val="0"/>
                <w:i w:val="0"/>
                <w:sz w:val="18"/>
              </w:rPr>
              <w:t>Expert seizure labels</w:t>
            </w:r>
          </w:p>
        </w:tc>
      </w:tr>
      <w:tr>
        <w:tc>
          <w:tcPr>
            <w:tcW w:type="dxa" w:w="1234"/>
          </w:tcPr>
          <w:p>
            <w:r/>
            <w:r>
              <w:rPr>
                <w:rFonts w:ascii="Times New Roman" w:hAnsi="Times New Roman"/>
                <w:b w:val="0"/>
                <w:i w:val="0"/>
                <w:sz w:val="18"/>
              </w:rPr>
              <w:t>Bonn</w:t>
            </w:r>
            <w:r>
              <w:rPr>
                <w:rFonts w:ascii="Times New Roman" w:hAnsi="Times New Roman"/>
                <w:b w:val="0"/>
                <w:i w:val="0"/>
                <w:sz w:val="18"/>
                <w:vertAlign w:val="superscript"/>
              </w:rPr>
              <w:t>4</w:t>
            </w:r>
          </w:p>
        </w:tc>
        <w:tc>
          <w:tcPr>
            <w:tcW w:type="dxa" w:w="1234"/>
          </w:tcPr>
          <w:p>
            <w:r/>
            <w:r>
              <w:rPr>
                <w:rFonts w:ascii="Times New Roman" w:hAnsi="Times New Roman"/>
                <w:b w:val="0"/>
                <w:i w:val="0"/>
                <w:sz w:val="18"/>
              </w:rPr>
              <w:t>5</w:t>
            </w:r>
          </w:p>
        </w:tc>
        <w:tc>
          <w:tcPr>
            <w:tcW w:type="dxa" w:w="1234"/>
          </w:tcPr>
          <w:p>
            <w:r/>
            <w:r>
              <w:rPr>
                <w:rFonts w:ascii="Times New Roman" w:hAnsi="Times New Roman"/>
                <w:b w:val="0"/>
                <w:i w:val="0"/>
                <w:sz w:val="18"/>
              </w:rPr>
              <w:t>5</w:t>
            </w:r>
          </w:p>
        </w:tc>
        <w:tc>
          <w:tcPr>
            <w:tcW w:type="dxa" w:w="1234"/>
          </w:tcPr>
          <w:p>
            <w:r/>
            <w:r>
              <w:rPr>
                <w:rFonts w:ascii="Times New Roman" w:hAnsi="Times New Roman"/>
                <w:b w:val="0"/>
                <w:i w:val="0"/>
                <w:sz w:val="18"/>
              </w:rPr>
              <w:t>~0.6</w:t>
            </w:r>
          </w:p>
        </w:tc>
        <w:tc>
          <w:tcPr>
            <w:tcW w:type="dxa" w:w="1234"/>
          </w:tcPr>
          <w:p>
            <w:r/>
            <w:r>
              <w:rPr>
                <w:rFonts w:ascii="Times New Roman" w:hAnsi="Times New Roman"/>
                <w:b w:val="0"/>
                <w:i w:val="0"/>
                <w:sz w:val="18"/>
              </w:rPr>
              <w:t>Intracranial</w:t>
            </w:r>
          </w:p>
        </w:tc>
        <w:tc>
          <w:tcPr>
            <w:tcW w:type="dxa" w:w="1234"/>
          </w:tcPr>
          <w:p>
            <w:r/>
            <w:r>
              <w:rPr>
                <w:rFonts w:ascii="Times New Roman" w:hAnsi="Times New Roman"/>
                <w:b w:val="0"/>
                <w:i w:val="0"/>
                <w:sz w:val="18"/>
              </w:rPr>
              <w:t>Research</w:t>
            </w:r>
          </w:p>
        </w:tc>
        <w:tc>
          <w:tcPr>
            <w:tcW w:type="dxa" w:w="1234"/>
          </w:tcPr>
          <w:p>
            <w:r/>
            <w:r>
              <w:rPr>
                <w:rFonts w:ascii="Times New Roman" w:hAnsi="Times New Roman"/>
                <w:b w:val="0"/>
                <w:i w:val="0"/>
                <w:sz w:val="18"/>
              </w:rPr>
              <w:t>Segment-level labels</w:t>
            </w:r>
          </w:p>
        </w:tc>
      </w:tr>
      <w:tr>
        <w:tc>
          <w:tcPr>
            <w:tcW w:type="dxa" w:w="1234"/>
          </w:tcPr>
          <w:p>
            <w:r/>
            <w:r>
              <w:rPr>
                <w:rFonts w:ascii="Times New Roman" w:hAnsi="Times New Roman"/>
                <w:b w:val="0"/>
                <w:i w:val="0"/>
                <w:sz w:val="18"/>
              </w:rPr>
              <w:t>Siena</w:t>
            </w:r>
            <w:r>
              <w:rPr>
                <w:rFonts w:ascii="Times New Roman" w:hAnsi="Times New Roman"/>
                <w:b w:val="0"/>
                <w:i w:val="0"/>
                <w:sz w:val="18"/>
                <w:vertAlign w:val="superscript"/>
              </w:rPr>
              <w:t>5</w:t>
            </w:r>
          </w:p>
        </w:tc>
        <w:tc>
          <w:tcPr>
            <w:tcW w:type="dxa" w:w="1234"/>
          </w:tcPr>
          <w:p>
            <w:r/>
            <w:r>
              <w:rPr>
                <w:rFonts w:ascii="Times New Roman" w:hAnsi="Times New Roman"/>
                <w:b w:val="0"/>
                <w:i w:val="0"/>
                <w:sz w:val="18"/>
              </w:rPr>
              <w:t>14</w:t>
            </w:r>
          </w:p>
        </w:tc>
        <w:tc>
          <w:tcPr>
            <w:tcW w:type="dxa" w:w="1234"/>
          </w:tcPr>
          <w:p>
            <w:r/>
            <w:r>
              <w:rPr>
                <w:rFonts w:ascii="Times New Roman" w:hAnsi="Times New Roman"/>
                <w:b w:val="0"/>
                <w:i w:val="0"/>
                <w:sz w:val="18"/>
              </w:rPr>
              <w:t>14</w:t>
            </w:r>
          </w:p>
        </w:tc>
        <w:tc>
          <w:tcPr>
            <w:tcW w:type="dxa" w:w="1234"/>
          </w:tcPr>
          <w:p>
            <w:r/>
            <w:r>
              <w:rPr>
                <w:rFonts w:ascii="Times New Roman" w:hAnsi="Times New Roman"/>
                <w:b w:val="0"/>
                <w:i w:val="0"/>
                <w:sz w:val="18"/>
              </w:rPr>
              <w:t>~128</w:t>
            </w:r>
          </w:p>
        </w:tc>
        <w:tc>
          <w:tcPr>
            <w:tcW w:type="dxa" w:w="1234"/>
          </w:tcPr>
          <w:p>
            <w:r/>
            <w:r>
              <w:rPr>
                <w:rFonts w:ascii="Times New Roman" w:hAnsi="Times New Roman"/>
                <w:b w:val="0"/>
                <w:i w:val="0"/>
                <w:sz w:val="18"/>
              </w:rPr>
              <w:t>Unknown</w:t>
            </w:r>
          </w:p>
        </w:tc>
        <w:tc>
          <w:tcPr>
            <w:tcW w:type="dxa" w:w="1234"/>
          </w:tcPr>
          <w:p>
            <w:r/>
            <w:r>
              <w:rPr>
                <w:rFonts w:ascii="Times New Roman" w:hAnsi="Times New Roman"/>
                <w:b w:val="0"/>
                <w:i w:val="0"/>
                <w:sz w:val="18"/>
              </w:rPr>
              <w:t>Inpatient</w:t>
            </w:r>
          </w:p>
        </w:tc>
        <w:tc>
          <w:tcPr>
            <w:tcW w:type="dxa" w:w="1234"/>
          </w:tcPr>
          <w:p>
            <w:r/>
            <w:r>
              <w:rPr>
                <w:rFonts w:ascii="Times New Roman" w:hAnsi="Times New Roman"/>
                <w:b w:val="0"/>
                <w:i w:val="0"/>
                <w:sz w:val="18"/>
              </w:rPr>
              <w:t>Expert seizure labels</w:t>
            </w:r>
          </w:p>
        </w:tc>
      </w:tr>
      <w:tr>
        <w:tc>
          <w:tcPr>
            <w:tcW w:type="dxa" w:w="1234"/>
          </w:tcPr>
          <w:p>
            <w:r/>
            <w:r>
              <w:rPr>
                <w:rFonts w:ascii="Times New Roman" w:hAnsi="Times New Roman"/>
                <w:b w:val="0"/>
                <w:i w:val="0"/>
                <w:sz w:val="18"/>
              </w:rPr>
              <w:t>TUH EEG Corpus</w:t>
            </w:r>
            <w:r>
              <w:rPr>
                <w:rFonts w:ascii="Times New Roman" w:hAnsi="Times New Roman"/>
                <w:b w:val="0"/>
                <w:i w:val="0"/>
                <w:sz w:val="18"/>
                <w:vertAlign w:val="superscript"/>
              </w:rPr>
              <w:t>7</w:t>
            </w:r>
          </w:p>
        </w:tc>
        <w:tc>
          <w:tcPr>
            <w:tcW w:type="dxa" w:w="1234"/>
          </w:tcPr>
          <w:p>
            <w:r/>
            <w:r>
              <w:rPr>
                <w:rFonts w:ascii="Times New Roman" w:hAnsi="Times New Roman"/>
                <w:b w:val="0"/>
                <w:i w:val="0"/>
                <w:sz w:val="18"/>
              </w:rPr>
              <w:t>~15,000</w:t>
            </w:r>
          </w:p>
        </w:tc>
        <w:tc>
          <w:tcPr>
            <w:tcW w:type="dxa" w:w="1234"/>
          </w:tcPr>
          <w:p>
            <w:r/>
            <w:r>
              <w:rPr>
                <w:rFonts w:ascii="Times New Roman" w:hAnsi="Times New Roman"/>
                <w:b w:val="0"/>
                <w:i w:val="0"/>
                <w:sz w:val="18"/>
              </w:rPr>
              <w:t>~25,000</w:t>
            </w:r>
          </w:p>
        </w:tc>
        <w:tc>
          <w:tcPr>
            <w:tcW w:type="dxa" w:w="1234"/>
          </w:tcPr>
          <w:p>
            <w:r/>
            <w:r>
              <w:rPr>
                <w:rFonts w:ascii="Times New Roman" w:hAnsi="Times New Roman"/>
                <w:b w:val="0"/>
                <w:i w:val="0"/>
                <w:sz w:val="18"/>
              </w:rPr>
              <w:t>~25,000</w:t>
            </w:r>
          </w:p>
        </w:tc>
        <w:tc>
          <w:tcPr>
            <w:tcW w:type="dxa" w:w="1234"/>
          </w:tcPr>
          <w:p>
            <w:r/>
            <w:r>
              <w:rPr>
                <w:rFonts w:ascii="Times New Roman" w:hAnsi="Times New Roman"/>
                <w:b w:val="0"/>
                <w:i w:val="0"/>
                <w:sz w:val="18"/>
              </w:rPr>
              <w:t>Natus NicoletOne</w:t>
            </w:r>
          </w:p>
        </w:tc>
        <w:tc>
          <w:tcPr>
            <w:tcW w:type="dxa" w:w="1234"/>
          </w:tcPr>
          <w:p>
            <w:r/>
            <w:r>
              <w:rPr>
                <w:rFonts w:ascii="Times New Roman" w:hAnsi="Times New Roman"/>
                <w:b w:val="0"/>
                <w:i w:val="0"/>
                <w:sz w:val="18"/>
              </w:rPr>
              <w:t>Primarily inpatient</w:t>
            </w:r>
          </w:p>
        </w:tc>
        <w:tc>
          <w:tcPr>
            <w:tcW w:type="dxa" w:w="1234"/>
          </w:tcPr>
          <w:p>
            <w:r/>
            <w:r>
              <w:rPr>
                <w:rFonts w:ascii="Times New Roman" w:hAnsi="Times New Roman"/>
                <w:b w:val="0"/>
                <w:i w:val="0"/>
                <w:sz w:val="18"/>
              </w:rPr>
              <w:t>Clinical reports</w:t>
            </w:r>
          </w:p>
        </w:tc>
      </w:tr>
      <w:tr>
        <w:tc>
          <w:tcPr>
            <w:tcW w:type="dxa" w:w="1234"/>
          </w:tcPr>
          <w:p>
            <w:r/>
            <w:r>
              <w:rPr>
                <w:rFonts w:ascii="Times New Roman" w:hAnsi="Times New Roman"/>
                <w:b w:val="0"/>
                <w:i w:val="0"/>
                <w:sz w:val="18"/>
              </w:rPr>
              <w:t>Harvard EEG Database</w:t>
            </w:r>
            <w:r>
              <w:rPr>
                <w:rFonts w:ascii="Times New Roman" w:hAnsi="Times New Roman"/>
                <w:b w:val="0"/>
                <w:i w:val="0"/>
                <w:sz w:val="18"/>
                <w:vertAlign w:val="superscript"/>
              </w:rPr>
              <w:t>11</w:t>
            </w:r>
          </w:p>
        </w:tc>
        <w:tc>
          <w:tcPr>
            <w:tcW w:type="dxa" w:w="1234"/>
          </w:tcPr>
          <w:p>
            <w:r/>
            <w:r>
              <w:rPr>
                <w:rFonts w:ascii="Times New Roman" w:hAnsi="Times New Roman"/>
                <w:b w:val="0"/>
                <w:i w:val="0"/>
                <w:sz w:val="18"/>
              </w:rPr>
              <w:t>~109,000</w:t>
            </w:r>
          </w:p>
        </w:tc>
        <w:tc>
          <w:tcPr>
            <w:tcW w:type="dxa" w:w="1234"/>
          </w:tcPr>
          <w:p>
            <w:r/>
            <w:r>
              <w:rPr>
                <w:rFonts w:ascii="Times New Roman" w:hAnsi="Times New Roman"/>
                <w:b w:val="0"/>
                <w:i w:val="0"/>
                <w:sz w:val="18"/>
              </w:rPr>
              <w:t>~329,000</w:t>
            </w:r>
          </w:p>
        </w:tc>
        <w:tc>
          <w:tcPr>
            <w:tcW w:type="dxa" w:w="1234"/>
          </w:tcPr>
          <w:p>
            <w:r/>
            <w:r>
              <w:rPr>
                <w:rFonts w:ascii="Times New Roman" w:hAnsi="Times New Roman"/>
                <w:b w:val="0"/>
                <w:i w:val="0"/>
                <w:sz w:val="18"/>
              </w:rPr>
              <w:t>~3,300,000</w:t>
            </w:r>
          </w:p>
        </w:tc>
        <w:tc>
          <w:tcPr>
            <w:tcW w:type="dxa" w:w="1234"/>
          </w:tcPr>
          <w:p>
            <w:r/>
            <w:r>
              <w:rPr>
                <w:rFonts w:ascii="Times New Roman" w:hAnsi="Times New Roman"/>
                <w:b w:val="0"/>
                <w:i w:val="0"/>
                <w:sz w:val="18"/>
              </w:rPr>
              <w:t>Mixed (4 sites)</w:t>
            </w:r>
          </w:p>
        </w:tc>
        <w:tc>
          <w:tcPr>
            <w:tcW w:type="dxa" w:w="1234"/>
          </w:tcPr>
          <w:p>
            <w:r/>
            <w:r>
              <w:rPr>
                <w:rFonts w:ascii="Times New Roman" w:hAnsi="Times New Roman"/>
                <w:b w:val="0"/>
                <w:i w:val="0"/>
                <w:sz w:val="18"/>
              </w:rPr>
              <w:t>Routine + EMU + ICU (in-hospital)</w:t>
            </w:r>
          </w:p>
        </w:tc>
        <w:tc>
          <w:tcPr>
            <w:tcW w:type="dxa" w:w="1234"/>
          </w:tcPr>
          <w:p>
            <w:r/>
            <w:r>
              <w:rPr>
                <w:rFonts w:ascii="Times New Roman" w:hAnsi="Times New Roman"/>
                <w:b w:val="0"/>
                <w:i w:val="0"/>
                <w:sz w:val="18"/>
              </w:rPr>
              <w:t>Clinical reports</w:t>
            </w:r>
          </w:p>
        </w:tc>
      </w:tr>
      <w:tr>
        <w:tc>
          <w:tcPr>
            <w:tcW w:type="dxa" w:w="1234"/>
          </w:tcPr>
          <w:p>
            <w:r/>
            <w:r>
              <w:rPr>
                <w:rFonts w:ascii="Times New Roman" w:hAnsi="Times New Roman"/>
                <w:b/>
                <w:i w:val="0"/>
                <w:sz w:val="18"/>
              </w:rPr>
              <w:t>Neurotech (this work)</w:t>
            </w:r>
          </w:p>
        </w:tc>
        <w:tc>
          <w:tcPr>
            <w:tcW w:type="dxa" w:w="1234"/>
          </w:tcPr>
          <w:p>
            <w:r/>
            <w:r>
              <w:rPr>
                <w:rFonts w:ascii="Times New Roman" w:hAnsi="Times New Roman"/>
                <w:b/>
                <w:i w:val="0"/>
                <w:sz w:val="18"/>
              </w:rPr>
              <w:t>4,914</w:t>
            </w:r>
          </w:p>
        </w:tc>
        <w:tc>
          <w:tcPr>
            <w:tcW w:type="dxa" w:w="1234"/>
          </w:tcPr>
          <w:p>
            <w:r/>
            <w:r>
              <w:rPr>
                <w:rFonts w:ascii="Times New Roman" w:hAnsi="Times New Roman"/>
                <w:b/>
                <w:i w:val="0"/>
                <w:sz w:val="18"/>
              </w:rPr>
              <w:t>23,607</w:t>
            </w:r>
          </w:p>
        </w:tc>
        <w:tc>
          <w:tcPr>
            <w:tcW w:type="dxa" w:w="1234"/>
          </w:tcPr>
          <w:p>
            <w:r/>
            <w:r>
              <w:rPr>
                <w:rFonts w:ascii="Times New Roman" w:hAnsi="Times New Roman"/>
                <w:b/>
                <w:i w:val="0"/>
                <w:sz w:val="18"/>
              </w:rPr>
              <w:t>212,186</w:t>
            </w:r>
          </w:p>
        </w:tc>
        <w:tc>
          <w:tcPr>
            <w:tcW w:type="dxa" w:w="1234"/>
          </w:tcPr>
          <w:p>
            <w:r/>
            <w:r>
              <w:rPr>
                <w:rFonts w:ascii="Times New Roman" w:hAnsi="Times New Roman"/>
                <w:b/>
                <w:i w:val="0"/>
                <w:sz w:val="18"/>
              </w:rPr>
              <w:t>Natus/Xltek</w:t>
            </w:r>
          </w:p>
        </w:tc>
        <w:tc>
          <w:tcPr>
            <w:tcW w:type="dxa" w:w="1234"/>
          </w:tcPr>
          <w:p>
            <w:r/>
            <w:r>
              <w:rPr>
                <w:rFonts w:ascii="Times New Roman" w:hAnsi="Times New Roman"/>
                <w:b/>
                <w:i w:val="0"/>
                <w:sz w:val="18"/>
              </w:rPr>
              <w:t>Routine + ambulatory + ICU/EMU</w:t>
            </w:r>
          </w:p>
        </w:tc>
        <w:tc>
          <w:tcPr>
            <w:tcW w:type="dxa" w:w="1234"/>
          </w:tcPr>
          <w:p>
            <w:r/>
            <w:r>
              <w:rPr>
                <w:rFonts w:ascii="Times New Roman" w:hAnsi="Times New Roman"/>
                <w:b/>
                <w:i w:val="0"/>
                <w:sz w:val="18"/>
              </w:rPr>
              <w:t>Workflow-native</w:t>
            </w:r>
          </w:p>
        </w:tc>
      </w:tr>
    </w:tbl>
    <w:p/>
    <w:p>
      <w:pPr>
        <w:pStyle w:val="Heading1"/>
      </w:pPr>
      <w:r>
        <w:rPr>
          <w:rFonts w:ascii="Times New Roman" w:hAnsi="Times New Roman"/>
          <w:b/>
          <w:i w:val="0"/>
          <w:sz w:val="28"/>
        </w:rPr>
        <w:t>Methods</w:t>
      </w:r>
    </w:p>
    <w:p>
      <w:pPr>
        <w:pStyle w:val="Heading2"/>
      </w:pPr>
      <w:r>
        <w:rPr>
          <w:rFonts w:ascii="Times New Roman" w:hAnsi="Times New Roman"/>
          <w:b/>
          <w:i w:val="0"/>
          <w:sz w:val="24"/>
        </w:rPr>
        <w:t>Patient population and clinical context</w:t>
      </w:r>
    </w:p>
    <w:p>
      <w:r>
        <w:rPr>
          <w:rFonts w:ascii="Times New Roman" w:hAnsi="Times New Roman"/>
          <w:b w:val="0"/>
          <w:i w:val="0"/>
          <w:sz w:val="22"/>
        </w:rPr>
        <w:t>The dataset comprises all clinical EEG recordings performed by Neurotech, LLC -- an accredited EEG monitoring service provider -- between 2021 and 2025. Rather than a single hospital or center, Neurotech acquires recordings across diverse settings: in-home ambulatory studies performed in patients' homes, and continuous monitoring in partner hospital intensive care units (ICUs) and epilepsy monitoring units (EMUs) across the United States, using a uniform hardware and technologist workflow. No inclusion or exclusion criteria were applied; this cohort represents the full clinical caseload. Recording types span routine outpatient EEGs (typically &lt;1 hour), ambulatory monitoring studies (1-24 hours), and prolonged continuous EEG monitoring in inpatient intensive care units and epilepsy monitoring units (ICU/EMU; &gt;24 hours). The 4,914 unique patients in the released dataset contributed 23,607 EEG recordings, with 73% of patients (3,570) having multiple recordings (median 3 per patient, interquartile range 1-6).</w:t>
      </w:r>
    </w:p>
    <w:p>
      <w:pPr>
        <w:pStyle w:val="Heading2"/>
      </w:pPr>
      <w:r>
        <w:rPr>
          <w:rFonts w:ascii="Times New Roman" w:hAnsi="Times New Roman"/>
          <w:b/>
          <w:i w:val="0"/>
          <w:sz w:val="24"/>
        </w:rPr>
        <w:t>Recording hardware and protocol</w:t>
      </w:r>
    </w:p>
    <w:p>
      <w:r>
        <w:rPr>
          <w:rFonts w:ascii="Times New Roman" w:hAnsi="Times New Roman"/>
          <w:b w:val="0"/>
          <w:i w:val="0"/>
          <w:sz w:val="22"/>
        </w:rPr>
        <w:t>All recordings were acquired using Natus/Xltek NeuroWorks EEG systems. Electrodes were placed according to the standard International 10-20 system, with typical montages including 25-29 channels: Fp1, Fp2, F3, F4, C3, C4, P3, P4, O1, O2, F7, F8, T3, T4, T5, T6, Fz, Pz, Cz, A1, A2, T1, T2, F11, F12, and an electrocardiogram (ECG) channel. Recordings span 22-30 channels (median 28); 24% contain 29 channels including the EDF+ annotation signal. Signals were sampled at 256 Hz and stored in European Data Format (EDF+C, continuous).</w:t>
      </w:r>
    </w:p>
    <w:p>
      <w:pPr>
        <w:pStyle w:val="Heading2"/>
      </w:pPr>
      <w:r>
        <w:rPr>
          <w:rFonts w:ascii="Times New Roman" w:hAnsi="Times New Roman"/>
          <w:b/>
          <w:i w:val="0"/>
          <w:sz w:val="24"/>
        </w:rPr>
        <w:t>Annotation methodology</w:t>
      </w:r>
    </w:p>
    <w:p>
      <w:r>
        <w:rPr>
          <w:rFonts w:ascii="Times New Roman" w:hAnsi="Times New Roman"/>
          <w:b w:val="0"/>
          <w:i w:val="0"/>
          <w:sz w:val="22"/>
        </w:rPr>
        <w:t>EEG technicians placed annotations during routine clinical workflow using the Natus/Xltek annotation system. Three annotation types are present:</w:t>
      </w:r>
    </w:p>
    <w:p>
      <w:pPr>
        <w:ind w:left="360" w:hanging="360"/>
      </w:pPr>
      <w:r>
        <w:rPr>
          <w:rFonts w:ascii="Times New Roman" w:hAnsi="Times New Roman"/>
          <w:b w:val="0"/>
          <w:i w:val="0"/>
          <w:sz w:val="22"/>
        </w:rPr>
        <w:t xml:space="preserve">1. </w:t>
      </w:r>
      <w:r>
        <w:rPr>
          <w:rFonts w:ascii="Times New Roman" w:hAnsi="Times New Roman"/>
          <w:b/>
          <w:i w:val="0"/>
          <w:sz w:val="22"/>
        </w:rPr>
        <w:t>Event markers</w:t>
      </w:r>
      <w:r>
        <w:rPr>
          <w:rFonts w:ascii="Times New Roman" w:hAnsi="Times New Roman"/>
          <w:b w:val="0"/>
          <w:i w:val="0"/>
          <w:sz w:val="22"/>
        </w:rPr>
        <w:t xml:space="preserve"> (`@Spike`, `@Seizure`): point-in-time markers for detected events, likely including both Persyst automated detections and technician-confirmed events.</w:t>
      </w:r>
    </w:p>
    <w:p>
      <w:pPr>
        <w:ind w:left="360" w:hanging="360"/>
      </w:pPr>
      <w:r>
        <w:rPr>
          <w:rFonts w:ascii="Times New Roman" w:hAnsi="Times New Roman"/>
          <w:b w:val="0"/>
          <w:i w:val="0"/>
          <w:sz w:val="22"/>
        </w:rPr>
        <w:t xml:space="preserve">2. </w:t>
      </w:r>
      <w:r>
        <w:rPr>
          <w:rFonts w:ascii="Times New Roman" w:hAnsi="Times New Roman"/>
          <w:b/>
          <w:i w:val="0"/>
          <w:sz w:val="22"/>
        </w:rPr>
        <w:t>Technician clips</w:t>
      </w:r>
      <w:r>
        <w:rPr>
          <w:rFonts w:ascii="Times New Roman" w:hAnsi="Times New Roman"/>
          <w:b w:val="0"/>
          <w:i w:val="0"/>
          <w:sz w:val="22"/>
        </w:rPr>
        <w:t xml:space="preserve"> (`@Clip`): segments of interest selected by the technician for physician review, typically accompanied by descriptive labels (e.g., "Awake", "Tech Event Type 1: Generalized Sharp Waves").</w:t>
      </w:r>
    </w:p>
    <w:p>
      <w:pPr>
        <w:ind w:left="360" w:hanging="360"/>
      </w:pPr>
      <w:r>
        <w:rPr>
          <w:rFonts w:ascii="Times New Roman" w:hAnsi="Times New Roman"/>
          <w:b w:val="0"/>
          <w:i w:val="0"/>
          <w:sz w:val="22"/>
        </w:rPr>
        <w:t xml:space="preserve">3. </w:t>
      </w:r>
      <w:r>
        <w:rPr>
          <w:rFonts w:ascii="Times New Roman" w:hAnsi="Times New Roman"/>
          <w:b/>
          <w:i w:val="0"/>
          <w:sz w:val="22"/>
        </w:rPr>
        <w:t>Free-text observations</w:t>
      </w:r>
      <w:r>
        <w:rPr>
          <w:rFonts w:ascii="Times New Roman" w:hAnsi="Times New Roman"/>
          <w:b w:val="0"/>
          <w:i w:val="0"/>
          <w:sz w:val="22"/>
        </w:rPr>
        <w:t xml:space="preserve"> (prefixed `NT-`): narrative clinical descriptions such as "NT-Bi-occipital S/W, right dominant" or "NT-Right occipital S/W."</w:t>
      </w:r>
    </w:p>
    <w:p>
      <w:r>
        <w:rPr>
          <w:rFonts w:ascii="Times New Roman" w:hAnsi="Times New Roman"/>
          <w:b w:val="0"/>
          <w:i w:val="0"/>
          <w:sz w:val="22"/>
        </w:rPr>
        <w:t>Additional annotations document posterior dominant rhythm (PDR) frequency and activation procedures (eyes open/closed, photic stimulation, hyperventilation). These are single-reader clinical workflow annotations, not multi-expert research labels. Inter-rater reliability was not assessed. While this limits their use as gold-standard evaluation labels, it enables study of real-world annotation practices including human-AI collaboration in EEG reading -- a research direction impossible with curated labels alone.</w:t>
      </w:r>
    </w:p>
    <w:p>
      <w:pPr>
        <w:pStyle w:val="Heading2"/>
      </w:pPr>
      <w:r>
        <w:rPr>
          <w:rFonts w:ascii="Times New Roman" w:hAnsi="Times New Roman"/>
          <w:b/>
          <w:i w:val="0"/>
          <w:sz w:val="24"/>
        </w:rPr>
        <w:t>De-identification</w:t>
      </w:r>
    </w:p>
    <w:p>
      <w:r>
        <w:rPr>
          <w:rFonts w:ascii="Times New Roman" w:hAnsi="Times New Roman"/>
          <w:b w:val="0"/>
          <w:i w:val="0"/>
          <w:sz w:val="22"/>
        </w:rPr>
        <w:t>We performed de-identification in compliance with HIPAA Safe Harbor standards, addressing three categories of protected health information (PHI):</w:t>
      </w:r>
    </w:p>
    <w:p>
      <w:r>
        <w:rPr>
          <w:rFonts w:ascii="Times New Roman" w:hAnsi="Times New Roman"/>
          <w:b/>
          <w:i w:val="0"/>
          <w:sz w:val="22"/>
        </w:rPr>
        <w:t>Header scrubbing.</w:t>
      </w:r>
      <w:r>
        <w:rPr>
          <w:rFonts w:ascii="Times New Roman" w:hAnsi="Times New Roman"/>
          <w:b w:val="0"/>
          <w:i w:val="0"/>
          <w:sz w:val="22"/>
        </w:rPr>
        <w:t xml:space="preserve"> We removed patient name, identifier, date of birth, case number, and technician identifiers from all EDF headers, replacing the local patient identification field with X X X X.</w:t>
      </w:r>
    </w:p>
    <w:p>
      <w:r>
        <w:rPr>
          <w:rFonts w:ascii="Times New Roman" w:hAnsi="Times New Roman"/>
          <w:b/>
          <w:i w:val="0"/>
          <w:sz w:val="22"/>
        </w:rPr>
        <w:t>Date shifting.</w:t>
      </w:r>
      <w:r>
        <w:rPr>
          <w:rFonts w:ascii="Times New Roman" w:hAnsi="Times New Roman"/>
          <w:b w:val="0"/>
          <w:i w:val="0"/>
          <w:sz w:val="22"/>
        </w:rPr>
        <w:t xml:space="preserve"> We shifted all recording dates by a random per-patient offset drawn uniformly from [-365, +365] days; times of day were preserved. The same offset was applied consistently across all recordings and annotation timestamps for a given patient.</w:t>
      </w:r>
    </w:p>
    <w:p>
      <w:r>
        <w:rPr>
          <w:rFonts w:ascii="Times New Roman" w:hAnsi="Times New Roman"/>
          <w:b/>
          <w:i w:val="0"/>
          <w:sz w:val="22"/>
        </w:rPr>
        <w:t>Free-text scrubbing.</w:t>
      </w:r>
      <w:r>
        <w:rPr>
          <w:rFonts w:ascii="Times New Roman" w:hAnsi="Times New Roman"/>
          <w:b w:val="0"/>
          <w:i w:val="0"/>
          <w:sz w:val="22"/>
        </w:rPr>
        <w:t xml:space="preserve"> We applied a two-tier name scrubber to annotation text: (1) each patient's own first and last name was matched and replaced with [NAME] regardless of word length, and (2) a broad dictionary of all first and last names in the dataset (4+ characters, excluding common medical terms) detected additional name occurrences. Dates embedded in annotation text were detected via pattern matching and shifted by the same per-patient offset. We verified de-identification by automated audit of all output files (see Technical Validation).</w:t>
      </w:r>
    </w:p>
    <w:p>
      <w:r>
        <w:rPr>
          <w:rFonts w:ascii="Times New Roman" w:hAnsi="Times New Roman"/>
          <w:b w:val="0"/>
          <w:i w:val="0"/>
          <w:sz w:val="22"/>
        </w:rPr>
        <w:t>A linking table mapping de-identified identifiers to original identifiers is maintained securely and not published.</w:t>
      </w:r>
    </w:p>
    <w:p>
      <w:pPr>
        <w:pStyle w:val="Heading2"/>
      </w:pPr>
      <w:r>
        <w:rPr>
          <w:rFonts w:ascii="Times New Roman" w:hAnsi="Times New Roman"/>
          <w:b/>
          <w:i w:val="0"/>
          <w:sz w:val="24"/>
        </w:rPr>
        <w:t>Clinical metadata extraction</w:t>
      </w:r>
    </w:p>
    <w:p>
      <w:r>
        <w:rPr>
          <w:rFonts w:ascii="Times New Roman" w:hAnsi="Times New Roman"/>
          <w:b w:val="0"/>
          <w:i w:val="0"/>
          <w:sz w:val="22"/>
        </w:rPr>
        <w:t>Clinical documentation was available as scanned PDF packets for 4,812 of 4,914 patients (98%), incrementally synced from a Neurotech-managed Amazon Web Services (AWS) Transfer Family Secure File Transfer Protocol (SFTP) endpoint. Each packet contained a Neurotech technologist scan report, hourly monitoring logs, referring physician intake forms, and in many cases clinical progress notes from the referring neurologist. We developed a three-stage extraction pipeline: (1) text extraction from PDFs using pdftotext with optical character recognition (OCR) via Tesseract for scanned pages (59% of documents required OCR), (2) document segmentation into sub-document types using regex-based landmark detection, and (3) structured field extraction using a combination of deterministic regex parsers for standardized report sections (technologist scan reports, hourly monitoring logs, EEG orders) and a locally hosted open-weight large language model (LLM; Qwen2.5, run on-device via Apple MLX) for narrative clinical text (clinical progress notes, intake forms, imaging reports). The extraction pipeline runs entirely on-premises with a local open-weight model, so clinical text can be processed without leaving the secure environment. The pipeline identified 40,529 sub-documents across 11 document types, extracting EEG findings (posterior dominant rhythm, epileptiform discharges, seizure descriptions), referral diagnoses (International Classification of Diseases, 10th Revision [ICD-10] codes), patient demographics, medication lists, and hour-by-hour EEG monitoring data with timestamps for clinically relevant events. Each EHR patient was linked to their corresponding BDSP de-identified identifier through a four-tier name-matching procedure (exact, normalized, first-root, and Levenshtein edit distance ≤ 2), achieving 99.96% successful linkage; unmatched and low-confidence patients were excluded from de-identified output. Manual review of 30 randomly sampled patient records found zero hallucinated values across all extracted fields, and cross-checking medication names and diagnosis codes against source text confirmed accurate extraction in 94% of cases (the remaining 6% reflected minor OCR-related spelling differences in the source text, not extraction errors). All extraction code is available in the project repository.</w:t>
      </w:r>
    </w:p>
    <w:p>
      <w:pPr>
        <w:pStyle w:val="Heading2"/>
      </w:pPr>
      <w:r>
        <w:rPr>
          <w:rFonts w:ascii="Times New Roman" w:hAnsi="Times New Roman"/>
          <w:b/>
          <w:i w:val="0"/>
          <w:sz w:val="24"/>
        </w:rPr>
        <w:t>Ethics</w:t>
      </w:r>
    </w:p>
    <w:p>
      <w:r>
        <w:rPr>
          <w:rFonts w:ascii="Times New Roman" w:hAnsi="Times New Roman"/>
          <w:b w:val="0"/>
          <w:i w:val="0"/>
          <w:sz w:val="22"/>
        </w:rPr>
        <w:t>This project was conducted under Institutional Review Board (IRB) protocol number 2022P000417, with the BIDMC IRBs granting a waiver of consent, and under a Business Associate Agreement (BAA) between BIDMC and Neurotech. The IRB approved the publication of the dataset in a de-identified form with access restricted by a data usage agreement prohibiting attempts at re-identification. The study also complied with the Declaration of Helsinki.</w:t>
      </w:r>
    </w:p>
    <w:p>
      <w:pPr>
        <w:pStyle w:val="Heading2"/>
      </w:pPr>
      <w:r>
        <w:rPr>
          <w:rFonts w:ascii="Times New Roman" w:hAnsi="Times New Roman"/>
          <w:b/>
          <w:i w:val="0"/>
          <w:sz w:val="24"/>
        </w:rPr>
        <w:t>Data formatting</w:t>
      </w:r>
    </w:p>
    <w:p>
      <w:r>
        <w:rPr>
          <w:rFonts w:ascii="Times New Roman" w:hAnsi="Times New Roman"/>
          <w:b w:val="0"/>
          <w:i w:val="0"/>
          <w:sz w:val="22"/>
        </w:rPr>
        <w:t>We converted the dataset to BIDS-EEG format (version 1.7.0)</w:t>
      </w:r>
      <w:r>
        <w:rPr>
          <w:rFonts w:ascii="Times New Roman" w:hAnsi="Times New Roman"/>
          <w:b w:val="0"/>
          <w:i w:val="0"/>
          <w:sz w:val="22"/>
          <w:vertAlign w:val="superscript"/>
        </w:rPr>
        <w:t>8,10</w:t>
      </w:r>
      <w:r>
        <w:rPr>
          <w:rFonts w:ascii="Times New Roman" w:hAnsi="Times New Roman"/>
          <w:b w:val="0"/>
          <w:i w:val="0"/>
          <w:sz w:val="22"/>
        </w:rPr>
        <w:t xml:space="preserve"> and assigned each patient a de-identified identifier (sub-NeurotechN). Each EDF recording segment constitutes a separate session (ses-N), numbered sequentially per patient. For each session, the following files are provided (Figure 1):</w:t>
      </w:r>
    </w:p>
    <w:p>
      <w:pPr>
        <w:pStyle w:val="ListBullet"/>
      </w:pPr>
      <w:r>
        <w:rPr>
          <w:rFonts w:ascii="Times New Roman" w:hAnsi="Times New Roman"/>
          <w:b w:val="0"/>
          <w:i w:val="0"/>
          <w:sz w:val="22"/>
        </w:rPr>
        <w:t>*_task-EEG_eeg.edf: de-identified EEG recording</w:t>
      </w:r>
    </w:p>
    <w:p>
      <w:pPr>
        <w:pStyle w:val="ListBullet"/>
      </w:pPr>
      <w:r>
        <w:rPr>
          <w:rFonts w:ascii="Times New Roman" w:hAnsi="Times New Roman"/>
          <w:b w:val="0"/>
          <w:i w:val="0"/>
          <w:sz w:val="22"/>
        </w:rPr>
        <w:t>*_task-EEG_eeg.json: recording metadata (sampling frequency, channel counts, duration)</w:t>
      </w:r>
    </w:p>
    <w:p>
      <w:pPr>
        <w:pStyle w:val="ListBullet"/>
      </w:pPr>
      <w:r>
        <w:rPr>
          <w:rFonts w:ascii="Times New Roman" w:hAnsi="Times New Roman"/>
          <w:b w:val="0"/>
          <w:i w:val="0"/>
          <w:sz w:val="22"/>
        </w:rPr>
        <w:t>*_task-EEG_channels.tsv: channel names, types, units, and filter settings</w:t>
      </w:r>
    </w:p>
    <w:p>
      <w:pPr>
        <w:pStyle w:val="ListBullet"/>
      </w:pPr>
      <w:r>
        <w:rPr>
          <w:rFonts w:ascii="Times New Roman" w:hAnsi="Times New Roman"/>
          <w:b w:val="0"/>
          <w:i w:val="0"/>
          <w:sz w:val="22"/>
        </w:rPr>
        <w:t>*_task-EEG_Xltek.csv: technician annotations with shifted timestamps (when present)</w:t>
      </w:r>
    </w:p>
    <w:p>
      <w:pPr>
        <w:pStyle w:val="ListBullet"/>
      </w:pPr>
      <w:r>
        <w:rPr>
          <w:rFonts w:ascii="Times New Roman" w:hAnsi="Times New Roman"/>
          <w:b w:val="0"/>
          <w:i w:val="0"/>
          <w:sz w:val="22"/>
        </w:rPr>
        <w:t>*_scans.tsv: session-level acquisition time</w:t>
      </w:r>
    </w:p>
    <w:p>
      <w:r>
        <w:rPr>
          <w:rFonts w:ascii="Times New Roman" w:hAnsi="Times New Roman"/>
          <w:b w:val="0"/>
          <w:i w:val="0"/>
          <w:sz w:val="22"/>
        </w:rPr>
        <w:t>Dataset-level files include dataset_description.json, participants.tsv, participants.json, and a README. The full BIDS dataset comprises 231,880 files totaling 10.2 TB of storage.</w:t>
      </w:r>
    </w:p>
    <w:p>
      <w:pPr>
        <w:pStyle w:val="Heading1"/>
      </w:pPr>
      <w:r>
        <w:rPr>
          <w:rFonts w:ascii="Times New Roman" w:hAnsi="Times New Roman"/>
          <w:b/>
          <w:i w:val="0"/>
          <w:sz w:val="28"/>
        </w:rPr>
        <w:t>Data Records</w:t>
      </w:r>
    </w:p>
    <w:p>
      <w:r>
        <w:rPr>
          <w:rFonts w:ascii="Times New Roman" w:hAnsi="Times New Roman"/>
          <w:b w:val="0"/>
          <w:i w:val="0"/>
          <w:sz w:val="22"/>
        </w:rPr>
        <w:t>The dataset is hosted on the Brain Data Science Platform (BDSP) at s3://bdsp-opendata-repository/EEG/bids/Neurotech/. Table 2 summarizes the dataset characteristics.</w:t>
      </w:r>
    </w:p>
    <w:p>
      <w:pPr>
        <w:spacing w:after="120"/>
      </w:pPr>
      <w:r>
        <w:rPr>
          <w:rFonts w:ascii="Times New Roman" w:hAnsi="Times New Roman"/>
          <w:b/>
          <w:i w:val="0"/>
          <w:sz w:val="22"/>
        </w:rPr>
        <w:t>Table 2. Patient and study characteristics.</w:t>
      </w:r>
      <w:r>
        <w:rPr>
          <w:rFonts w:ascii="Times New Roman" w:hAnsi="Times New Roman"/>
          <w:b w:val="0"/>
          <w:i w:val="0"/>
          <w:sz w:val="22"/>
        </w:rPr>
        <w:t xml:space="preserve"> Clinical metadata was extracted from technician scan reports and referring physician documentation for the subset of patients with available clinical records (n=4,812 of 4,914 patients, 98%). Age and sex were available for 2,915 and 3,005 patients respectively. Comorbidities and anti-seizure medications are summarized in Supplementary Figure 3. EEG findings are from technologist scan reports. EEG recording statistics are from the full BIDS dataset.</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b/>
                <w:i w:val="0"/>
                <w:sz w:val="18"/>
              </w:rPr>
              <w:t>Characteristic</w:t>
            </w:r>
          </w:p>
        </w:tc>
        <w:tc>
          <w:tcPr>
            <w:tcW w:type="dxa" w:w="2880"/>
          </w:tcPr>
          <w:p>
            <w:r/>
            <w:r>
              <w:rPr>
                <w:rFonts w:ascii="Times New Roman" w:hAnsi="Times New Roman"/>
                <w:b/>
                <w:i w:val="0"/>
                <w:sz w:val="18"/>
              </w:rPr>
              <w:t>Value</w:t>
            </w:r>
          </w:p>
        </w:tc>
        <w:tc>
          <w:tcPr>
            <w:tcW w:type="dxa" w:w="2880"/>
          </w:tcPr>
          <w:p>
            <w:r/>
            <w:r>
              <w:rPr>
                <w:rFonts w:ascii="Times New Roman" w:hAnsi="Times New Roman"/>
                <w:b/>
                <w:i w:val="0"/>
                <w:sz w:val="18"/>
              </w:rPr>
              <w:t>Notes</w:t>
            </w:r>
          </w:p>
        </w:tc>
      </w:tr>
      <w:tr>
        <w:tc>
          <w:tcPr>
            <w:tcW w:type="dxa" w:w="2880"/>
          </w:tcPr>
          <w:p>
            <w:r/>
            <w:r>
              <w:rPr>
                <w:rFonts w:ascii="Times New Roman" w:hAnsi="Times New Roman"/>
                <w:b/>
                <w:i w:val="0"/>
                <w:sz w:val="18"/>
              </w:rPr>
              <w:t>Patients</w:t>
            </w:r>
          </w:p>
        </w:tc>
        <w:tc>
          <w:tcPr>
            <w:tcW w:type="dxa" w:w="2880"/>
          </w:tcPr>
          <w:p>
            <w:r/>
          </w:p>
        </w:tc>
        <w:tc>
          <w:tcPr>
            <w:tcW w:type="dxa" w:w="2880"/>
          </w:tcPr>
          <w:p>
            <w:r/>
          </w:p>
        </w:tc>
      </w:tr>
      <w:tr>
        <w:tc>
          <w:tcPr>
            <w:tcW w:type="dxa" w:w="2880"/>
          </w:tcPr>
          <w:p>
            <w:r/>
            <w:r>
              <w:rPr>
                <w:rFonts w:ascii="Times New Roman" w:hAnsi="Times New Roman"/>
                <w:b w:val="0"/>
                <w:i w:val="0"/>
                <w:sz w:val="18"/>
              </w:rPr>
              <w:t>Unique patients</w:t>
            </w:r>
          </w:p>
        </w:tc>
        <w:tc>
          <w:tcPr>
            <w:tcW w:type="dxa" w:w="2880"/>
          </w:tcPr>
          <w:p>
            <w:r/>
            <w:r>
              <w:rPr>
                <w:rFonts w:ascii="Times New Roman" w:hAnsi="Times New Roman"/>
                <w:b w:val="0"/>
                <w:i w:val="0"/>
                <w:sz w:val="18"/>
              </w:rPr>
              <w:t>4914</w:t>
            </w:r>
          </w:p>
        </w:tc>
        <w:tc>
          <w:tcPr>
            <w:tcW w:type="dxa" w:w="2880"/>
          </w:tcPr>
          <w:p>
            <w:r/>
          </w:p>
        </w:tc>
      </w:tr>
      <w:tr>
        <w:tc>
          <w:tcPr>
            <w:tcW w:type="dxa" w:w="2880"/>
          </w:tcPr>
          <w:p>
            <w:r/>
            <w:r>
              <w:rPr>
                <w:rFonts w:ascii="Times New Roman" w:hAnsi="Times New Roman"/>
                <w:b w:val="0"/>
                <w:i w:val="0"/>
                <w:sz w:val="18"/>
              </w:rPr>
              <w:t>With clinical documentation</w:t>
            </w:r>
          </w:p>
        </w:tc>
        <w:tc>
          <w:tcPr>
            <w:tcW w:type="dxa" w:w="2880"/>
          </w:tcPr>
          <w:p>
            <w:r/>
            <w:r>
              <w:rPr>
                <w:rFonts w:ascii="Times New Roman" w:hAnsi="Times New Roman"/>
                <w:b w:val="0"/>
                <w:i w:val="0"/>
                <w:sz w:val="18"/>
              </w:rPr>
              <w:t>4812</w:t>
            </w:r>
          </w:p>
        </w:tc>
        <w:tc>
          <w:tcPr>
            <w:tcW w:type="dxa" w:w="2880"/>
          </w:tcPr>
          <w:p>
            <w:r/>
            <w:r>
              <w:rPr>
                <w:rFonts w:ascii="Times New Roman" w:hAnsi="Times New Roman"/>
                <w:b w:val="0"/>
                <w:i w:val="0"/>
                <w:sz w:val="18"/>
              </w:rPr>
              <w:t>(98%)</w:t>
            </w:r>
          </w:p>
        </w:tc>
      </w:tr>
      <w:tr>
        <w:tc>
          <w:tcPr>
            <w:tcW w:type="dxa" w:w="2880"/>
          </w:tcPr>
          <w:p>
            <w:r/>
            <w:r>
              <w:rPr>
                <w:rFonts w:ascii="Times New Roman" w:hAnsi="Times New Roman"/>
                <w:b w:val="0"/>
                <w:i w:val="0"/>
                <w:sz w:val="18"/>
              </w:rPr>
              <w:t>Age at first EEG, median (IQR)</w:t>
            </w:r>
          </w:p>
        </w:tc>
        <w:tc>
          <w:tcPr>
            <w:tcW w:type="dxa" w:w="2880"/>
          </w:tcPr>
          <w:p>
            <w:r/>
            <w:r>
              <w:rPr>
                <w:rFonts w:ascii="Times New Roman" w:hAnsi="Times New Roman"/>
                <w:b w:val="0"/>
                <w:i w:val="0"/>
                <w:sz w:val="18"/>
              </w:rPr>
              <w:t>26.7 (13.4-48.2)</w:t>
            </w:r>
          </w:p>
        </w:tc>
        <w:tc>
          <w:tcPr>
            <w:tcW w:type="dxa" w:w="2880"/>
          </w:tcPr>
          <w:p>
            <w:r/>
            <w:r>
              <w:rPr>
                <w:rFonts w:ascii="Times New Roman" w:hAnsi="Times New Roman"/>
                <w:b w:val="0"/>
                <w:i w:val="0"/>
                <w:sz w:val="18"/>
              </w:rPr>
              <w:t>n=2915</w:t>
            </w:r>
          </w:p>
        </w:tc>
      </w:tr>
      <w:tr>
        <w:tc>
          <w:tcPr>
            <w:tcW w:type="dxa" w:w="2880"/>
          </w:tcPr>
          <w:p>
            <w:r/>
            <w:r>
              <w:rPr>
                <w:rFonts w:ascii="Times New Roman" w:hAnsi="Times New Roman"/>
                <w:b w:val="0"/>
                <w:i w:val="0"/>
                <w:sz w:val="18"/>
              </w:rPr>
              <w:t>Male</w:t>
            </w:r>
          </w:p>
        </w:tc>
        <w:tc>
          <w:tcPr>
            <w:tcW w:type="dxa" w:w="2880"/>
          </w:tcPr>
          <w:p>
            <w:r/>
            <w:r>
              <w:rPr>
                <w:rFonts w:ascii="Times New Roman" w:hAnsi="Times New Roman"/>
                <w:b w:val="0"/>
                <w:i w:val="0"/>
                <w:sz w:val="18"/>
              </w:rPr>
              <w:t>1374</w:t>
            </w:r>
          </w:p>
        </w:tc>
        <w:tc>
          <w:tcPr>
            <w:tcW w:type="dxa" w:w="2880"/>
          </w:tcPr>
          <w:p>
            <w:r/>
            <w:r>
              <w:rPr>
                <w:rFonts w:ascii="Times New Roman" w:hAnsi="Times New Roman"/>
                <w:b w:val="0"/>
                <w:i w:val="0"/>
                <w:sz w:val="18"/>
              </w:rPr>
              <w:t>(46%)</w:t>
            </w:r>
          </w:p>
        </w:tc>
      </w:tr>
      <w:tr>
        <w:tc>
          <w:tcPr>
            <w:tcW w:type="dxa" w:w="2880"/>
          </w:tcPr>
          <w:p>
            <w:r/>
            <w:r>
              <w:rPr>
                <w:rFonts w:ascii="Times New Roman" w:hAnsi="Times New Roman"/>
                <w:b w:val="0"/>
                <w:i w:val="0"/>
                <w:sz w:val="18"/>
              </w:rPr>
              <w:t>Female</w:t>
            </w:r>
          </w:p>
        </w:tc>
        <w:tc>
          <w:tcPr>
            <w:tcW w:type="dxa" w:w="2880"/>
          </w:tcPr>
          <w:p>
            <w:r/>
            <w:r>
              <w:rPr>
                <w:rFonts w:ascii="Times New Roman" w:hAnsi="Times New Roman"/>
                <w:b w:val="0"/>
                <w:i w:val="0"/>
                <w:sz w:val="18"/>
              </w:rPr>
              <w:t>1631</w:t>
            </w:r>
          </w:p>
        </w:tc>
        <w:tc>
          <w:tcPr>
            <w:tcW w:type="dxa" w:w="2880"/>
          </w:tcPr>
          <w:p>
            <w:r/>
            <w:r>
              <w:rPr>
                <w:rFonts w:ascii="Times New Roman" w:hAnsi="Times New Roman"/>
                <w:b w:val="0"/>
                <w:i w:val="0"/>
                <w:sz w:val="18"/>
              </w:rPr>
              <w:t>(54%)</w:t>
            </w:r>
          </w:p>
        </w:tc>
      </w:tr>
      <w:tr>
        <w:tc>
          <w:tcPr>
            <w:tcW w:type="dxa" w:w="2880"/>
          </w:tcPr>
          <w:p>
            <w:r/>
            <w:r>
              <w:rPr>
                <w:rFonts w:ascii="Times New Roman" w:hAnsi="Times New Roman"/>
                <w:b w:val="0"/>
                <w:i w:val="0"/>
                <w:sz w:val="18"/>
              </w:rPr>
              <w:t>Referral indications (ICD-10)</w:t>
            </w:r>
          </w:p>
        </w:tc>
        <w:tc>
          <w:tcPr>
            <w:tcW w:type="dxa" w:w="2880"/>
          </w:tcPr>
          <w:p>
            <w:r/>
          </w:p>
        </w:tc>
        <w:tc>
          <w:tcPr>
            <w:tcW w:type="dxa" w:w="2880"/>
          </w:tcPr>
          <w:p>
            <w:r/>
            <w:r>
              <w:rPr>
                <w:rFonts w:ascii="Times New Roman" w:hAnsi="Times New Roman"/>
                <w:b w:val="0"/>
                <w:i w:val="0"/>
                <w:sz w:val="18"/>
              </w:rPr>
              <w:t>n=13049 codes</w:t>
            </w:r>
          </w:p>
        </w:tc>
      </w:tr>
      <w:tr>
        <w:tc>
          <w:tcPr>
            <w:tcW w:type="dxa" w:w="2880"/>
          </w:tcPr>
          <w:p>
            <w:r/>
            <w:r>
              <w:rPr>
                <w:rFonts w:ascii="Times New Roman" w:hAnsi="Times New Roman"/>
                <w:b w:val="0"/>
                <w:i w:val="0"/>
                <w:sz w:val="18"/>
              </w:rPr>
              <w:t>Epilepsy (G40.x)</w:t>
            </w:r>
          </w:p>
        </w:tc>
        <w:tc>
          <w:tcPr>
            <w:tcW w:type="dxa" w:w="2880"/>
          </w:tcPr>
          <w:p>
            <w:r/>
            <w:r>
              <w:rPr>
                <w:rFonts w:ascii="Times New Roman" w:hAnsi="Times New Roman"/>
                <w:b w:val="0"/>
                <w:i w:val="0"/>
                <w:sz w:val="18"/>
              </w:rPr>
              <w:t>7073</w:t>
            </w:r>
          </w:p>
        </w:tc>
        <w:tc>
          <w:tcPr>
            <w:tcW w:type="dxa" w:w="2880"/>
          </w:tcPr>
          <w:p>
            <w:r/>
            <w:r>
              <w:rPr>
                <w:rFonts w:ascii="Times New Roman" w:hAnsi="Times New Roman"/>
                <w:b w:val="0"/>
                <w:i w:val="0"/>
                <w:sz w:val="18"/>
              </w:rPr>
              <w:t>(54%)</w:t>
            </w:r>
          </w:p>
        </w:tc>
      </w:tr>
      <w:tr>
        <w:tc>
          <w:tcPr>
            <w:tcW w:type="dxa" w:w="2880"/>
          </w:tcPr>
          <w:p>
            <w:r/>
            <w:r>
              <w:rPr>
                <w:rFonts w:ascii="Times New Roman" w:hAnsi="Times New Roman"/>
                <w:b w:val="0"/>
                <w:i w:val="0"/>
                <w:sz w:val="18"/>
              </w:rPr>
              <w:t>Convulsions (R56.x)</w:t>
            </w:r>
          </w:p>
        </w:tc>
        <w:tc>
          <w:tcPr>
            <w:tcW w:type="dxa" w:w="2880"/>
          </w:tcPr>
          <w:p>
            <w:r/>
            <w:r>
              <w:rPr>
                <w:rFonts w:ascii="Times New Roman" w:hAnsi="Times New Roman"/>
                <w:b w:val="0"/>
                <w:i w:val="0"/>
                <w:sz w:val="18"/>
              </w:rPr>
              <w:t>1648</w:t>
            </w:r>
          </w:p>
        </w:tc>
        <w:tc>
          <w:tcPr>
            <w:tcW w:type="dxa" w:w="2880"/>
          </w:tcPr>
          <w:p>
            <w:r/>
            <w:r>
              <w:rPr>
                <w:rFonts w:ascii="Times New Roman" w:hAnsi="Times New Roman"/>
                <w:b w:val="0"/>
                <w:i w:val="0"/>
                <w:sz w:val="18"/>
              </w:rPr>
              <w:t>(13%)</w:t>
            </w:r>
          </w:p>
        </w:tc>
      </w:tr>
      <w:tr>
        <w:tc>
          <w:tcPr>
            <w:tcW w:type="dxa" w:w="2880"/>
          </w:tcPr>
          <w:p>
            <w:r/>
            <w:r>
              <w:rPr>
                <w:rFonts w:ascii="Times New Roman" w:hAnsi="Times New Roman"/>
                <w:b w:val="0"/>
                <w:i w:val="0"/>
                <w:sz w:val="18"/>
              </w:rPr>
              <w:t>Abnormal movements (R25.x)</w:t>
            </w:r>
          </w:p>
        </w:tc>
        <w:tc>
          <w:tcPr>
            <w:tcW w:type="dxa" w:w="2880"/>
          </w:tcPr>
          <w:p>
            <w:r/>
            <w:r>
              <w:rPr>
                <w:rFonts w:ascii="Times New Roman" w:hAnsi="Times New Roman"/>
                <w:b w:val="0"/>
                <w:i w:val="0"/>
                <w:sz w:val="18"/>
              </w:rPr>
              <w:t>618</w:t>
            </w:r>
          </w:p>
        </w:tc>
        <w:tc>
          <w:tcPr>
            <w:tcW w:type="dxa" w:w="2880"/>
          </w:tcPr>
          <w:p>
            <w:r/>
            <w:r>
              <w:rPr>
                <w:rFonts w:ascii="Times New Roman" w:hAnsi="Times New Roman"/>
                <w:b w:val="0"/>
                <w:i w:val="0"/>
                <w:sz w:val="18"/>
              </w:rPr>
              <w:t>(5%)</w:t>
            </w:r>
          </w:p>
        </w:tc>
      </w:tr>
      <w:tr>
        <w:tc>
          <w:tcPr>
            <w:tcW w:type="dxa" w:w="2880"/>
          </w:tcPr>
          <w:p>
            <w:r/>
            <w:r>
              <w:rPr>
                <w:rFonts w:ascii="Times New Roman" w:hAnsi="Times New Roman"/>
                <w:b w:val="0"/>
                <w:i w:val="0"/>
                <w:sz w:val="18"/>
              </w:rPr>
              <w:t>Other</w:t>
            </w:r>
          </w:p>
        </w:tc>
        <w:tc>
          <w:tcPr>
            <w:tcW w:type="dxa" w:w="2880"/>
          </w:tcPr>
          <w:p>
            <w:r/>
            <w:r>
              <w:rPr>
                <w:rFonts w:ascii="Times New Roman" w:hAnsi="Times New Roman"/>
                <w:b w:val="0"/>
                <w:i w:val="0"/>
                <w:sz w:val="18"/>
              </w:rPr>
              <w:t>3710</w:t>
            </w:r>
          </w:p>
        </w:tc>
        <w:tc>
          <w:tcPr>
            <w:tcW w:type="dxa" w:w="2880"/>
          </w:tcPr>
          <w:p>
            <w:r/>
            <w:r>
              <w:rPr>
                <w:rFonts w:ascii="Times New Roman" w:hAnsi="Times New Roman"/>
                <w:b w:val="0"/>
                <w:i w:val="0"/>
                <w:sz w:val="18"/>
              </w:rPr>
              <w:t>(28%)</w:t>
            </w:r>
          </w:p>
        </w:tc>
      </w:tr>
      <w:tr>
        <w:tc>
          <w:tcPr>
            <w:tcW w:type="dxa" w:w="2880"/>
          </w:tcPr>
          <w:p>
            <w:r/>
            <w:r>
              <w:rPr>
                <w:rFonts w:ascii="Times New Roman" w:hAnsi="Times New Roman"/>
                <w:b/>
                <w:i w:val="0"/>
                <w:sz w:val="18"/>
              </w:rPr>
              <w:t>EEG recordings</w:t>
            </w:r>
          </w:p>
        </w:tc>
        <w:tc>
          <w:tcPr>
            <w:tcW w:type="dxa" w:w="2880"/>
          </w:tcPr>
          <w:p>
            <w:r/>
          </w:p>
        </w:tc>
        <w:tc>
          <w:tcPr>
            <w:tcW w:type="dxa" w:w="2880"/>
          </w:tcPr>
          <w:p>
            <w:r/>
          </w:p>
        </w:tc>
      </w:tr>
      <w:tr>
        <w:tc>
          <w:tcPr>
            <w:tcW w:type="dxa" w:w="2880"/>
          </w:tcPr>
          <w:p>
            <w:r/>
            <w:r>
              <w:rPr>
                <w:rFonts w:ascii="Times New Roman" w:hAnsi="Times New Roman"/>
                <w:b w:val="0"/>
                <w:i w:val="0"/>
                <w:sz w:val="18"/>
              </w:rPr>
              <w:t>Total recordings with signal data</w:t>
            </w:r>
          </w:p>
        </w:tc>
        <w:tc>
          <w:tcPr>
            <w:tcW w:type="dxa" w:w="2880"/>
          </w:tcPr>
          <w:p>
            <w:r/>
            <w:r>
              <w:rPr>
                <w:rFonts w:ascii="Times New Roman" w:hAnsi="Times New Roman"/>
                <w:b w:val="0"/>
                <w:i w:val="0"/>
                <w:sz w:val="18"/>
              </w:rPr>
              <w:t>23,607</w:t>
            </w:r>
          </w:p>
        </w:tc>
        <w:tc>
          <w:tcPr>
            <w:tcW w:type="dxa" w:w="2880"/>
          </w:tcPr>
          <w:p>
            <w:r/>
          </w:p>
        </w:tc>
      </w:tr>
      <w:tr>
        <w:tc>
          <w:tcPr>
            <w:tcW w:type="dxa" w:w="2880"/>
          </w:tcPr>
          <w:p>
            <w:r/>
            <w:r>
              <w:rPr>
                <w:rFonts w:ascii="Times New Roman" w:hAnsi="Times New Roman"/>
                <w:b w:val="0"/>
                <w:i w:val="0"/>
                <w:sz w:val="18"/>
              </w:rPr>
              <w:t>Total recording hours</w:t>
            </w:r>
          </w:p>
        </w:tc>
        <w:tc>
          <w:tcPr>
            <w:tcW w:type="dxa" w:w="2880"/>
          </w:tcPr>
          <w:p>
            <w:r/>
            <w:r>
              <w:rPr>
                <w:rFonts w:ascii="Times New Roman" w:hAnsi="Times New Roman"/>
                <w:b w:val="0"/>
                <w:i w:val="0"/>
                <w:sz w:val="18"/>
              </w:rPr>
              <w:t>212,186</w:t>
            </w:r>
          </w:p>
        </w:tc>
        <w:tc>
          <w:tcPr>
            <w:tcW w:type="dxa" w:w="2880"/>
          </w:tcPr>
          <w:p>
            <w:r/>
          </w:p>
        </w:tc>
      </w:tr>
      <w:tr>
        <w:tc>
          <w:tcPr>
            <w:tcW w:type="dxa" w:w="2880"/>
          </w:tcPr>
          <w:p>
            <w:r/>
            <w:r>
              <w:rPr>
                <w:rFonts w:ascii="Times New Roman" w:hAnsi="Times New Roman"/>
                <w:b w:val="0"/>
                <w:i w:val="0"/>
                <w:sz w:val="18"/>
              </w:rPr>
              <w:t>Duration, median (IQR)</w:t>
            </w:r>
          </w:p>
        </w:tc>
        <w:tc>
          <w:tcPr>
            <w:tcW w:type="dxa" w:w="2880"/>
          </w:tcPr>
          <w:p>
            <w:r/>
            <w:r>
              <w:rPr>
                <w:rFonts w:ascii="Times New Roman" w:hAnsi="Times New Roman"/>
                <w:b w:val="0"/>
                <w:i w:val="0"/>
                <w:sz w:val="18"/>
              </w:rPr>
              <w:t>3.0 (0.3-12.3)</w:t>
            </w:r>
          </w:p>
        </w:tc>
        <w:tc>
          <w:tcPr>
            <w:tcW w:type="dxa" w:w="2880"/>
          </w:tcPr>
          <w:p>
            <w:r/>
            <w:r>
              <w:rPr>
                <w:rFonts w:ascii="Times New Roman" w:hAnsi="Times New Roman"/>
                <w:b w:val="0"/>
                <w:i w:val="0"/>
                <w:sz w:val="18"/>
              </w:rPr>
              <w:t>hours</w:t>
            </w:r>
          </w:p>
        </w:tc>
      </w:tr>
      <w:tr>
        <w:tc>
          <w:tcPr>
            <w:tcW w:type="dxa" w:w="2880"/>
          </w:tcPr>
          <w:p>
            <w:r/>
            <w:r>
              <w:rPr>
                <w:rFonts w:ascii="Times New Roman" w:hAnsi="Times New Roman"/>
                <w:b w:val="0"/>
                <w:i w:val="0"/>
                <w:sz w:val="18"/>
              </w:rPr>
              <w:t>Recordings per patient, median (IQR)</w:t>
            </w:r>
          </w:p>
        </w:tc>
        <w:tc>
          <w:tcPr>
            <w:tcW w:type="dxa" w:w="2880"/>
          </w:tcPr>
          <w:p>
            <w:r/>
            <w:r>
              <w:rPr>
                <w:rFonts w:ascii="Times New Roman" w:hAnsi="Times New Roman"/>
                <w:b w:val="0"/>
                <w:i w:val="0"/>
                <w:sz w:val="18"/>
              </w:rPr>
              <w:t>3.0 (1.0-6.0)</w:t>
            </w:r>
          </w:p>
        </w:tc>
        <w:tc>
          <w:tcPr>
            <w:tcW w:type="dxa" w:w="2880"/>
          </w:tcPr>
          <w:p>
            <w:r/>
          </w:p>
        </w:tc>
      </w:tr>
      <w:tr>
        <w:tc>
          <w:tcPr>
            <w:tcW w:type="dxa" w:w="2880"/>
          </w:tcPr>
          <w:p>
            <w:r/>
            <w:r>
              <w:rPr>
                <w:rFonts w:ascii="Times New Roman" w:hAnsi="Times New Roman"/>
                <w:b w:val="0"/>
                <w:i w:val="0"/>
                <w:sz w:val="18"/>
              </w:rPr>
              <w:t>Patients with multiple recordings</w:t>
            </w:r>
          </w:p>
        </w:tc>
        <w:tc>
          <w:tcPr>
            <w:tcW w:type="dxa" w:w="2880"/>
          </w:tcPr>
          <w:p>
            <w:r/>
            <w:r>
              <w:rPr>
                <w:rFonts w:ascii="Times New Roman" w:hAnsi="Times New Roman"/>
                <w:b w:val="0"/>
                <w:i w:val="0"/>
                <w:sz w:val="18"/>
              </w:rPr>
              <w:t>3570</w:t>
            </w:r>
          </w:p>
        </w:tc>
        <w:tc>
          <w:tcPr>
            <w:tcW w:type="dxa" w:w="2880"/>
          </w:tcPr>
          <w:p>
            <w:r/>
            <w:r>
              <w:rPr>
                <w:rFonts w:ascii="Times New Roman" w:hAnsi="Times New Roman"/>
                <w:b w:val="0"/>
                <w:i w:val="0"/>
                <w:sz w:val="18"/>
              </w:rPr>
              <w:t>(73%)</w:t>
            </w:r>
          </w:p>
        </w:tc>
      </w:tr>
      <w:tr>
        <w:tc>
          <w:tcPr>
            <w:tcW w:type="dxa" w:w="2880"/>
          </w:tcPr>
          <w:p>
            <w:r/>
            <w:r>
              <w:rPr>
                <w:rFonts w:ascii="Times New Roman" w:hAnsi="Times New Roman"/>
                <w:b w:val="0"/>
                <w:i w:val="0"/>
                <w:sz w:val="18"/>
              </w:rPr>
              <w:t>EEG findings (tech reports)</w:t>
            </w:r>
          </w:p>
        </w:tc>
        <w:tc>
          <w:tcPr>
            <w:tcW w:type="dxa" w:w="2880"/>
          </w:tcPr>
          <w:p>
            <w:r/>
          </w:p>
        </w:tc>
        <w:tc>
          <w:tcPr>
            <w:tcW w:type="dxa" w:w="2880"/>
          </w:tcPr>
          <w:p>
            <w:r/>
            <w:r>
              <w:rPr>
                <w:rFonts w:ascii="Times New Roman" w:hAnsi="Times New Roman"/>
                <w:b w:val="0"/>
                <w:i w:val="0"/>
                <w:sz w:val="18"/>
              </w:rPr>
              <w:t>n=10726 studies</w:t>
            </w:r>
          </w:p>
        </w:tc>
      </w:tr>
      <w:tr>
        <w:tc>
          <w:tcPr>
            <w:tcW w:type="dxa" w:w="2880"/>
          </w:tcPr>
          <w:p>
            <w:r/>
            <w:r>
              <w:rPr>
                <w:rFonts w:ascii="Times New Roman" w:hAnsi="Times New Roman"/>
                <w:b w:val="0"/>
                <w:i w:val="0"/>
                <w:sz w:val="18"/>
              </w:rPr>
              <w:t>Normal</w:t>
            </w:r>
          </w:p>
        </w:tc>
        <w:tc>
          <w:tcPr>
            <w:tcW w:type="dxa" w:w="2880"/>
          </w:tcPr>
          <w:p>
            <w:r/>
            <w:r>
              <w:rPr>
                <w:rFonts w:ascii="Times New Roman" w:hAnsi="Times New Roman"/>
                <w:b w:val="0"/>
                <w:i w:val="0"/>
                <w:sz w:val="18"/>
              </w:rPr>
              <w:t>2506</w:t>
            </w:r>
          </w:p>
        </w:tc>
        <w:tc>
          <w:tcPr>
            <w:tcW w:type="dxa" w:w="2880"/>
          </w:tcPr>
          <w:p>
            <w:r/>
            <w:r>
              <w:rPr>
                <w:rFonts w:ascii="Times New Roman" w:hAnsi="Times New Roman"/>
                <w:b w:val="0"/>
                <w:i w:val="0"/>
                <w:sz w:val="18"/>
              </w:rPr>
              <w:t>(23%)</w:t>
            </w:r>
          </w:p>
        </w:tc>
      </w:tr>
      <w:tr>
        <w:tc>
          <w:tcPr>
            <w:tcW w:type="dxa" w:w="2880"/>
          </w:tcPr>
          <w:p>
            <w:r/>
            <w:r>
              <w:rPr>
                <w:rFonts w:ascii="Times New Roman" w:hAnsi="Times New Roman"/>
                <w:b w:val="0"/>
                <w:i w:val="0"/>
                <w:sz w:val="18"/>
              </w:rPr>
              <w:t>Abnormal</w:t>
            </w:r>
          </w:p>
        </w:tc>
        <w:tc>
          <w:tcPr>
            <w:tcW w:type="dxa" w:w="2880"/>
          </w:tcPr>
          <w:p>
            <w:r/>
            <w:r>
              <w:rPr>
                <w:rFonts w:ascii="Times New Roman" w:hAnsi="Times New Roman"/>
                <w:b w:val="0"/>
                <w:i w:val="0"/>
                <w:sz w:val="18"/>
              </w:rPr>
              <w:t>3693</w:t>
            </w:r>
          </w:p>
        </w:tc>
        <w:tc>
          <w:tcPr>
            <w:tcW w:type="dxa" w:w="2880"/>
          </w:tcPr>
          <w:p>
            <w:r/>
            <w:r>
              <w:rPr>
                <w:rFonts w:ascii="Times New Roman" w:hAnsi="Times New Roman"/>
                <w:b w:val="0"/>
                <w:i w:val="0"/>
                <w:sz w:val="18"/>
              </w:rPr>
              <w:t>(34%)</w:t>
            </w:r>
          </w:p>
        </w:tc>
      </w:tr>
      <w:tr>
        <w:tc>
          <w:tcPr>
            <w:tcW w:type="dxa" w:w="2880"/>
          </w:tcPr>
          <w:p>
            <w:r/>
            <w:r>
              <w:rPr>
                <w:rFonts w:ascii="Times New Roman" w:hAnsi="Times New Roman"/>
                <w:b w:val="0"/>
                <w:i w:val="0"/>
                <w:sz w:val="18"/>
              </w:rPr>
              <w:t>With epileptiform discharges</w:t>
            </w:r>
          </w:p>
        </w:tc>
        <w:tc>
          <w:tcPr>
            <w:tcW w:type="dxa" w:w="2880"/>
          </w:tcPr>
          <w:p>
            <w:r/>
            <w:r>
              <w:rPr>
                <w:rFonts w:ascii="Times New Roman" w:hAnsi="Times New Roman"/>
                <w:b w:val="0"/>
                <w:i w:val="0"/>
                <w:sz w:val="18"/>
              </w:rPr>
              <w:t>6345</w:t>
            </w:r>
          </w:p>
        </w:tc>
        <w:tc>
          <w:tcPr>
            <w:tcW w:type="dxa" w:w="2880"/>
          </w:tcPr>
          <w:p>
            <w:r/>
          </w:p>
        </w:tc>
      </w:tr>
      <w:tr>
        <w:tc>
          <w:tcPr>
            <w:tcW w:type="dxa" w:w="2880"/>
          </w:tcPr>
          <w:p>
            <w:r/>
            <w:r>
              <w:rPr>
                <w:rFonts w:ascii="Times New Roman" w:hAnsi="Times New Roman"/>
                <w:b w:val="0"/>
                <w:i w:val="0"/>
                <w:sz w:val="18"/>
              </w:rPr>
              <w:t>With seizures captured</w:t>
            </w:r>
          </w:p>
        </w:tc>
        <w:tc>
          <w:tcPr>
            <w:tcW w:type="dxa" w:w="2880"/>
          </w:tcPr>
          <w:p>
            <w:r/>
            <w:r>
              <w:rPr>
                <w:rFonts w:ascii="Times New Roman" w:hAnsi="Times New Roman"/>
                <w:b w:val="0"/>
                <w:i w:val="0"/>
                <w:sz w:val="18"/>
              </w:rPr>
              <w:t>2379</w:t>
            </w:r>
          </w:p>
        </w:tc>
        <w:tc>
          <w:tcPr>
            <w:tcW w:type="dxa" w:w="2880"/>
          </w:tcPr>
          <w:p>
            <w:r/>
          </w:p>
        </w:tc>
      </w:tr>
    </w:tbl>
    <w:p/>
    <w:p>
      <w:r>
        <w:rPr>
          <w:rFonts w:ascii="Times New Roman" w:hAnsi="Times New Roman"/>
          <w:b w:val="0"/>
          <w:i/>
          <w:sz w:val="22"/>
        </w:rPr>
        <w:t>IQR = interquartile range; ASM = anti-seizure medication; EHR = electronic health record.</w:t>
      </w:r>
    </w:p>
    <w:p>
      <w:r>
        <w:rPr>
          <w:rFonts w:ascii="Times New Roman" w:hAnsi="Times New Roman"/>
          <w:b w:val="0"/>
          <w:i w:val="0"/>
          <w:sz w:val="22"/>
        </w:rPr>
        <w:t>The majority of recordings (53%) fall in the 1-24 hour range consistent with ambulatory or short-term monitoring, while 36% are routine outpatient EEGs under one hour and 11% are prolonged continuous monitoring studies exceeding 24 hours (Supplementary Table 1, Figure 2A). In addition to the 23,607 recordings containing signal data, the BIDS dataset includes 30,819 header-only EDF files originating from the Natus/Xltek source export. These zero-record stubs are produced by the acquisition system at recording-session boundaries and aborted-start events; they contain a valid EDF header with channel definitions but no data records. We release them alongside the full-signal recordings to preserve session-level integrity for users wishing to reconstruct complete clinical visits, but they should be filtered out (e.g., on n_records &gt; 0) for any signal-level analysis.</w:t>
      </w:r>
    </w:p>
    <w:p>
      <w:r>
        <w:rPr>
          <w:rFonts w:ascii="Times New Roman" w:hAnsi="Times New Roman"/>
          <w:b w:val="0"/>
          <w:i w:val="0"/>
          <w:sz w:val="22"/>
        </w:rPr>
        <w:t>Technician clips and spike markers are the most common annotation types, followed by free-text clinical observations and activation procedure documentation (Supplementary Table 2, Supplementary Figure 1).</w:t>
      </w:r>
    </w:p>
    <w:p>
      <w:r>
        <w:rPr>
          <w:rFonts w:ascii="Times New Roman" w:hAnsi="Times New Roman"/>
          <w:b w:val="0"/>
          <w:i w:val="0"/>
          <w:sz w:val="22"/>
        </w:rPr>
        <w:t>The patient population spans the full age range from infancy to old age, with a median age of 27 years at first EEG (IQR 13-48) and a bimodal distribution reflecting both pediatric epilepsy referrals and adult-onset seizure disorders (Figure 3B). Epilepsy diagnoses (ICD-10 G40.x) account for 54% of referral indications, followed by unspecified convulsions (13%) and abnormal movements (5%) (Figure 3A). EEG findings extracted from technologist scan reports demonstrate a high yield of clinically significant abnormalities: 34% of studies were classified as abnormal, with interictal epileptiform discharges documented in 6,345 studies and electrographic seizures captured in 2,379 (Figure 4). The posterior dominant rhythm frequency distribution peaks at 9-10 Hz (Figure 4A), consistent with the expected physiological range and providing independent validation of the extraction pipeline. The morphology and spatial distribution of epileptiform discharges (Figure 4B) shows a predominance of generalized spike and spike-and-wave patterns, consistent with the high proportion of primary generalized epilepsy in the referral population.</w:t>
      </w:r>
    </w:p>
    <w:p>
      <w:pPr>
        <w:pStyle w:val="Heading1"/>
      </w:pPr>
      <w:r>
        <w:rPr>
          <w:rFonts w:ascii="Times New Roman" w:hAnsi="Times New Roman"/>
          <w:b/>
          <w:i w:val="0"/>
          <w:sz w:val="28"/>
        </w:rPr>
        <w:t>Technical Validation</w:t>
      </w:r>
    </w:p>
    <w:p>
      <w:pPr>
        <w:pStyle w:val="Heading2"/>
      </w:pPr>
      <w:r>
        <w:rPr>
          <w:rFonts w:ascii="Times New Roman" w:hAnsi="Times New Roman"/>
          <w:b/>
          <w:i w:val="0"/>
          <w:sz w:val="24"/>
        </w:rPr>
        <w:t>Data completeness and quality</w:t>
      </w:r>
    </w:p>
    <w:p>
      <w:r>
        <w:rPr>
          <w:rFonts w:ascii="Times New Roman" w:hAnsi="Times New Roman"/>
          <w:b w:val="0"/>
          <w:i w:val="0"/>
          <w:sz w:val="22"/>
        </w:rPr>
        <w:t>All 23,607 EEG recordings were validated for EDF format compliance during BIDS conversion. Channel configuration is consistent across recordings, with all readable files containing 22-30 channels at 256 Hz (median: 28 channels). An additional 30,819 EDF files in the BIDS tree are zero-record header stubs from the Natus/Xltek source export (recording boundaries, interrupted sessions); they are documented in Data Records and should be filtered out for signal-level analyses. Signal quality metrics beyond format compliance (e.g., impedance values, artifact rates) are not reported; users should apply their own quality control procedures appropriate to their use case.</w:t>
      </w:r>
    </w:p>
    <w:p>
      <w:pPr>
        <w:pStyle w:val="Heading2"/>
      </w:pPr>
      <w:r>
        <w:rPr>
          <w:rFonts w:ascii="Times New Roman" w:hAnsi="Times New Roman"/>
          <w:b/>
          <w:i w:val="0"/>
          <w:sz w:val="24"/>
        </w:rPr>
        <w:t>Annotation completeness</w:t>
      </w:r>
    </w:p>
    <w:p>
      <w:r>
        <w:rPr>
          <w:rFonts w:ascii="Times New Roman" w:hAnsi="Times New Roman"/>
          <w:b w:val="0"/>
          <w:i w:val="0"/>
          <w:sz w:val="22"/>
        </w:rPr>
        <w:t>Of the 23,607 EEG recordings, 14,517 (61%) have at least one technician annotation file. Across the patient population, nearly all subjects have at least one annotated recording. Annotation density varies widely: the median annotated recording contains 8 annotations (IQR 3-21), corresponding to 1.13 annotations per hour (IQR 0.47-2.78), with routine EEGs typically showing higher per-hour density and prolonged monitoring studies more total events (Figure 2B, Supplementary Figure 1).</w:t>
      </w:r>
    </w:p>
    <w:p>
      <w:pPr>
        <w:pStyle w:val="Heading2"/>
      </w:pPr>
      <w:r>
        <w:rPr>
          <w:rFonts w:ascii="Times New Roman" w:hAnsi="Times New Roman"/>
          <w:b/>
          <w:i w:val="0"/>
          <w:sz w:val="24"/>
        </w:rPr>
        <w:t>De-identification verification</w:t>
      </w:r>
    </w:p>
    <w:p>
      <w:r>
        <w:rPr>
          <w:rFonts w:ascii="Times New Roman" w:hAnsi="Times New Roman"/>
          <w:b w:val="0"/>
          <w:i w:val="0"/>
          <w:sz w:val="22"/>
        </w:rPr>
        <w:t>We verified de-identification through automated audit of all output files at both the EEG signal and clinical metadata levels:</w:t>
      </w:r>
    </w:p>
    <w:p>
      <w:pPr>
        <w:ind w:left="360" w:hanging="360"/>
      </w:pPr>
      <w:r>
        <w:rPr>
          <w:rFonts w:ascii="Times New Roman" w:hAnsi="Times New Roman"/>
          <w:b w:val="0"/>
          <w:i w:val="0"/>
          <w:sz w:val="22"/>
        </w:rPr>
        <w:t xml:space="preserve">1. </w:t>
      </w:r>
      <w:r>
        <w:rPr>
          <w:rFonts w:ascii="Times New Roman" w:hAnsi="Times New Roman"/>
          <w:b/>
          <w:i w:val="0"/>
          <w:sz w:val="22"/>
        </w:rPr>
        <w:t>EDF headers</w:t>
      </w:r>
      <w:r>
        <w:rPr>
          <w:rFonts w:ascii="Times New Roman" w:hAnsi="Times New Roman"/>
          <w:b w:val="0"/>
          <w:i w:val="0"/>
          <w:sz w:val="22"/>
        </w:rPr>
        <w:t>: We re-read all de-identified EDF files and confirmed that the local patient identification field contained only `X X X X`, with no residual patient names, identifiers, or unshifted dates (Supplementary Figure 2).</w:t>
      </w:r>
    </w:p>
    <w:p>
      <w:pPr>
        <w:ind w:left="360" w:hanging="360"/>
      </w:pPr>
      <w:r>
        <w:rPr>
          <w:rFonts w:ascii="Times New Roman" w:hAnsi="Times New Roman"/>
          <w:b w:val="0"/>
          <w:i w:val="0"/>
          <w:sz w:val="22"/>
        </w:rPr>
        <w:t xml:space="preserve">2. </w:t>
      </w:r>
      <w:r>
        <w:rPr>
          <w:rFonts w:ascii="Times New Roman" w:hAnsi="Times New Roman"/>
          <w:b/>
          <w:i w:val="0"/>
          <w:sz w:val="22"/>
        </w:rPr>
        <w:t>Annotation text</w:t>
      </w:r>
      <w:r>
        <w:rPr>
          <w:rFonts w:ascii="Times New Roman" w:hAnsi="Times New Roman"/>
          <w:b w:val="0"/>
          <w:i w:val="0"/>
          <w:sz w:val="22"/>
        </w:rPr>
        <w:t>: We scanned all 226,486 annotation text entries from the source data for potential PHI. Pattern matching identified annotations containing embedded dates (all shifted in output) and annotations containing patient first or last names (all replaced with `[NAME]` in output). No medical record numbers, phone numbers, or other identifiers were detected in the released data.</w:t>
      </w:r>
    </w:p>
    <w:p>
      <w:pPr>
        <w:ind w:left="360" w:hanging="360"/>
      </w:pPr>
      <w:r>
        <w:rPr>
          <w:rFonts w:ascii="Times New Roman" w:hAnsi="Times New Roman"/>
          <w:b w:val="0"/>
          <w:i w:val="0"/>
          <w:sz w:val="22"/>
        </w:rPr>
        <w:t xml:space="preserve">3. </w:t>
      </w:r>
      <w:r>
        <w:rPr>
          <w:rFonts w:ascii="Times New Roman" w:hAnsi="Times New Roman"/>
          <w:b/>
          <w:i w:val="0"/>
          <w:sz w:val="22"/>
        </w:rPr>
        <w:t>Clinical metadata</w:t>
      </w:r>
      <w:r>
        <w:rPr>
          <w:rFonts w:ascii="Times New Roman" w:hAnsi="Times New Roman"/>
          <w:b w:val="0"/>
          <w:i w:val="0"/>
          <w:sz w:val="22"/>
        </w:rPr>
        <w:t>: De-identified EHR fields underwent automated PHI screening for residual `Last, First` name patterns, untranslated dates (post-shift), phone-number-like patterns, and street-address patterns. All extracted dates were shifted using each patient's BDSP-assigned offset (uniform random integer in ±365 days), the same offset applied to that patient's EEG recording dates and annotation timestamps, ensuring temporal alignment across modalities. Patients whose name match to the BDSP linking table fell below high or medium confidence (29 of 7,364 EHR folders) were excluded from the de-identified release.</w:t>
      </w:r>
    </w:p>
    <w:p>
      <w:pPr>
        <w:ind w:left="360" w:hanging="360"/>
      </w:pPr>
      <w:r>
        <w:rPr>
          <w:rFonts w:ascii="Times New Roman" w:hAnsi="Times New Roman"/>
          <w:b w:val="0"/>
          <w:i w:val="0"/>
          <w:sz w:val="22"/>
        </w:rPr>
        <w:t xml:space="preserve">4. </w:t>
      </w:r>
      <w:r>
        <w:rPr>
          <w:rFonts w:ascii="Times New Roman" w:hAnsi="Times New Roman"/>
          <w:b/>
          <w:i w:val="0"/>
          <w:sz w:val="22"/>
        </w:rPr>
        <w:t>File structure</w:t>
      </w:r>
      <w:r>
        <w:rPr>
          <w:rFonts w:ascii="Times New Roman" w:hAnsi="Times New Roman"/>
          <w:b w:val="0"/>
          <w:i w:val="0"/>
          <w:sz w:val="22"/>
        </w:rPr>
        <w:t>: Output file and directory names contain only de-identified subject identifiers (`sub-NeurotechN`) and session numbers.</w:t>
      </w:r>
    </w:p>
    <w:p>
      <w:r>
        <w:rPr>
          <w:rFonts w:ascii="Times New Roman" w:hAnsi="Times New Roman"/>
          <w:b w:val="0"/>
          <w:i w:val="0"/>
          <w:sz w:val="22"/>
        </w:rPr>
        <w:t>Supplementary Table 3 illustrates the de-identification process for a representative recording.</w:t>
      </w:r>
    </w:p>
    <w:p>
      <w:pPr>
        <w:pStyle w:val="Heading1"/>
      </w:pPr>
      <w:r>
        <w:rPr>
          <w:rFonts w:ascii="Times New Roman" w:hAnsi="Times New Roman"/>
          <w:b/>
          <w:i w:val="0"/>
          <w:sz w:val="28"/>
        </w:rPr>
        <w:t>Usage Notes</w:t>
      </w:r>
    </w:p>
    <w:p>
      <w:pPr>
        <w:pStyle w:val="Heading2"/>
      </w:pPr>
      <w:r>
        <w:rPr>
          <w:rFonts w:ascii="Times New Roman" w:hAnsi="Times New Roman"/>
          <w:b/>
          <w:i w:val="0"/>
          <w:sz w:val="24"/>
        </w:rPr>
        <w:t>Recommended use cases</w:t>
      </w:r>
    </w:p>
    <w:p>
      <w:r>
        <w:rPr>
          <w:rFonts w:ascii="Times New Roman" w:hAnsi="Times New Roman"/>
          <w:b w:val="0"/>
          <w:i w:val="0"/>
          <w:sz w:val="22"/>
        </w:rPr>
        <w:t xml:space="preserve">This dataset supports three primary research directions. (1) </w:t>
      </w:r>
      <w:r>
        <w:rPr>
          <w:rFonts w:ascii="Times New Roman" w:hAnsi="Times New Roman"/>
          <w:b/>
          <w:i w:val="0"/>
          <w:sz w:val="22"/>
        </w:rPr>
        <w:t>AI/ML development</w:t>
      </w:r>
      <w:r>
        <w:rPr>
          <w:rFonts w:ascii="Times New Roman" w:hAnsi="Times New Roman"/>
          <w:b w:val="0"/>
          <w:i w:val="0"/>
          <w:sz w:val="22"/>
        </w:rPr>
        <w:t xml:space="preserve">: 226,486 technician annotations across 14,517 annotated sessions provide pre-existing labels for spike and seizure detection tasks (50,482 spike events, 6,892 seizure events), while the mix of recording types (routine, ambulatory, ICU) enables training algorithms that generalize across clinical settings. (2) </w:t>
      </w:r>
      <w:r>
        <w:rPr>
          <w:rFonts w:ascii="Times New Roman" w:hAnsi="Times New Roman"/>
          <w:b/>
          <w:i w:val="0"/>
          <w:sz w:val="22"/>
        </w:rPr>
        <w:t>Clinical EEG research</w:t>
      </w:r>
      <w:r>
        <w:rPr>
          <w:rFonts w:ascii="Times New Roman" w:hAnsi="Times New Roman"/>
          <w:b w:val="0"/>
          <w:i w:val="0"/>
          <w:sz w:val="22"/>
        </w:rPr>
        <w:t xml:space="preserve">: the unselected cohort enables epidemiological studies of EEG finding prevalence and studies of annotation variability in clinical workflow. (3) </w:t>
      </w:r>
      <w:r>
        <w:rPr>
          <w:rFonts w:ascii="Times New Roman" w:hAnsi="Times New Roman"/>
          <w:b/>
          <w:i w:val="0"/>
          <w:sz w:val="22"/>
        </w:rPr>
        <w:t>Methodological development</w:t>
      </w:r>
      <w:r>
        <w:rPr>
          <w:rFonts w:ascii="Times New Roman" w:hAnsi="Times New Roman"/>
          <w:b w:val="0"/>
          <w:i w:val="0"/>
          <w:sz w:val="22"/>
        </w:rPr>
        <w:t>: automated sleep staging can be applied post-hoc to the multi-day recordings, enabling large-scale study of interictal epileptiform discharge (IED) rates across sleep-wake states.</w:t>
      </w:r>
    </w:p>
    <w:p>
      <w:pPr>
        <w:pStyle w:val="Heading2"/>
      </w:pPr>
      <w:r>
        <w:rPr>
          <w:rFonts w:ascii="Times New Roman" w:hAnsi="Times New Roman"/>
          <w:b/>
          <w:i w:val="0"/>
          <w:sz w:val="24"/>
        </w:rPr>
        <w:t>Limitations</w:t>
      </w:r>
    </w:p>
    <w:p>
      <w:r>
        <w:rPr>
          <w:rFonts w:ascii="Times New Roman" w:hAnsi="Times New Roman"/>
          <w:b w:val="0"/>
          <w:i w:val="0"/>
          <w:sz w:val="22"/>
        </w:rPr>
        <w:t xml:space="preserve">The dataset has several important limitations. First, all recordings originate from a </w:t>
      </w:r>
      <w:r>
        <w:rPr>
          <w:rFonts w:ascii="Times New Roman" w:hAnsi="Times New Roman"/>
          <w:b/>
          <w:i w:val="0"/>
          <w:sz w:val="22"/>
        </w:rPr>
        <w:t>single EEG service provider</w:t>
      </w:r>
      <w:r>
        <w:rPr>
          <w:rFonts w:ascii="Times New Roman" w:hAnsi="Times New Roman"/>
          <w:b w:val="0"/>
          <w:i w:val="0"/>
          <w:sz w:val="22"/>
        </w:rPr>
        <w:t xml:space="preserve"> using one hardware and acquisition platform; although studies were acquired across many settings (patients' homes, clinics, and hospital ICUs and epilepsy monitoring units) and geographically distributed sites, generalization to other providers, hardware platforms, and acquisition workflows requires caution. Second, annotations are </w:t>
      </w:r>
      <w:r>
        <w:rPr>
          <w:rFonts w:ascii="Times New Roman" w:hAnsi="Times New Roman"/>
          <w:b/>
          <w:i w:val="0"/>
          <w:sz w:val="22"/>
        </w:rPr>
        <w:t>clinical workflow annotations</w:t>
      </w:r>
      <w:r>
        <w:rPr>
          <w:rFonts w:ascii="Times New Roman" w:hAnsi="Times New Roman"/>
          <w:b w:val="0"/>
          <w:i w:val="0"/>
          <w:sz w:val="22"/>
        </w:rPr>
        <w:t xml:space="preserve"> placed by technicians during routine practice, not multi-expert research labels; they should not be treated as gold-standard labels for algorithm evaluation without independent validation. This is both a strength and a limitation: while it enables study of real-world labeling practices, it means labels cannot be treated as ground truth. Third, clinical metadata (demographics, diagnoses, comorbidities, medications, and EEG interpretation reports) was extracted from scanned clinical documentation using a combination of OCR, regex parsing, and large language model (LLM) extraction. Coverage varies by field: age is available for 59% of patients, sex for 61%, referral diagnosis codes for 63%, and anti-seizure medication data for 32%. Fields extracted from handwritten forms have lower accuracy than those from typed clinical notes. Fourth, </w:t>
      </w:r>
      <w:r>
        <w:rPr>
          <w:rFonts w:ascii="Times New Roman" w:hAnsi="Times New Roman"/>
          <w:b/>
          <w:i w:val="0"/>
          <w:sz w:val="22"/>
        </w:rPr>
        <w:t>annotation completeness is heterogeneous</w:t>
      </w:r>
      <w:r>
        <w:rPr>
          <w:rFonts w:ascii="Times New Roman" w:hAnsi="Times New Roman"/>
          <w:b w:val="0"/>
          <w:i w:val="0"/>
          <w:sz w:val="22"/>
        </w:rPr>
        <w:t xml:space="preserve">: 61% of EEG recordings (14,517 of 23,607) have associated annotation files, with nearly all patients having at least one annotated recording. Fifth, the BIDS tree includes </w:t>
      </w:r>
      <w:r>
        <w:rPr>
          <w:rFonts w:ascii="Times New Roman" w:hAnsi="Times New Roman"/>
          <w:b/>
          <w:i w:val="0"/>
          <w:sz w:val="22"/>
        </w:rPr>
        <w:t>30,819 zero-record header stubs</w:t>
      </w:r>
      <w:r>
        <w:rPr>
          <w:rFonts w:ascii="Times New Roman" w:hAnsi="Times New Roman"/>
          <w:b w:val="0"/>
          <w:i w:val="0"/>
          <w:sz w:val="22"/>
        </w:rPr>
        <w:t xml:space="preserve"> alongside the 23,607 EEG recordings (Natus/Xltek source artifact); users should filter on n_records &gt; 0 or file size when constructing analysis cohorts. Sixth, name-based linkage between extracted EHR data and BDSP de-identified subject IDs achieves 99.96% confident matches; the remaining 0.04% of EHR folders represent patients whose names exhibit substantial spelling variation between source systems and are excluded from the de-identified clinical metadata release.</w:t>
      </w:r>
    </w:p>
    <w:p>
      <w:pPr>
        <w:pStyle w:val="Heading2"/>
      </w:pPr>
      <w:r>
        <w:rPr>
          <w:rFonts w:ascii="Times New Roman" w:hAnsi="Times New Roman"/>
          <w:b/>
          <w:i w:val="0"/>
          <w:sz w:val="24"/>
        </w:rPr>
        <w:t>Future directions</w:t>
      </w:r>
    </w:p>
    <w:p>
      <w:r>
        <w:rPr>
          <w:rFonts w:ascii="Times New Roman" w:hAnsi="Times New Roman"/>
          <w:b w:val="0"/>
          <w:i w:val="0"/>
          <w:sz w:val="22"/>
        </w:rPr>
        <w:t>Future versions of this dataset may add multi-expert re-annotation of a validation subset to establish inter-rater reliability, apply automated sleep staging to multi-day recordings, and develop a curated bank of teaching cases with an interactive web application for EEG education. We also hope to publish updates to the clinical metadata as additional patient documentation becomes available and as the name-linkage procedure is refined to capture more of the long tail of spelling variants.</w:t>
      </w:r>
    </w:p>
    <w:p>
      <w:pPr>
        <w:pStyle w:val="Heading2"/>
      </w:pPr>
      <w:r>
        <w:rPr>
          <w:rFonts w:ascii="Times New Roman" w:hAnsi="Times New Roman"/>
          <w:b/>
          <w:i w:val="0"/>
          <w:sz w:val="24"/>
        </w:rPr>
        <w:t>Data access</w:t>
      </w:r>
    </w:p>
    <w:p>
      <w:r>
        <w:rPr>
          <w:rFonts w:ascii="Times New Roman" w:hAnsi="Times New Roman"/>
          <w:b w:val="0"/>
          <w:i w:val="0"/>
          <w:sz w:val="22"/>
        </w:rPr>
        <w:t xml:space="preserve">The dataset is available through the Brain Data Science Platform (BDSP) at </w:t>
      </w:r>
      <w:hyperlink r:id="rId9">
        <w:r>
          <w:rPr>
            <w:rFonts w:ascii="Times New Roman" w:hAnsi="Times New Roman"/>
            <w:sz w:val="22"/>
            <w:color w:val="0563C1"/>
            <w:u w:val="single"/>
          </w:rPr>
          <w:t xml:space="preserve">https://bdsp.io/content/nf89816gtxbon11kbr9a/1.0/</w:t>
        </w:r>
      </w:hyperlink>
      <w:r>
        <w:rPr>
          <w:rFonts w:ascii="Times New Roman" w:hAnsi="Times New Roman"/>
          <w:b w:val="0"/>
          <w:i w:val="0"/>
          <w:sz w:val="22"/>
        </w:rPr>
        <w:t xml:space="preserve"> (DOI: </w:t>
      </w:r>
      <w:hyperlink r:id="rId10">
        <w:r>
          <w:rPr>
            <w:rFonts w:ascii="Times New Roman" w:hAnsi="Times New Roman"/>
            <w:sz w:val="22"/>
            <w:color w:val="0563C1"/>
            <w:u w:val="single"/>
          </w:rPr>
          <w:t xml:space="preserve">https://doi.org/10.60508/v99k-ek82</w:t>
        </w:r>
      </w:hyperlink>
      <w:r>
        <w:rPr>
          <w:rFonts w:ascii="Times New Roman" w:hAnsi="Times New Roman"/>
          <w:b w:val="0"/>
          <w:i w:val="0"/>
          <w:sz w:val="22"/>
        </w:rPr>
        <w:t xml:space="preserve">), hosted at s3://bdsp-opendata-repository/EEG/bids/Neurotech/. Access requires a data use agreement (DUA); register at </w:t>
      </w:r>
      <w:hyperlink r:id="rId11">
        <w:r>
          <w:rPr>
            <w:rFonts w:ascii="Times New Roman" w:hAnsi="Times New Roman"/>
            <w:sz w:val="22"/>
            <w:color w:val="0563C1"/>
            <w:u w:val="single"/>
          </w:rPr>
          <w:t xml:space="preserve">https://bdsp.io</w:t>
        </w:r>
      </w:hyperlink>
      <w:r>
        <w:rPr>
          <w:rFonts w:ascii="Times New Roman" w:hAnsi="Times New Roman"/>
          <w:b w:val="0"/>
          <w:i w:val="0"/>
          <w:sz w:val="22"/>
        </w:rPr>
        <w:t>.</w:t>
      </w:r>
      <w:r>
        <w:rPr>
          <w:rFonts w:ascii="Times New Roman" w:hAnsi="Times New Roman"/>
          <w:b w:val="0"/>
          <w:i w:val="0"/>
          <w:sz w:val="22"/>
        </w:rPr>
        <w:t xml:space="preserve"> The dataset is formatted according to BIDS-EEG v1.7.0 and can be read using standard tools including MNE-Python, MNE-BIDS, pyedflib, and edfio.</w:t>
      </w:r>
    </w:p>
    <w:p>
      <w:pPr>
        <w:pStyle w:val="Heading2"/>
      </w:pPr>
      <w:r>
        <w:rPr>
          <w:rFonts w:ascii="Times New Roman" w:hAnsi="Times New Roman"/>
          <w:b/>
          <w:i w:val="0"/>
          <w:sz w:val="24"/>
        </w:rPr>
        <w:t>Code availability</w:t>
      </w:r>
    </w:p>
    <w:p>
      <w:r>
        <w:rPr>
          <w:rFonts w:ascii="Times New Roman" w:hAnsi="Times New Roman"/>
          <w:b w:val="0"/>
          <w:i w:val="0"/>
          <w:sz w:val="22"/>
        </w:rPr>
        <w:t xml:space="preserve">Code for the BIDS conversion pipeline, de-identification procedures, and annotation extraction is available at </w:t>
      </w:r>
      <w:hyperlink r:id="rId12">
        <w:r>
          <w:rPr>
            <w:rFonts w:ascii="Times New Roman" w:hAnsi="Times New Roman"/>
            <w:sz w:val="22"/>
            <w:color w:val="0563C1"/>
            <w:u w:val="single"/>
          </w:rPr>
          <w:t xml:space="preserve">https://github.com/bdsp-core/Neurotech-EEG-Wrangling</w:t>
        </w:r>
      </w:hyperlink>
      <w:r>
        <w:rPr>
          <w:rFonts w:ascii="Times New Roman" w:hAnsi="Times New Roman"/>
          <w:b w:val="0"/>
          <w:i w:val="0"/>
          <w:sz w:val="22"/>
        </w:rPr>
        <w:t>.</w:t>
      </w:r>
      <w:r>
        <w:rPr>
          <w:rFonts w:ascii="Times New Roman" w:hAnsi="Times New Roman"/>
          <w:b w:val="0"/>
          <w:i w:val="0"/>
          <w:sz w:val="22"/>
        </w:rPr>
        <w:t xml:space="preserve"> Every quantitative result in this manuscript can be regenerated from de-identified data via reproduce_manuscript_numbers.py; see REPRODUCIBILITY.md. EEG and annotation statistics are additionally reproducible directly from the public BIDS dataset (compute_eeg_stats_from_s3.py).</w:t>
      </w:r>
    </w:p>
    <w:p>
      <w:pPr>
        <w:pStyle w:val="Heading1"/>
      </w:pPr>
      <w:r>
        <w:rPr>
          <w:rFonts w:ascii="Times New Roman" w:hAnsi="Times New Roman"/>
          <w:b/>
          <w:i w:val="0"/>
          <w:sz w:val="28"/>
        </w:rPr>
        <w:t>Figure Legends</w:t>
      </w:r>
    </w:p>
    <w:p>
      <w:pPr>
        <w:jc w:val="center"/>
      </w:pPr>
      <w:r>
        <w:drawing>
          <wp:inline xmlns:a="http://schemas.openxmlformats.org/drawingml/2006/main" xmlns:pic="http://schemas.openxmlformats.org/drawingml/2006/picture">
            <wp:extent cx="5486400" cy="2324456"/>
            <wp:docPr id="1" name="Picture 1"/>
            <wp:cNvGraphicFramePr>
              <a:graphicFrameLocks noChangeAspect="1"/>
            </wp:cNvGraphicFramePr>
            <a:graphic>
              <a:graphicData uri="http://schemas.openxmlformats.org/drawingml/2006/picture">
                <pic:pic>
                  <pic:nvPicPr>
                    <pic:cNvPr id="0" name="figure1_pipeline.png"/>
                    <pic:cNvPicPr/>
                  </pic:nvPicPr>
                  <pic:blipFill>
                    <a:blip r:embed="rId13"/>
                    <a:stretch>
                      <a:fillRect/>
                    </a:stretch>
                  </pic:blipFill>
                  <pic:spPr>
                    <a:xfrm>
                      <a:off x="0" y="0"/>
                      <a:ext cx="5486400" cy="2324456"/>
                    </a:xfrm>
                    <a:prstGeom prst="rect"/>
                  </pic:spPr>
                </pic:pic>
              </a:graphicData>
            </a:graphic>
          </wp:inline>
        </w:drawing>
      </w:r>
    </w:p>
    <w:p>
      <w:pPr>
        <w:spacing w:after="240"/>
      </w:pPr>
      <w:r>
        <w:rPr>
          <w:rFonts w:ascii="Times New Roman" w:hAnsi="Times New Roman"/>
          <w:b/>
          <w:i w:val="0"/>
          <w:sz w:val="22"/>
        </w:rPr>
        <w:t>Figure 1.</w:t>
      </w:r>
      <w:r>
        <w:rPr>
          <w:rFonts w:ascii="Times New Roman" w:hAnsi="Times New Roman"/>
          <w:b w:val="0"/>
          <w:i w:val="0"/>
          <w:sz w:val="22"/>
        </w:rPr>
        <w:t xml:space="preserve"> Data pipeline from clinical recording to public release. 23,607 EEG recordings from 4,914 patients (2021-2025) totaling 212,186 hours were de-identified through header scrubbing, per-patient date shifting (uniform random offset of +/- 365 days), and automated name replacement in free text, converted to BIDS-EEG format, and released through the Brain Data Science Platform (BDSP) via data use agreement.</w:t>
      </w:r>
    </w:p>
    <w:p>
      <w:pPr>
        <w:jc w:val="center"/>
      </w:pPr>
      <w:r>
        <w:drawing>
          <wp:inline xmlns:a="http://schemas.openxmlformats.org/drawingml/2006/main" xmlns:pic="http://schemas.openxmlformats.org/drawingml/2006/picture">
            <wp:extent cx="5486400" cy="1714857"/>
            <wp:docPr id="2" name="Picture 2"/>
            <wp:cNvGraphicFramePr>
              <a:graphicFrameLocks noChangeAspect="1"/>
            </wp:cNvGraphicFramePr>
            <a:graphic>
              <a:graphicData uri="http://schemas.openxmlformats.org/drawingml/2006/picture">
                <pic:pic>
                  <pic:nvPicPr>
                    <pic:cNvPr id="0" name="figure2_dataset_positioning.png"/>
                    <pic:cNvPicPr/>
                  </pic:nvPicPr>
                  <pic:blipFill>
                    <a:blip r:embed="rId14"/>
                    <a:stretch>
                      <a:fillRect/>
                    </a:stretch>
                  </pic:blipFill>
                  <pic:spPr>
                    <a:xfrm>
                      <a:off x="0" y="0"/>
                      <a:ext cx="5486400" cy="1714857"/>
                    </a:xfrm>
                    <a:prstGeom prst="rect"/>
                  </pic:spPr>
                </pic:pic>
              </a:graphicData>
            </a:graphic>
          </wp:inline>
        </w:drawing>
      </w:r>
    </w:p>
    <w:p>
      <w:pPr>
        <w:spacing w:after="240"/>
      </w:pPr>
      <w:r>
        <w:rPr>
          <w:rFonts w:ascii="Times New Roman" w:hAnsi="Times New Roman"/>
          <w:b/>
          <w:i w:val="0"/>
          <w:sz w:val="22"/>
        </w:rPr>
        <w:t>Figure 2.</w:t>
      </w:r>
      <w:r>
        <w:rPr>
          <w:rFonts w:ascii="Times New Roman" w:hAnsi="Times New Roman"/>
          <w:b w:val="0"/>
          <w:i w:val="0"/>
          <w:sz w:val="22"/>
        </w:rPr>
        <w:t xml:space="preserve"> Dataset positioning. (A) Distribution of EDF segment duration on a logarithmic scale (n = 23,607 EDFs with parseable signal data). Dashed lines indicate approximate boundaries between routine EEGs (&lt;1 hour), ambulatory/short-term monitoring (1-24 hours), and prolonged continuous monitoring (&gt;24 hours). (B) Annotation category breakdown: frequency of 226,486 annotation categories extracted from technician annotation files by keyword matching. Categories are not mutually exclusive. (C) Comparison of the Neurotech EEG Dataset with other clinical EEG datasets by number of patients and total recording hours on a logarithmic scale. The Harvard EEG Database (HEEDB), on the same platform, is far larger overall but comprises in-hospital recordings only; the present dataset uniquely contributes multi-day ambulatory/home recordings.</w:t>
      </w:r>
    </w:p>
    <w:p>
      <w:pPr>
        <w:jc w:val="center"/>
      </w:pPr>
      <w:r>
        <w:drawing>
          <wp:inline xmlns:a="http://schemas.openxmlformats.org/drawingml/2006/main" xmlns:pic="http://schemas.openxmlformats.org/drawingml/2006/picture">
            <wp:extent cx="5486400" cy="2286000"/>
            <wp:docPr id="3" name="Picture 3"/>
            <wp:cNvGraphicFramePr>
              <a:graphicFrameLocks noChangeAspect="1"/>
            </wp:cNvGraphicFramePr>
            <a:graphic>
              <a:graphicData uri="http://schemas.openxmlformats.org/drawingml/2006/picture">
                <pic:pic>
                  <pic:nvPicPr>
                    <pic:cNvPr id="0" name="figure3_patient_characteristics.png"/>
                    <pic:cNvPicPr/>
                  </pic:nvPicPr>
                  <pic:blipFill>
                    <a:blip r:embed="rId15"/>
                    <a:stretch>
                      <a:fillRect/>
                    </a:stretch>
                  </pic:blipFill>
                  <pic:spPr>
                    <a:xfrm>
                      <a:off x="0" y="0"/>
                      <a:ext cx="5486400" cy="2286000"/>
                    </a:xfrm>
                    <a:prstGeom prst="rect"/>
                  </pic:spPr>
                </pic:pic>
              </a:graphicData>
            </a:graphic>
          </wp:inline>
        </w:drawing>
      </w:r>
    </w:p>
    <w:p>
      <w:pPr>
        <w:spacing w:after="240"/>
      </w:pPr>
      <w:r>
        <w:rPr>
          <w:rFonts w:ascii="Times New Roman" w:hAnsi="Times New Roman"/>
          <w:b/>
          <w:i w:val="0"/>
          <w:sz w:val="22"/>
        </w:rPr>
        <w:t>Figure 3.</w:t>
      </w:r>
      <w:r>
        <w:rPr>
          <w:rFonts w:ascii="Times New Roman" w:hAnsi="Times New Roman"/>
          <w:b w:val="0"/>
          <w:i w:val="0"/>
          <w:sz w:val="22"/>
        </w:rPr>
        <w:t xml:space="preserve"> Patient characteristics. (A) Distribution of referral indications by ICD-10 code category (n=13,049 diagnosis codes from intake forms). Epilepsy (G40.x) is the most common indication, followed by unspecified convulsions (R56.x). (B) Age distribution at first EEG (n=2,915 patients with available date of birth), showing a bimodal pattern with a pediatric peak (5-15 years) and a broad adult distribution. Median age 27 years (dashed line).</w:t>
      </w:r>
    </w:p>
    <w:p>
      <w:pPr>
        <w:jc w:val="center"/>
      </w:pPr>
      <w:r>
        <w:drawing>
          <wp:inline xmlns:a="http://schemas.openxmlformats.org/drawingml/2006/main" xmlns:pic="http://schemas.openxmlformats.org/drawingml/2006/picture">
            <wp:extent cx="5486400" cy="1828800"/>
            <wp:docPr id="4" name="Picture 4"/>
            <wp:cNvGraphicFramePr>
              <a:graphicFrameLocks noChangeAspect="1"/>
            </wp:cNvGraphicFramePr>
            <a:graphic>
              <a:graphicData uri="http://schemas.openxmlformats.org/drawingml/2006/picture">
                <pic:pic>
                  <pic:nvPicPr>
                    <pic:cNvPr id="0" name="figure4_eeg_findings.png"/>
                    <pic:cNvPicPr/>
                  </pic:nvPicPr>
                  <pic:blipFill>
                    <a:blip r:embed="rId16"/>
                    <a:stretch>
                      <a:fillRect/>
                    </a:stretch>
                  </pic:blipFill>
                  <pic:spPr>
                    <a:xfrm>
                      <a:off x="0" y="0"/>
                      <a:ext cx="5486400" cy="1828800"/>
                    </a:xfrm>
                    <a:prstGeom prst="rect"/>
                  </pic:spPr>
                </pic:pic>
              </a:graphicData>
            </a:graphic>
          </wp:inline>
        </w:drawing>
      </w:r>
    </w:p>
    <w:p>
      <w:pPr>
        <w:spacing w:after="240"/>
      </w:pPr>
      <w:r>
        <w:rPr>
          <w:rFonts w:ascii="Times New Roman" w:hAnsi="Times New Roman"/>
          <w:b/>
          <w:i w:val="0"/>
          <w:sz w:val="22"/>
        </w:rPr>
        <w:t>Figure 4.</w:t>
      </w:r>
      <w:r>
        <w:rPr>
          <w:rFonts w:ascii="Times New Roman" w:hAnsi="Times New Roman"/>
          <w:b w:val="0"/>
          <w:i w:val="0"/>
          <w:sz w:val="22"/>
        </w:rPr>
        <w:t xml:space="preserve"> EEG findings. (A) Distribution of posterior dominant rhythm (PDR) frequency extracted from technologist scan reports (n=8,057 studies with extractable PDR). The peak at 9-10 Hz and right-skewed distribution are consistent with normal physiological values; the green shading indicates the normal adult range (8-13 Hz). (B) Heatmap of interictal epileptiform discharge (IED) morphology by spatial distribution across 6,345 studies with documented IEDs. Values represent the number of studies with each morphology-distribution combination. (C) Seizure capture rate: 2,379 of 10,726 studies (22%) had electrographic seizures documented by the scanning technologist.</w:t>
      </w:r>
    </w:p>
    <w:p>
      <w:pPr>
        <w:pStyle w:val="Heading1"/>
      </w:pPr>
      <w:r>
        <w:rPr>
          <w:rFonts w:ascii="Times New Roman" w:hAnsi="Times New Roman"/>
          <w:b/>
          <w:i w:val="0"/>
          <w:sz w:val="28"/>
        </w:rPr>
        <w:t>References</w:t>
      </w:r>
    </w:p>
    <w:p>
      <w:pPr>
        <w:ind w:left="360" w:hanging="360"/>
      </w:pPr>
      <w:r>
        <w:rPr>
          <w:rFonts w:ascii="Times New Roman" w:hAnsi="Times New Roman"/>
          <w:b w:val="0"/>
          <w:i w:val="0"/>
          <w:sz w:val="22"/>
        </w:rPr>
        <w:t xml:space="preserve">1. Noachtar, S. &amp; Remi, J. The role of EEG in epilepsy: a critical review. </w:t>
      </w:r>
      <w:r>
        <w:rPr>
          <w:rFonts w:ascii="Times New Roman" w:hAnsi="Times New Roman"/>
          <w:b w:val="0"/>
          <w:i/>
          <w:sz w:val="22"/>
        </w:rPr>
        <w:t>Epilepsy Behav.</w:t>
      </w:r>
      <w:r>
        <w:rPr>
          <w:rFonts w:ascii="Times New Roman" w:hAnsi="Times New Roman"/>
          <w:b w:val="0"/>
          <w:i w:val="0"/>
          <w:sz w:val="22"/>
        </w:rPr>
        <w:t xml:space="preserve"> 15, 22-33 (2009).</w:t>
      </w:r>
    </w:p>
    <w:p>
      <w:pPr>
        <w:ind w:left="360" w:hanging="360"/>
      </w:pPr>
      <w:r>
        <w:rPr>
          <w:rFonts w:ascii="Times New Roman" w:hAnsi="Times New Roman"/>
          <w:b w:val="0"/>
          <w:i w:val="0"/>
          <w:sz w:val="22"/>
        </w:rPr>
        <w:t xml:space="preserve">2. Roy, Y. et al. Deep learning-based electroencephalography analysis: a systematic review. </w:t>
      </w:r>
      <w:r>
        <w:rPr>
          <w:rFonts w:ascii="Times New Roman" w:hAnsi="Times New Roman"/>
          <w:b w:val="0"/>
          <w:i/>
          <w:sz w:val="22"/>
        </w:rPr>
        <w:t>J. Neural Eng.</w:t>
      </w:r>
      <w:r>
        <w:rPr>
          <w:rFonts w:ascii="Times New Roman" w:hAnsi="Times New Roman"/>
          <w:b w:val="0"/>
          <w:i w:val="0"/>
          <w:sz w:val="22"/>
        </w:rPr>
        <w:t xml:space="preserve"> 16, 051001 (2019).</w:t>
      </w:r>
    </w:p>
    <w:p>
      <w:pPr>
        <w:ind w:left="360" w:hanging="360"/>
      </w:pPr>
      <w:r>
        <w:rPr>
          <w:rFonts w:ascii="Times New Roman" w:hAnsi="Times New Roman"/>
          <w:b w:val="0"/>
          <w:i w:val="0"/>
          <w:sz w:val="22"/>
        </w:rPr>
        <w:t xml:space="preserve">3. Shoeb, A. &amp; Guttag, J. Application of machine learning to epileptic seizure detection. </w:t>
      </w:r>
      <w:r>
        <w:rPr>
          <w:rFonts w:ascii="Times New Roman" w:hAnsi="Times New Roman"/>
          <w:b w:val="0"/>
          <w:i/>
          <w:sz w:val="22"/>
        </w:rPr>
        <w:t>Proc. ICML</w:t>
      </w:r>
      <w:r>
        <w:rPr>
          <w:rFonts w:ascii="Times New Roman" w:hAnsi="Times New Roman"/>
          <w:b w:val="0"/>
          <w:i w:val="0"/>
          <w:sz w:val="22"/>
        </w:rPr>
        <w:t xml:space="preserve"> (2010). [CHB-MIT]</w:t>
      </w:r>
    </w:p>
    <w:p>
      <w:pPr>
        <w:ind w:left="360" w:hanging="360"/>
      </w:pPr>
      <w:r>
        <w:rPr>
          <w:rFonts w:ascii="Times New Roman" w:hAnsi="Times New Roman"/>
          <w:b w:val="0"/>
          <w:i w:val="0"/>
          <w:sz w:val="22"/>
        </w:rPr>
        <w:t xml:space="preserve">4. Andrzejak, R.G. et al. Indications of nonlinear deterministic and finite-dimensional structures in time series of brain electrical activity. </w:t>
      </w:r>
      <w:r>
        <w:rPr>
          <w:rFonts w:ascii="Times New Roman" w:hAnsi="Times New Roman"/>
          <w:b w:val="0"/>
          <w:i/>
          <w:sz w:val="22"/>
        </w:rPr>
        <w:t>Phys. Rev. E</w:t>
      </w:r>
      <w:r>
        <w:rPr>
          <w:rFonts w:ascii="Times New Roman" w:hAnsi="Times New Roman"/>
          <w:b w:val="0"/>
          <w:i w:val="0"/>
          <w:sz w:val="22"/>
        </w:rPr>
        <w:t xml:space="preserve"> 64, 061907 (2001). [Bonn dataset]</w:t>
      </w:r>
    </w:p>
    <w:p>
      <w:pPr>
        <w:ind w:left="360" w:hanging="360"/>
      </w:pPr>
      <w:r>
        <w:rPr>
          <w:rFonts w:ascii="Times New Roman" w:hAnsi="Times New Roman"/>
          <w:b w:val="0"/>
          <w:i w:val="0"/>
          <w:sz w:val="22"/>
        </w:rPr>
        <w:t xml:space="preserve">5. Detti, P. et al. EEG synchronization analysis for seizure prediction: a study on data of noninvasive recordings. </w:t>
      </w:r>
      <w:r>
        <w:rPr>
          <w:rFonts w:ascii="Times New Roman" w:hAnsi="Times New Roman"/>
          <w:b w:val="0"/>
          <w:i/>
          <w:sz w:val="22"/>
        </w:rPr>
        <w:t>Processes</w:t>
      </w:r>
      <w:r>
        <w:rPr>
          <w:rFonts w:ascii="Times New Roman" w:hAnsi="Times New Roman"/>
          <w:b w:val="0"/>
          <w:i w:val="0"/>
          <w:sz w:val="22"/>
        </w:rPr>
        <w:t xml:space="preserve"> 8, 846 (2020). [Siena dataset]</w:t>
      </w:r>
    </w:p>
    <w:p>
      <w:pPr>
        <w:ind w:left="360" w:hanging="360"/>
      </w:pPr>
      <w:r>
        <w:rPr>
          <w:rFonts w:ascii="Times New Roman" w:hAnsi="Times New Roman"/>
          <w:b w:val="0"/>
          <w:i w:val="0"/>
          <w:sz w:val="22"/>
        </w:rPr>
        <w:t xml:space="preserve">6. Gemein, L.A.W. et al. Machine-learning-based diagnostics of EEG pathology. </w:t>
      </w:r>
      <w:r>
        <w:rPr>
          <w:rFonts w:ascii="Times New Roman" w:hAnsi="Times New Roman"/>
          <w:b w:val="0"/>
          <w:i/>
          <w:sz w:val="22"/>
        </w:rPr>
        <w:t>NeuroImage</w:t>
      </w:r>
      <w:r>
        <w:rPr>
          <w:rFonts w:ascii="Times New Roman" w:hAnsi="Times New Roman"/>
          <w:b w:val="0"/>
          <w:i w:val="0"/>
          <w:sz w:val="22"/>
        </w:rPr>
        <w:t xml:space="preserve"> 220, 117021 (2020).</w:t>
      </w:r>
    </w:p>
    <w:p>
      <w:pPr>
        <w:ind w:left="360" w:hanging="360"/>
      </w:pPr>
      <w:r>
        <w:rPr>
          <w:rFonts w:ascii="Times New Roman" w:hAnsi="Times New Roman"/>
          <w:b w:val="0"/>
          <w:i w:val="0"/>
          <w:sz w:val="22"/>
        </w:rPr>
        <w:t xml:space="preserve">7. Obeid, I. &amp; Picone, J. The Temple University Hospital EEG Data Corpus. </w:t>
      </w:r>
      <w:r>
        <w:rPr>
          <w:rFonts w:ascii="Times New Roman" w:hAnsi="Times New Roman"/>
          <w:b w:val="0"/>
          <w:i/>
          <w:sz w:val="22"/>
        </w:rPr>
        <w:t>Front. Neurosci.</w:t>
      </w:r>
      <w:r>
        <w:rPr>
          <w:rFonts w:ascii="Times New Roman" w:hAnsi="Times New Roman"/>
          <w:b w:val="0"/>
          <w:i w:val="0"/>
          <w:sz w:val="22"/>
        </w:rPr>
        <w:t xml:space="preserve"> 10, 196 (2016).</w:t>
      </w:r>
    </w:p>
    <w:p>
      <w:pPr>
        <w:ind w:left="360" w:hanging="360"/>
      </w:pPr>
      <w:r>
        <w:rPr>
          <w:rFonts w:ascii="Times New Roman" w:hAnsi="Times New Roman"/>
          <w:b w:val="0"/>
          <w:i w:val="0"/>
          <w:sz w:val="22"/>
        </w:rPr>
        <w:t xml:space="preserve">8. Pernet, C.R. et al. EEG-BIDS, an extension to the brain imaging data structure for electroencephalography. </w:t>
      </w:r>
      <w:r>
        <w:rPr>
          <w:rFonts w:ascii="Times New Roman" w:hAnsi="Times New Roman"/>
          <w:b w:val="0"/>
          <w:i/>
          <w:sz w:val="22"/>
        </w:rPr>
        <w:t>Sci. Data</w:t>
      </w:r>
      <w:r>
        <w:rPr>
          <w:rFonts w:ascii="Times New Roman" w:hAnsi="Times New Roman"/>
          <w:b w:val="0"/>
          <w:i w:val="0"/>
          <w:sz w:val="22"/>
        </w:rPr>
        <w:t xml:space="preserve"> 6, 103 (2019).</w:t>
      </w:r>
    </w:p>
    <w:p>
      <w:pPr>
        <w:ind w:left="360" w:hanging="360"/>
      </w:pPr>
      <w:r>
        <w:rPr>
          <w:rFonts w:ascii="Times New Roman" w:hAnsi="Times New Roman"/>
          <w:b w:val="0"/>
          <w:i w:val="0"/>
          <w:sz w:val="22"/>
        </w:rPr>
        <w:t xml:space="preserve">9. World Health Organization. </w:t>
      </w:r>
      <w:r>
        <w:rPr>
          <w:rFonts w:ascii="Times New Roman" w:hAnsi="Times New Roman"/>
          <w:b w:val="0"/>
          <w:i/>
          <w:sz w:val="22"/>
        </w:rPr>
        <w:t>Epilepsy: A Public Health Imperative</w:t>
      </w:r>
      <w:r>
        <w:rPr>
          <w:rFonts w:ascii="Times New Roman" w:hAnsi="Times New Roman"/>
          <w:b w:val="0"/>
          <w:i w:val="0"/>
          <w:sz w:val="22"/>
        </w:rPr>
        <w:t xml:space="preserve"> (WHO, Geneva, 2019).</w:t>
      </w:r>
    </w:p>
    <w:p>
      <w:pPr>
        <w:ind w:left="360" w:hanging="360"/>
      </w:pPr>
      <w:r>
        <w:rPr>
          <w:rFonts w:ascii="Times New Roman" w:hAnsi="Times New Roman"/>
          <w:b w:val="0"/>
          <w:i w:val="0"/>
          <w:sz w:val="22"/>
        </w:rPr>
        <w:t xml:space="preserve">10. Gorgolewski, K.J. et al. The brain imaging data structure, a format for organizing and describing outputs of neuroimaging experiments. </w:t>
      </w:r>
      <w:r>
        <w:rPr>
          <w:rFonts w:ascii="Times New Roman" w:hAnsi="Times New Roman"/>
          <w:b w:val="0"/>
          <w:i/>
          <w:sz w:val="22"/>
        </w:rPr>
        <w:t>Sci. Data</w:t>
      </w:r>
      <w:r>
        <w:rPr>
          <w:rFonts w:ascii="Times New Roman" w:hAnsi="Times New Roman"/>
          <w:b w:val="0"/>
          <w:i w:val="0"/>
          <w:sz w:val="22"/>
        </w:rPr>
        <w:t xml:space="preserve"> 3, 160044 (2016).</w:t>
      </w:r>
    </w:p>
    <w:p>
      <w:pPr>
        <w:ind w:left="360" w:hanging="360"/>
      </w:pPr>
      <w:r>
        <w:rPr>
          <w:rFonts w:ascii="Times New Roman" w:hAnsi="Times New Roman"/>
          <w:b w:val="0"/>
          <w:i w:val="0"/>
          <w:sz w:val="22"/>
        </w:rPr>
        <w:t xml:space="preserve">11. Sun, C. et al. Harvard Electroencephalography Database: a comprehensive clinical electroencephalographic resource from four Boston hospitals. </w:t>
      </w:r>
      <w:r>
        <w:rPr>
          <w:rFonts w:ascii="Times New Roman" w:hAnsi="Times New Roman"/>
          <w:b w:val="0"/>
          <w:i/>
          <w:sz w:val="22"/>
        </w:rPr>
        <w:t>Epilepsia</w:t>
      </w:r>
      <w:r>
        <w:rPr>
          <w:rFonts w:ascii="Times New Roman" w:hAnsi="Times New Roman"/>
          <w:b w:val="0"/>
          <w:i w:val="0"/>
          <w:sz w:val="22"/>
        </w:rPr>
        <w:t xml:space="preserve"> (2025). doi:10.1111/epi.18487.</w:t>
      </w:r>
    </w:p>
    <w:p>
      <w:pPr>
        <w:ind w:left="360" w:hanging="360"/>
      </w:pPr>
      <w:r>
        <w:rPr>
          <w:rFonts w:ascii="Times New Roman" w:hAnsi="Times New Roman"/>
          <w:b w:val="0"/>
          <w:i w:val="0"/>
          <w:sz w:val="22"/>
        </w:rPr>
        <w:t xml:space="preserve">12. Xu, L. et al. Cross-dataset variability problem in EEG decoding with deep learning. </w:t>
      </w:r>
      <w:r>
        <w:rPr>
          <w:rFonts w:ascii="Times New Roman" w:hAnsi="Times New Roman"/>
          <w:b w:val="0"/>
          <w:i/>
          <w:sz w:val="22"/>
        </w:rPr>
        <w:t>Front. Hum. Neurosci.</w:t>
      </w:r>
      <w:r>
        <w:rPr>
          <w:rFonts w:ascii="Times New Roman" w:hAnsi="Times New Roman"/>
          <w:b w:val="0"/>
          <w:i w:val="0"/>
          <w:sz w:val="22"/>
        </w:rPr>
        <w:t xml:space="preserve"> 14, 103 (2020).</w:t>
      </w:r>
    </w:p>
    <w:p>
      <w:pPr>
        <w:pStyle w:val="Heading1"/>
      </w:pPr>
      <w:r>
        <w:rPr>
          <w:rFonts w:ascii="Times New Roman" w:hAnsi="Times New Roman"/>
          <w:b/>
          <w:i w:val="0"/>
          <w:sz w:val="28"/>
        </w:rPr>
        <w:t>Conflicts of Interest</w:t>
      </w:r>
    </w:p>
    <w:p>
      <w:r>
        <w:rPr>
          <w:rFonts w:ascii="Times New Roman" w:hAnsi="Times New Roman"/>
          <w:b w:val="0"/>
          <w:i w:val="0"/>
          <w:sz w:val="22"/>
        </w:rPr>
        <w:t>MBW is a co-founder, scientific advisor, consultant to, and has personal equity interest in Beacon Biosignals. KM, CP, and MG are employees of Neurotech. DMG has been provided speaker fees from Harvard Medical School, AAN, AES, ACNS, NNS, AI in Epilepsy and Neurology, Florida Epilepsy Alliance, and UT-Austin. He also previously has been a paid consultant for Neuro Event Labs, IDR, LivaNova, Health Advances, Duke University, Bloom Insights and Wiley. He has received grants from NIH, ABPN, BIDMC and the Lions Club. The other authors declare that they have no conflicts of interest.</w:t>
      </w:r>
    </w:p>
    <w:p>
      <w:pPr>
        <w:pStyle w:val="Heading1"/>
      </w:pPr>
      <w:r>
        <w:rPr>
          <w:rFonts w:ascii="Times New Roman" w:hAnsi="Times New Roman"/>
          <w:b/>
          <w:i w:val="0"/>
          <w:sz w:val="28"/>
        </w:rPr>
        <w:t>Funding</w:t>
      </w:r>
    </w:p>
    <w:p>
      <w:r>
        <w:rPr>
          <w:rFonts w:ascii="Times New Roman" w:hAnsi="Times New Roman"/>
          <w:b w:val="0"/>
          <w:i w:val="0"/>
          <w:sz w:val="22"/>
        </w:rPr>
        <w:t>MBW receives research funding from the NIH (RF1AG064312, RF1NS120947, R01AG073410, R01HL161253, R01NS126282, R01AG073598, R01NS131347, R01NS130119, R01NS131347). DMG receives research funding from the NIH (K23NS124656, R21NS142800) and the ABPN.</w:t>
      </w:r>
    </w:p>
    <w:p>
      <w:pPr>
        <w:pStyle w:val="Heading1"/>
      </w:pPr>
      <w:r>
        <w:rPr>
          <w:rFonts w:ascii="Times New Roman" w:hAnsi="Times New Roman"/>
          <w:b/>
          <w:i w:val="0"/>
          <w:sz w:val="28"/>
        </w:rPr>
        <w:t>Supplementary Material</w:t>
      </w:r>
    </w:p>
    <w:p>
      <w:pPr>
        <w:pStyle w:val="Heading2"/>
      </w:pPr>
      <w:r>
        <w:rPr>
          <w:rFonts w:ascii="Times New Roman" w:hAnsi="Times New Roman"/>
          <w:b/>
          <w:i w:val="0"/>
          <w:sz w:val="24"/>
        </w:rPr>
        <w:t>Supplementary Tables</w:t>
      </w:r>
    </w:p>
    <w:p>
      <w:pPr>
        <w:spacing w:after="120"/>
      </w:pPr>
      <w:r>
        <w:rPr>
          <w:rFonts w:ascii="Times New Roman" w:hAnsi="Times New Roman"/>
          <w:b/>
          <w:i w:val="0"/>
          <w:sz w:val="22"/>
        </w:rPr>
        <w:t>Supplementary Table 1. Recording duration categories.</w:t>
      </w:r>
      <w:r>
        <w:rPr>
          <w:rFonts w:ascii="Times New Roman" w:hAnsi="Times New Roman"/>
          <w:b w:val="0"/>
          <w:i w:val="0"/>
          <w:sz w:val="22"/>
        </w:rPr>
        <w:t xml:space="preserve"> The majority of recordings represent ambulatory or short-term monitoring studies.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18"/>
              </w:rPr>
              <w:t>Category</w:t>
            </w:r>
          </w:p>
        </w:tc>
        <w:tc>
          <w:tcPr>
            <w:tcW w:type="dxa" w:w="2160"/>
          </w:tcPr>
          <w:p>
            <w:r/>
            <w:r>
              <w:rPr>
                <w:rFonts w:ascii="Times New Roman" w:hAnsi="Times New Roman"/>
                <w:b/>
                <w:i w:val="0"/>
                <w:sz w:val="18"/>
              </w:rPr>
              <w:t>Duration</w:t>
            </w:r>
          </w:p>
        </w:tc>
        <w:tc>
          <w:tcPr>
            <w:tcW w:type="dxa" w:w="2160"/>
          </w:tcPr>
          <w:p>
            <w:r/>
            <w:r>
              <w:rPr>
                <w:rFonts w:ascii="Times New Roman" w:hAnsi="Times New Roman"/>
                <w:b/>
                <w:i w:val="0"/>
                <w:sz w:val="18"/>
              </w:rPr>
              <w:t>N segments (%)</w:t>
            </w:r>
          </w:p>
        </w:tc>
        <w:tc>
          <w:tcPr>
            <w:tcW w:type="dxa" w:w="2160"/>
          </w:tcPr>
          <w:p>
            <w:r/>
            <w:r>
              <w:rPr>
                <w:rFonts w:ascii="Times New Roman" w:hAnsi="Times New Roman"/>
                <w:b/>
                <w:i w:val="0"/>
                <w:sz w:val="18"/>
              </w:rPr>
              <w:t>Likely clinical setting</w:t>
            </w:r>
          </w:p>
        </w:tc>
      </w:tr>
      <w:tr>
        <w:tc>
          <w:tcPr>
            <w:tcW w:type="dxa" w:w="2160"/>
          </w:tcPr>
          <w:p>
            <w:r/>
            <w:r>
              <w:rPr>
                <w:rFonts w:ascii="Times New Roman" w:hAnsi="Times New Roman"/>
                <w:b w:val="0"/>
                <w:i w:val="0"/>
                <w:sz w:val="18"/>
              </w:rPr>
              <w:t>Routine</w:t>
            </w:r>
          </w:p>
        </w:tc>
        <w:tc>
          <w:tcPr>
            <w:tcW w:type="dxa" w:w="2160"/>
          </w:tcPr>
          <w:p>
            <w:r/>
            <w:r>
              <w:rPr>
                <w:rFonts w:ascii="Times New Roman" w:hAnsi="Times New Roman"/>
                <w:b w:val="0"/>
                <w:i w:val="0"/>
                <w:sz w:val="18"/>
              </w:rPr>
              <w:t>&lt; 1 hour</w:t>
            </w:r>
          </w:p>
        </w:tc>
        <w:tc>
          <w:tcPr>
            <w:tcW w:type="dxa" w:w="2160"/>
          </w:tcPr>
          <w:p>
            <w:r/>
            <w:r>
              <w:rPr>
                <w:rFonts w:ascii="Times New Roman" w:hAnsi="Times New Roman"/>
                <w:b w:val="0"/>
                <w:i w:val="0"/>
                <w:sz w:val="18"/>
              </w:rPr>
              <w:t>8,545 (36%)</w:t>
            </w:r>
          </w:p>
        </w:tc>
        <w:tc>
          <w:tcPr>
            <w:tcW w:type="dxa" w:w="2160"/>
          </w:tcPr>
          <w:p>
            <w:r/>
            <w:r>
              <w:rPr>
                <w:rFonts w:ascii="Times New Roman" w:hAnsi="Times New Roman"/>
                <w:b w:val="0"/>
                <w:i w:val="0"/>
                <w:sz w:val="18"/>
              </w:rPr>
              <w:t>Outpatient EEG</w:t>
            </w:r>
          </w:p>
        </w:tc>
      </w:tr>
      <w:tr>
        <w:tc>
          <w:tcPr>
            <w:tcW w:type="dxa" w:w="2160"/>
          </w:tcPr>
          <w:p>
            <w:r/>
            <w:r>
              <w:rPr>
                <w:rFonts w:ascii="Times New Roman" w:hAnsi="Times New Roman"/>
                <w:b w:val="0"/>
                <w:i w:val="0"/>
                <w:sz w:val="18"/>
              </w:rPr>
              <w:t>Short monitoring</w:t>
            </w:r>
          </w:p>
        </w:tc>
        <w:tc>
          <w:tcPr>
            <w:tcW w:type="dxa" w:w="2160"/>
          </w:tcPr>
          <w:p>
            <w:r/>
            <w:r>
              <w:rPr>
                <w:rFonts w:ascii="Times New Roman" w:hAnsi="Times New Roman"/>
                <w:b w:val="0"/>
                <w:i w:val="0"/>
                <w:sz w:val="18"/>
              </w:rPr>
              <w:t>1 - 24 hours</w:t>
            </w:r>
          </w:p>
        </w:tc>
        <w:tc>
          <w:tcPr>
            <w:tcW w:type="dxa" w:w="2160"/>
          </w:tcPr>
          <w:p>
            <w:r/>
            <w:r>
              <w:rPr>
                <w:rFonts w:ascii="Times New Roman" w:hAnsi="Times New Roman"/>
                <w:b w:val="0"/>
                <w:i w:val="0"/>
                <w:sz w:val="18"/>
              </w:rPr>
              <w:t>12,572 (53%)</w:t>
            </w:r>
          </w:p>
        </w:tc>
        <w:tc>
          <w:tcPr>
            <w:tcW w:type="dxa" w:w="2160"/>
          </w:tcPr>
          <w:p>
            <w:r/>
            <w:r>
              <w:rPr>
                <w:rFonts w:ascii="Times New Roman" w:hAnsi="Times New Roman"/>
                <w:b w:val="0"/>
                <w:i w:val="0"/>
                <w:sz w:val="18"/>
              </w:rPr>
              <w:t>Ambulatory or short-term</w:t>
            </w:r>
          </w:p>
        </w:tc>
      </w:tr>
      <w:tr>
        <w:tc>
          <w:tcPr>
            <w:tcW w:type="dxa" w:w="2160"/>
          </w:tcPr>
          <w:p>
            <w:r/>
            <w:r>
              <w:rPr>
                <w:rFonts w:ascii="Times New Roman" w:hAnsi="Times New Roman"/>
                <w:b w:val="0"/>
                <w:i w:val="0"/>
                <w:sz w:val="18"/>
              </w:rPr>
              <w:t>Prolonged monitoring</w:t>
            </w:r>
          </w:p>
        </w:tc>
        <w:tc>
          <w:tcPr>
            <w:tcW w:type="dxa" w:w="2160"/>
          </w:tcPr>
          <w:p>
            <w:r/>
            <w:r>
              <w:rPr>
                <w:rFonts w:ascii="Times New Roman" w:hAnsi="Times New Roman"/>
                <w:b w:val="0"/>
                <w:i w:val="0"/>
                <w:sz w:val="18"/>
              </w:rPr>
              <w:t>&gt; 24 hours</w:t>
            </w:r>
          </w:p>
        </w:tc>
        <w:tc>
          <w:tcPr>
            <w:tcW w:type="dxa" w:w="2160"/>
          </w:tcPr>
          <w:p>
            <w:r/>
            <w:r>
              <w:rPr>
                <w:rFonts w:ascii="Times New Roman" w:hAnsi="Times New Roman"/>
                <w:b w:val="0"/>
                <w:i w:val="0"/>
                <w:sz w:val="18"/>
              </w:rPr>
              <w:t>2,490 (11%)</w:t>
            </w:r>
          </w:p>
        </w:tc>
        <w:tc>
          <w:tcPr>
            <w:tcW w:type="dxa" w:w="2160"/>
          </w:tcPr>
          <w:p>
            <w:r/>
            <w:r>
              <w:rPr>
                <w:rFonts w:ascii="Times New Roman" w:hAnsi="Times New Roman"/>
                <w:b w:val="0"/>
                <w:i w:val="0"/>
                <w:sz w:val="18"/>
              </w:rPr>
              <w:t>Inpatient continuous EEG or multi-day ambulatory</w:t>
            </w:r>
          </w:p>
        </w:tc>
      </w:tr>
    </w:tbl>
    <w:p/>
    <w:p>
      <w:r>
        <w:rPr>
          <w:rFonts w:ascii="Times New Roman" w:hAnsi="Times New Roman"/>
          <w:b w:val="0"/>
          <w:i/>
          <w:sz w:val="22"/>
        </w:rPr>
        <w:t>Percentages computed over 23,607 EDF files containing recoverable signal data.</w:t>
      </w:r>
    </w:p>
    <w:p>
      <w:pPr>
        <w:spacing w:after="120"/>
      </w:pPr>
      <w:r>
        <w:rPr>
          <w:rFonts w:ascii="Times New Roman" w:hAnsi="Times New Roman"/>
          <w:b/>
          <w:i w:val="0"/>
          <w:sz w:val="22"/>
        </w:rPr>
        <w:t>Supplementary Table 2. Annotation categories.</w:t>
      </w:r>
      <w:r>
        <w:rPr>
          <w:rFonts w:ascii="Times New Roman" w:hAnsi="Times New Roman"/>
          <w:b w:val="0"/>
          <w:i w:val="0"/>
          <w:sz w:val="22"/>
        </w:rPr>
        <w:t xml:space="preserve"> Technician clips and spike markers are the most frequent annotation categories.</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b/>
                <w:i w:val="0"/>
                <w:sz w:val="18"/>
              </w:rPr>
              <w:t>Category</w:t>
            </w:r>
          </w:p>
        </w:tc>
        <w:tc>
          <w:tcPr>
            <w:tcW w:type="dxa" w:w="2880"/>
          </w:tcPr>
          <w:p>
            <w:r/>
            <w:r>
              <w:rPr>
                <w:rFonts w:ascii="Times New Roman" w:hAnsi="Times New Roman"/>
                <w:b/>
                <w:i w:val="0"/>
                <w:sz w:val="18"/>
              </w:rPr>
              <w:t>Events</w:t>
            </w:r>
          </w:p>
        </w:tc>
        <w:tc>
          <w:tcPr>
            <w:tcW w:type="dxa" w:w="2880"/>
          </w:tcPr>
          <w:p>
            <w:r/>
            <w:r>
              <w:rPr>
                <w:rFonts w:ascii="Times New Roman" w:hAnsi="Times New Roman"/>
                <w:b/>
                <w:i w:val="0"/>
                <w:sz w:val="18"/>
              </w:rPr>
              <w:t>Description</w:t>
            </w:r>
          </w:p>
        </w:tc>
      </w:tr>
      <w:tr>
        <w:tc>
          <w:tcPr>
            <w:tcW w:type="dxa" w:w="2880"/>
          </w:tcPr>
          <w:p>
            <w:r/>
            <w:r>
              <w:rPr>
                <w:rFonts w:ascii="Times New Roman" w:hAnsi="Times New Roman"/>
                <w:b w:val="0"/>
                <w:i w:val="0"/>
                <w:sz w:val="18"/>
              </w:rPr>
              <w:t>Technician clips</w:t>
            </w:r>
          </w:p>
        </w:tc>
        <w:tc>
          <w:tcPr>
            <w:tcW w:type="dxa" w:w="2880"/>
          </w:tcPr>
          <w:p>
            <w:r/>
            <w:r>
              <w:rPr>
                <w:rFonts w:ascii="Times New Roman" w:hAnsi="Times New Roman"/>
                <w:b w:val="0"/>
                <w:i w:val="0"/>
                <w:sz w:val="18"/>
              </w:rPr>
              <w:t>53,469</w:t>
            </w:r>
          </w:p>
        </w:tc>
        <w:tc>
          <w:tcPr>
            <w:tcW w:type="dxa" w:w="2880"/>
          </w:tcPr>
          <w:p>
            <w:r/>
            <w:r>
              <w:rPr>
                <w:rFonts w:ascii="Times New Roman" w:hAnsi="Times New Roman"/>
                <w:b w:val="0"/>
                <w:i w:val="0"/>
                <w:sz w:val="18"/>
              </w:rPr>
              <w:t>Segments selected for physician review</w:t>
            </w:r>
          </w:p>
        </w:tc>
      </w:tr>
      <w:tr>
        <w:tc>
          <w:tcPr>
            <w:tcW w:type="dxa" w:w="2880"/>
          </w:tcPr>
          <w:p>
            <w:r/>
            <w:r>
              <w:rPr>
                <w:rFonts w:ascii="Times New Roman" w:hAnsi="Times New Roman"/>
                <w:b w:val="0"/>
                <w:i w:val="0"/>
                <w:sz w:val="18"/>
              </w:rPr>
              <w:t>Spike markers</w:t>
            </w:r>
          </w:p>
        </w:tc>
        <w:tc>
          <w:tcPr>
            <w:tcW w:type="dxa" w:w="2880"/>
          </w:tcPr>
          <w:p>
            <w:r/>
            <w:r>
              <w:rPr>
                <w:rFonts w:ascii="Times New Roman" w:hAnsi="Times New Roman"/>
                <w:b w:val="0"/>
                <w:i w:val="0"/>
                <w:sz w:val="18"/>
              </w:rPr>
              <w:t>50,482</w:t>
            </w:r>
          </w:p>
        </w:tc>
        <w:tc>
          <w:tcPr>
            <w:tcW w:type="dxa" w:w="2880"/>
          </w:tcPr>
          <w:p>
            <w:r/>
            <w:r>
              <w:rPr>
                <w:rFonts w:ascii="Times New Roman" w:hAnsi="Times New Roman"/>
                <w:b w:val="0"/>
                <w:i w:val="0"/>
                <w:sz w:val="18"/>
              </w:rPr>
              <w:t>Interictal epileptiform discharge detections</w:t>
            </w:r>
          </w:p>
        </w:tc>
      </w:tr>
      <w:tr>
        <w:tc>
          <w:tcPr>
            <w:tcW w:type="dxa" w:w="2880"/>
          </w:tcPr>
          <w:p>
            <w:r/>
            <w:r>
              <w:rPr>
                <w:rFonts w:ascii="Times New Roman" w:hAnsi="Times New Roman"/>
                <w:b w:val="0"/>
                <w:i w:val="0"/>
                <w:sz w:val="18"/>
              </w:rPr>
              <w:t>Neurotech free-text comments</w:t>
            </w:r>
          </w:p>
        </w:tc>
        <w:tc>
          <w:tcPr>
            <w:tcW w:type="dxa" w:w="2880"/>
          </w:tcPr>
          <w:p>
            <w:r/>
            <w:r>
              <w:rPr>
                <w:rFonts w:ascii="Times New Roman" w:hAnsi="Times New Roman"/>
                <w:b w:val="0"/>
                <w:i w:val="0"/>
                <w:sz w:val="18"/>
              </w:rPr>
              <w:t>24,267</w:t>
            </w:r>
          </w:p>
        </w:tc>
        <w:tc>
          <w:tcPr>
            <w:tcW w:type="dxa" w:w="2880"/>
          </w:tcPr>
          <w:p>
            <w:r/>
            <w:r>
              <w:rPr>
                <w:rFonts w:ascii="Times New Roman" w:hAnsi="Times New Roman"/>
                <w:b w:val="0"/>
                <w:i w:val="0"/>
                <w:sz w:val="18"/>
              </w:rPr>
              <w:t>Free-text EEG finding descriptions</w:t>
            </w:r>
          </w:p>
        </w:tc>
      </w:tr>
      <w:tr>
        <w:tc>
          <w:tcPr>
            <w:tcW w:type="dxa" w:w="2880"/>
          </w:tcPr>
          <w:p>
            <w:r/>
            <w:r>
              <w:rPr>
                <w:rFonts w:ascii="Times New Roman" w:hAnsi="Times New Roman"/>
                <w:b w:val="0"/>
                <w:i w:val="0"/>
                <w:sz w:val="18"/>
              </w:rPr>
              <w:t>Activation procedures</w:t>
            </w:r>
          </w:p>
        </w:tc>
        <w:tc>
          <w:tcPr>
            <w:tcW w:type="dxa" w:w="2880"/>
          </w:tcPr>
          <w:p>
            <w:r/>
            <w:r>
              <w:rPr>
                <w:rFonts w:ascii="Times New Roman" w:hAnsi="Times New Roman"/>
                <w:b w:val="0"/>
                <w:i w:val="0"/>
                <w:sz w:val="18"/>
              </w:rPr>
              <w:t>15,746</w:t>
            </w:r>
          </w:p>
        </w:tc>
        <w:tc>
          <w:tcPr>
            <w:tcW w:type="dxa" w:w="2880"/>
          </w:tcPr>
          <w:p>
            <w:r/>
            <w:r>
              <w:rPr>
                <w:rFonts w:ascii="Times New Roman" w:hAnsi="Times New Roman"/>
                <w:b w:val="0"/>
                <w:i w:val="0"/>
                <w:sz w:val="18"/>
              </w:rPr>
              <w:t>Eyes open/closed, photic, hyperventilation</w:t>
            </w:r>
          </w:p>
        </w:tc>
      </w:tr>
      <w:tr>
        <w:tc>
          <w:tcPr>
            <w:tcW w:type="dxa" w:w="2880"/>
          </w:tcPr>
          <w:p>
            <w:r/>
            <w:r>
              <w:rPr>
                <w:rFonts w:ascii="Times New Roman" w:hAnsi="Times New Roman"/>
                <w:b w:val="0"/>
                <w:i w:val="0"/>
                <w:sz w:val="18"/>
              </w:rPr>
              <w:t>Sharp waves</w:t>
            </w:r>
          </w:p>
        </w:tc>
        <w:tc>
          <w:tcPr>
            <w:tcW w:type="dxa" w:w="2880"/>
          </w:tcPr>
          <w:p>
            <w:r/>
            <w:r>
              <w:rPr>
                <w:rFonts w:ascii="Times New Roman" w:hAnsi="Times New Roman"/>
                <w:b w:val="0"/>
                <w:i w:val="0"/>
                <w:sz w:val="18"/>
              </w:rPr>
              <w:t>21,330</w:t>
            </w:r>
          </w:p>
        </w:tc>
        <w:tc>
          <w:tcPr>
            <w:tcW w:type="dxa" w:w="2880"/>
          </w:tcPr>
          <w:p>
            <w:r/>
            <w:r>
              <w:rPr>
                <w:rFonts w:ascii="Times New Roman" w:hAnsi="Times New Roman"/>
                <w:b w:val="0"/>
                <w:i w:val="0"/>
                <w:sz w:val="18"/>
              </w:rPr>
              <w:t>Sharp wave or sharp-slow-wave complexes</w:t>
            </w:r>
          </w:p>
        </w:tc>
      </w:tr>
      <w:tr>
        <w:tc>
          <w:tcPr>
            <w:tcW w:type="dxa" w:w="2880"/>
          </w:tcPr>
          <w:p>
            <w:r/>
            <w:r>
              <w:rPr>
                <w:rFonts w:ascii="Times New Roman" w:hAnsi="Times New Roman"/>
                <w:b w:val="0"/>
                <w:i w:val="0"/>
                <w:sz w:val="18"/>
              </w:rPr>
              <w:t>Slowing</w:t>
            </w:r>
          </w:p>
        </w:tc>
        <w:tc>
          <w:tcPr>
            <w:tcW w:type="dxa" w:w="2880"/>
          </w:tcPr>
          <w:p>
            <w:r/>
            <w:r>
              <w:rPr>
                <w:rFonts w:ascii="Times New Roman" w:hAnsi="Times New Roman"/>
                <w:b w:val="0"/>
                <w:i w:val="0"/>
                <w:sz w:val="18"/>
              </w:rPr>
              <w:t>19,401</w:t>
            </w:r>
          </w:p>
        </w:tc>
        <w:tc>
          <w:tcPr>
            <w:tcW w:type="dxa" w:w="2880"/>
          </w:tcPr>
          <w:p>
            <w:r/>
            <w:r>
              <w:rPr>
                <w:rFonts w:ascii="Times New Roman" w:hAnsi="Times New Roman"/>
                <w:b w:val="0"/>
                <w:i w:val="0"/>
                <w:sz w:val="18"/>
              </w:rPr>
              <w:t>Focal or diffuse slowing</w:t>
            </w:r>
          </w:p>
        </w:tc>
      </w:tr>
      <w:tr>
        <w:tc>
          <w:tcPr>
            <w:tcW w:type="dxa" w:w="2880"/>
          </w:tcPr>
          <w:p>
            <w:r/>
            <w:r>
              <w:rPr>
                <w:rFonts w:ascii="Times New Roman" w:hAnsi="Times New Roman"/>
                <w:b w:val="0"/>
                <w:i w:val="0"/>
                <w:sz w:val="18"/>
              </w:rPr>
              <w:t>Generalized patterns</w:t>
            </w:r>
          </w:p>
        </w:tc>
        <w:tc>
          <w:tcPr>
            <w:tcW w:type="dxa" w:w="2880"/>
          </w:tcPr>
          <w:p>
            <w:r/>
            <w:r>
              <w:rPr>
                <w:rFonts w:ascii="Times New Roman" w:hAnsi="Times New Roman"/>
                <w:b w:val="0"/>
                <w:i w:val="0"/>
                <w:sz w:val="18"/>
              </w:rPr>
              <w:t>12,345</w:t>
            </w:r>
          </w:p>
        </w:tc>
        <w:tc>
          <w:tcPr>
            <w:tcW w:type="dxa" w:w="2880"/>
          </w:tcPr>
          <w:p>
            <w:r/>
            <w:r>
              <w:rPr>
                <w:rFonts w:ascii="Times New Roman" w:hAnsi="Times New Roman"/>
                <w:b w:val="0"/>
                <w:i w:val="0"/>
                <w:sz w:val="18"/>
              </w:rPr>
              <w:t>Generalized discharges</w:t>
            </w:r>
          </w:p>
        </w:tc>
      </w:tr>
      <w:tr>
        <w:tc>
          <w:tcPr>
            <w:tcW w:type="dxa" w:w="2880"/>
          </w:tcPr>
          <w:p>
            <w:r/>
            <w:r>
              <w:rPr>
                <w:rFonts w:ascii="Times New Roman" w:hAnsi="Times New Roman"/>
                <w:b w:val="0"/>
                <w:i w:val="0"/>
                <w:sz w:val="18"/>
              </w:rPr>
              <w:t>Spike-wave</w:t>
            </w:r>
          </w:p>
        </w:tc>
        <w:tc>
          <w:tcPr>
            <w:tcW w:type="dxa" w:w="2880"/>
          </w:tcPr>
          <w:p>
            <w:r/>
            <w:r>
              <w:rPr>
                <w:rFonts w:ascii="Times New Roman" w:hAnsi="Times New Roman"/>
                <w:b w:val="0"/>
                <w:i w:val="0"/>
                <w:sz w:val="18"/>
              </w:rPr>
              <w:t>10,439</w:t>
            </w:r>
          </w:p>
        </w:tc>
        <w:tc>
          <w:tcPr>
            <w:tcW w:type="dxa" w:w="2880"/>
          </w:tcPr>
          <w:p>
            <w:r/>
            <w:r>
              <w:rPr>
                <w:rFonts w:ascii="Times New Roman" w:hAnsi="Times New Roman"/>
                <w:b w:val="0"/>
                <w:i w:val="0"/>
                <w:sz w:val="18"/>
              </w:rPr>
              <w:t>Spike-wave complexes</w:t>
            </w:r>
          </w:p>
        </w:tc>
      </w:tr>
      <w:tr>
        <w:tc>
          <w:tcPr>
            <w:tcW w:type="dxa" w:w="2880"/>
          </w:tcPr>
          <w:p>
            <w:r/>
            <w:r>
              <w:rPr>
                <w:rFonts w:ascii="Times New Roman" w:hAnsi="Times New Roman"/>
                <w:b w:val="0"/>
                <w:i w:val="0"/>
                <w:sz w:val="18"/>
              </w:rPr>
              <w:t>Seizure markers</w:t>
            </w:r>
          </w:p>
        </w:tc>
        <w:tc>
          <w:tcPr>
            <w:tcW w:type="dxa" w:w="2880"/>
          </w:tcPr>
          <w:p>
            <w:r/>
            <w:r>
              <w:rPr>
                <w:rFonts w:ascii="Times New Roman" w:hAnsi="Times New Roman"/>
                <w:b w:val="0"/>
                <w:i w:val="0"/>
                <w:sz w:val="18"/>
              </w:rPr>
              <w:t>6,892</w:t>
            </w:r>
          </w:p>
        </w:tc>
        <w:tc>
          <w:tcPr>
            <w:tcW w:type="dxa" w:w="2880"/>
          </w:tcPr>
          <w:p>
            <w:r/>
            <w:r>
              <w:rPr>
                <w:rFonts w:ascii="Times New Roman" w:hAnsi="Times New Roman"/>
                <w:b w:val="0"/>
                <w:i w:val="0"/>
                <w:sz w:val="18"/>
              </w:rPr>
              <w:t>Electrographic seizure events</w:t>
            </w:r>
          </w:p>
        </w:tc>
      </w:tr>
      <w:tr>
        <w:tc>
          <w:tcPr>
            <w:tcW w:type="dxa" w:w="2880"/>
          </w:tcPr>
          <w:p>
            <w:r/>
            <w:r>
              <w:rPr>
                <w:rFonts w:ascii="Times New Roman" w:hAnsi="Times New Roman"/>
                <w:b w:val="0"/>
                <w:i w:val="0"/>
                <w:sz w:val="18"/>
              </w:rPr>
              <w:t>Posterior dominant rhythm</w:t>
            </w:r>
          </w:p>
        </w:tc>
        <w:tc>
          <w:tcPr>
            <w:tcW w:type="dxa" w:w="2880"/>
          </w:tcPr>
          <w:p>
            <w:r/>
            <w:r>
              <w:rPr>
                <w:rFonts w:ascii="Times New Roman" w:hAnsi="Times New Roman"/>
                <w:b w:val="0"/>
                <w:i w:val="0"/>
                <w:sz w:val="18"/>
              </w:rPr>
              <w:t>5,535</w:t>
            </w:r>
          </w:p>
        </w:tc>
        <w:tc>
          <w:tcPr>
            <w:tcW w:type="dxa" w:w="2880"/>
          </w:tcPr>
          <w:p>
            <w:r/>
            <w:r>
              <w:rPr>
                <w:rFonts w:ascii="Times New Roman" w:hAnsi="Times New Roman"/>
                <w:b w:val="0"/>
                <w:i w:val="0"/>
                <w:sz w:val="18"/>
              </w:rPr>
              <w:t>PDR frequency notations</w:t>
            </w:r>
          </w:p>
        </w:tc>
      </w:tr>
      <w:tr>
        <w:tc>
          <w:tcPr>
            <w:tcW w:type="dxa" w:w="2880"/>
          </w:tcPr>
          <w:p>
            <w:r/>
            <w:r>
              <w:rPr>
                <w:rFonts w:ascii="Times New Roman" w:hAnsi="Times New Roman"/>
                <w:b w:val="0"/>
                <w:i w:val="0"/>
                <w:sz w:val="18"/>
              </w:rPr>
              <w:t>Artifact</w:t>
            </w:r>
          </w:p>
        </w:tc>
        <w:tc>
          <w:tcPr>
            <w:tcW w:type="dxa" w:w="2880"/>
          </w:tcPr>
          <w:p>
            <w:r/>
            <w:r>
              <w:rPr>
                <w:rFonts w:ascii="Times New Roman" w:hAnsi="Times New Roman"/>
                <w:b w:val="0"/>
                <w:i w:val="0"/>
                <w:sz w:val="18"/>
              </w:rPr>
              <w:t>4,881</w:t>
            </w:r>
          </w:p>
        </w:tc>
        <w:tc>
          <w:tcPr>
            <w:tcW w:type="dxa" w:w="2880"/>
          </w:tcPr>
          <w:p>
            <w:r/>
            <w:r>
              <w:rPr>
                <w:rFonts w:ascii="Times New Roman" w:hAnsi="Times New Roman"/>
                <w:b w:val="0"/>
                <w:i w:val="0"/>
                <w:sz w:val="18"/>
              </w:rPr>
              <w:t>Technical or physiological artifacts</w:t>
            </w:r>
          </w:p>
        </w:tc>
      </w:tr>
      <w:tr>
        <w:tc>
          <w:tcPr>
            <w:tcW w:type="dxa" w:w="2880"/>
          </w:tcPr>
          <w:p>
            <w:r/>
            <w:r>
              <w:rPr>
                <w:rFonts w:ascii="Times New Roman" w:hAnsi="Times New Roman"/>
                <w:b w:val="0"/>
                <w:i w:val="0"/>
                <w:sz w:val="18"/>
              </w:rPr>
              <w:t>Burst-suppression</w:t>
            </w:r>
          </w:p>
        </w:tc>
        <w:tc>
          <w:tcPr>
            <w:tcW w:type="dxa" w:w="2880"/>
          </w:tcPr>
          <w:p>
            <w:r/>
            <w:r>
              <w:rPr>
                <w:rFonts w:ascii="Times New Roman" w:hAnsi="Times New Roman"/>
                <w:b w:val="0"/>
                <w:i w:val="0"/>
                <w:sz w:val="18"/>
              </w:rPr>
              <w:t>3,350</w:t>
            </w:r>
          </w:p>
        </w:tc>
        <w:tc>
          <w:tcPr>
            <w:tcW w:type="dxa" w:w="2880"/>
          </w:tcPr>
          <w:p>
            <w:r/>
            <w:r>
              <w:rPr>
                <w:rFonts w:ascii="Times New Roman" w:hAnsi="Times New Roman"/>
                <w:b w:val="0"/>
                <w:i w:val="0"/>
                <w:sz w:val="18"/>
              </w:rPr>
              <w:t>Burst-suppression (ICU recordings)</w:t>
            </w:r>
          </w:p>
        </w:tc>
      </w:tr>
      <w:tr>
        <w:tc>
          <w:tcPr>
            <w:tcW w:type="dxa" w:w="2880"/>
          </w:tcPr>
          <w:p>
            <w:r/>
            <w:r>
              <w:rPr>
                <w:rFonts w:ascii="Times New Roman" w:hAnsi="Times New Roman"/>
                <w:b w:val="0"/>
                <w:i w:val="0"/>
                <w:sz w:val="18"/>
              </w:rPr>
              <w:t>Focal</w:t>
            </w:r>
          </w:p>
        </w:tc>
        <w:tc>
          <w:tcPr>
            <w:tcW w:type="dxa" w:w="2880"/>
          </w:tcPr>
          <w:p>
            <w:r/>
            <w:r>
              <w:rPr>
                <w:rFonts w:ascii="Times New Roman" w:hAnsi="Times New Roman"/>
                <w:b w:val="0"/>
                <w:i w:val="0"/>
                <w:sz w:val="18"/>
              </w:rPr>
              <w:t>1,928</w:t>
            </w:r>
          </w:p>
        </w:tc>
        <w:tc>
          <w:tcPr>
            <w:tcW w:type="dxa" w:w="2880"/>
          </w:tcPr>
          <w:p>
            <w:r/>
            <w:r>
              <w:rPr>
                <w:rFonts w:ascii="Times New Roman" w:hAnsi="Times New Roman"/>
                <w:b w:val="0"/>
                <w:i w:val="0"/>
                <w:sz w:val="18"/>
              </w:rPr>
              <w:t>Focal patterns</w:t>
            </w:r>
          </w:p>
        </w:tc>
      </w:tr>
      <w:tr>
        <w:tc>
          <w:tcPr>
            <w:tcW w:type="dxa" w:w="2880"/>
          </w:tcPr>
          <w:p>
            <w:r/>
            <w:r>
              <w:rPr>
                <w:rFonts w:ascii="Times New Roman" w:hAnsi="Times New Roman"/>
                <w:b w:val="0"/>
                <w:i w:val="0"/>
                <w:sz w:val="18"/>
              </w:rPr>
              <w:t>Normal</w:t>
            </w:r>
          </w:p>
        </w:tc>
        <w:tc>
          <w:tcPr>
            <w:tcW w:type="dxa" w:w="2880"/>
          </w:tcPr>
          <w:p>
            <w:r/>
            <w:r>
              <w:rPr>
                <w:rFonts w:ascii="Times New Roman" w:hAnsi="Times New Roman"/>
                <w:b w:val="0"/>
                <w:i w:val="0"/>
                <w:sz w:val="18"/>
              </w:rPr>
              <w:t>505</w:t>
            </w:r>
          </w:p>
        </w:tc>
        <w:tc>
          <w:tcPr>
            <w:tcW w:type="dxa" w:w="2880"/>
          </w:tcPr>
          <w:p>
            <w:r/>
            <w:r>
              <w:rPr>
                <w:rFonts w:ascii="Times New Roman" w:hAnsi="Times New Roman"/>
                <w:b w:val="0"/>
                <w:i w:val="0"/>
                <w:sz w:val="18"/>
              </w:rPr>
              <w:t>"Normal" notations</w:t>
            </w:r>
          </w:p>
        </w:tc>
      </w:tr>
      <w:tr>
        <w:tc>
          <w:tcPr>
            <w:tcW w:type="dxa" w:w="2880"/>
          </w:tcPr>
          <w:p>
            <w:r/>
            <w:r>
              <w:rPr>
                <w:rFonts w:ascii="Times New Roman" w:hAnsi="Times New Roman"/>
                <w:b w:val="0"/>
                <w:i w:val="0"/>
                <w:sz w:val="18"/>
              </w:rPr>
              <w:t>Epileptiform</w:t>
            </w:r>
          </w:p>
        </w:tc>
        <w:tc>
          <w:tcPr>
            <w:tcW w:type="dxa" w:w="2880"/>
          </w:tcPr>
          <w:p>
            <w:r/>
            <w:r>
              <w:rPr>
                <w:rFonts w:ascii="Times New Roman" w:hAnsi="Times New Roman"/>
                <w:b w:val="0"/>
                <w:i w:val="0"/>
                <w:sz w:val="18"/>
              </w:rPr>
              <w:t>164</w:t>
            </w:r>
          </w:p>
        </w:tc>
        <w:tc>
          <w:tcPr>
            <w:tcW w:type="dxa" w:w="2880"/>
          </w:tcPr>
          <w:p>
            <w:r/>
            <w:r>
              <w:rPr>
                <w:rFonts w:ascii="Times New Roman" w:hAnsi="Times New Roman"/>
                <w:b w:val="0"/>
                <w:i w:val="0"/>
                <w:sz w:val="18"/>
              </w:rPr>
              <w:t>Other epileptiform</w:t>
            </w:r>
          </w:p>
        </w:tc>
      </w:tr>
      <w:tr>
        <w:tc>
          <w:tcPr>
            <w:tcW w:type="dxa" w:w="2880"/>
          </w:tcPr>
          <w:p>
            <w:r/>
            <w:r>
              <w:rPr>
                <w:rFonts w:ascii="Times New Roman" w:hAnsi="Times New Roman"/>
                <w:b w:val="0"/>
                <w:i w:val="0"/>
                <w:sz w:val="18"/>
              </w:rPr>
              <w:t>Periodic</w:t>
            </w:r>
          </w:p>
        </w:tc>
        <w:tc>
          <w:tcPr>
            <w:tcW w:type="dxa" w:w="2880"/>
          </w:tcPr>
          <w:p>
            <w:r/>
            <w:r>
              <w:rPr>
                <w:rFonts w:ascii="Times New Roman" w:hAnsi="Times New Roman"/>
                <w:b w:val="0"/>
                <w:i w:val="0"/>
                <w:sz w:val="18"/>
              </w:rPr>
              <w:t>139</w:t>
            </w:r>
          </w:p>
        </w:tc>
        <w:tc>
          <w:tcPr>
            <w:tcW w:type="dxa" w:w="2880"/>
          </w:tcPr>
          <w:p>
            <w:r/>
            <w:r>
              <w:rPr>
                <w:rFonts w:ascii="Times New Roman" w:hAnsi="Times New Roman"/>
                <w:b w:val="0"/>
                <w:i w:val="0"/>
                <w:sz w:val="18"/>
              </w:rPr>
              <w:t>Periodic discharges (lateralized/generalized periodic discharges, LPDs/GPDs)</w:t>
            </w:r>
          </w:p>
        </w:tc>
      </w:tr>
    </w:tbl>
    <w:p/>
    <w:p>
      <w:r>
        <w:rPr>
          <w:rFonts w:ascii="Times New Roman" w:hAnsi="Times New Roman"/>
          <w:b w:val="0"/>
          <w:i/>
          <w:sz w:val="22"/>
        </w:rPr>
        <w:t>Annotation text was parsed into categories using keyword matching. Categories are not mutually exclusive; a single annotation may contribute to multiple categories. Total annotation events: 226,486 across 14,517 sessions with annotation files.</w:t>
      </w:r>
    </w:p>
    <w:p>
      <w:pPr>
        <w:spacing w:after="120"/>
      </w:pPr>
      <w:r>
        <w:rPr>
          <w:rFonts w:ascii="Times New Roman" w:hAnsi="Times New Roman"/>
          <w:b/>
          <w:i w:val="0"/>
          <w:sz w:val="22"/>
        </w:rPr>
        <w:t>Supplementary Table 3. De-identification example.</w:t>
      </w:r>
      <w:r>
        <w:rPr>
          <w:rFonts w:ascii="Times New Roman" w:hAnsi="Times New Roman"/>
          <w:b w:val="0"/>
          <w:i w:val="0"/>
          <w:sz w:val="22"/>
        </w:rPr>
        <w:t xml:space="preserve"> Header field transformation and annotation scrubbing for a representative recording.</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b/>
                <w:i w:val="0"/>
                <w:sz w:val="18"/>
              </w:rPr>
              <w:t>Field</w:t>
            </w:r>
          </w:p>
        </w:tc>
        <w:tc>
          <w:tcPr>
            <w:tcW w:type="dxa" w:w="2880"/>
          </w:tcPr>
          <w:p>
            <w:r/>
            <w:r>
              <w:rPr>
                <w:rFonts w:ascii="Times New Roman" w:hAnsi="Times New Roman"/>
                <w:b/>
                <w:i w:val="0"/>
                <w:sz w:val="18"/>
              </w:rPr>
              <w:t>Original</w:t>
            </w:r>
          </w:p>
        </w:tc>
        <w:tc>
          <w:tcPr>
            <w:tcW w:type="dxa" w:w="2880"/>
          </w:tcPr>
          <w:p>
            <w:r/>
            <w:r>
              <w:rPr>
                <w:rFonts w:ascii="Times New Roman" w:hAnsi="Times New Roman"/>
                <w:b/>
                <w:i w:val="0"/>
                <w:sz w:val="18"/>
              </w:rPr>
              <w:t>De-identified</w:t>
            </w:r>
          </w:p>
        </w:tc>
      </w:tr>
      <w:tr>
        <w:tc>
          <w:tcPr>
            <w:tcW w:type="dxa" w:w="2880"/>
          </w:tcPr>
          <w:p>
            <w:r/>
            <w:r>
              <w:rPr>
                <w:rFonts w:ascii="Times New Roman" w:hAnsi="Times New Roman"/>
                <w:b w:val="0"/>
                <w:i w:val="0"/>
                <w:sz w:val="18"/>
              </w:rPr>
              <w:t>Patient identification</w:t>
            </w:r>
          </w:p>
        </w:tc>
        <w:tc>
          <w:tcPr>
            <w:tcW w:type="dxa" w:w="2880"/>
          </w:tcPr>
          <w:p>
            <w:r/>
            <w:r>
              <w:rPr>
                <w:rFonts w:ascii="Times New Roman" w:hAnsi="Times New Roman"/>
                <w:b w:val="0"/>
                <w:i w:val="0"/>
                <w:sz w:val="18"/>
              </w:rPr>
              <w:t>12-34567 X 15-MAR-2023 Doe_Jane</w:t>
            </w:r>
          </w:p>
        </w:tc>
        <w:tc>
          <w:tcPr>
            <w:tcW w:type="dxa" w:w="2880"/>
          </w:tcPr>
          <w:p>
            <w:r/>
            <w:r>
              <w:rPr>
                <w:rFonts w:ascii="Times New Roman" w:hAnsi="Times New Roman"/>
                <w:b w:val="0"/>
                <w:i w:val="0"/>
                <w:sz w:val="18"/>
              </w:rPr>
              <w:t>X X X X</w:t>
            </w:r>
          </w:p>
        </w:tc>
      </w:tr>
      <w:tr>
        <w:tc>
          <w:tcPr>
            <w:tcW w:type="dxa" w:w="2880"/>
          </w:tcPr>
          <w:p>
            <w:r/>
            <w:r>
              <w:rPr>
                <w:rFonts w:ascii="Times New Roman" w:hAnsi="Times New Roman"/>
                <w:b w:val="0"/>
                <w:i w:val="0"/>
                <w:sz w:val="18"/>
              </w:rPr>
              <w:t>Recording identification</w:t>
            </w:r>
          </w:p>
        </w:tc>
        <w:tc>
          <w:tcPr>
            <w:tcW w:type="dxa" w:w="2880"/>
          </w:tcPr>
          <w:p>
            <w:r/>
            <w:r>
              <w:rPr>
                <w:rFonts w:ascii="Times New Roman" w:hAnsi="Times New Roman"/>
                <w:b w:val="0"/>
                <w:i w:val="0"/>
                <w:sz w:val="18"/>
              </w:rPr>
              <w:t>Startdate 15-MAR-2023 Record_stopped...</w:t>
            </w:r>
          </w:p>
        </w:tc>
        <w:tc>
          <w:tcPr>
            <w:tcW w:type="dxa" w:w="2880"/>
          </w:tcPr>
          <w:p>
            <w:r/>
            <w:r>
              <w:rPr>
                <w:rFonts w:ascii="Times New Roman" w:hAnsi="Times New Roman"/>
                <w:b w:val="0"/>
                <w:i w:val="0"/>
                <w:sz w:val="18"/>
              </w:rPr>
              <w:t>Startdate 22-JUN-2023 X X X</w:t>
            </w:r>
          </w:p>
        </w:tc>
      </w:tr>
      <w:tr>
        <w:tc>
          <w:tcPr>
            <w:tcW w:type="dxa" w:w="2880"/>
          </w:tcPr>
          <w:p>
            <w:r/>
            <w:r>
              <w:rPr>
                <w:rFonts w:ascii="Times New Roman" w:hAnsi="Times New Roman"/>
                <w:b w:val="0"/>
                <w:i w:val="0"/>
                <w:sz w:val="18"/>
              </w:rPr>
              <w:t>Start date</w:t>
            </w:r>
          </w:p>
        </w:tc>
        <w:tc>
          <w:tcPr>
            <w:tcW w:type="dxa" w:w="2880"/>
          </w:tcPr>
          <w:p>
            <w:r/>
            <w:r>
              <w:rPr>
                <w:rFonts w:ascii="Times New Roman" w:hAnsi="Times New Roman"/>
                <w:b w:val="0"/>
                <w:i w:val="0"/>
                <w:sz w:val="18"/>
              </w:rPr>
              <w:t>15.03.23</w:t>
            </w:r>
          </w:p>
        </w:tc>
        <w:tc>
          <w:tcPr>
            <w:tcW w:type="dxa" w:w="2880"/>
          </w:tcPr>
          <w:p>
            <w:r/>
            <w:r>
              <w:rPr>
                <w:rFonts w:ascii="Times New Roman" w:hAnsi="Times New Roman"/>
                <w:b w:val="0"/>
                <w:i w:val="0"/>
                <w:sz w:val="18"/>
              </w:rPr>
              <w:t>22.06.23 (shifted +99 days)</w:t>
            </w:r>
          </w:p>
        </w:tc>
      </w:tr>
      <w:tr>
        <w:tc>
          <w:tcPr>
            <w:tcW w:type="dxa" w:w="2880"/>
          </w:tcPr>
          <w:p>
            <w:r/>
            <w:r>
              <w:rPr>
                <w:rFonts w:ascii="Times New Roman" w:hAnsi="Times New Roman"/>
                <w:b w:val="0"/>
                <w:i w:val="0"/>
                <w:sz w:val="18"/>
              </w:rPr>
              <w:t>Start time</w:t>
            </w:r>
          </w:p>
        </w:tc>
        <w:tc>
          <w:tcPr>
            <w:tcW w:type="dxa" w:w="2880"/>
          </w:tcPr>
          <w:p>
            <w:r/>
            <w:r>
              <w:rPr>
                <w:rFonts w:ascii="Times New Roman" w:hAnsi="Times New Roman"/>
                <w:b w:val="0"/>
                <w:i w:val="0"/>
                <w:sz w:val="18"/>
              </w:rPr>
              <w:t>14.32.08</w:t>
            </w:r>
          </w:p>
        </w:tc>
        <w:tc>
          <w:tcPr>
            <w:tcW w:type="dxa" w:w="2880"/>
          </w:tcPr>
          <w:p>
            <w:r/>
            <w:r>
              <w:rPr>
                <w:rFonts w:ascii="Times New Roman" w:hAnsi="Times New Roman"/>
                <w:b w:val="0"/>
                <w:i w:val="0"/>
                <w:sz w:val="18"/>
              </w:rPr>
              <w:t>14.32.08 (preserved)</w:t>
            </w:r>
          </w:p>
        </w:tc>
      </w:tr>
      <w:tr>
        <w:tc>
          <w:tcPr>
            <w:tcW w:type="dxa" w:w="2880"/>
          </w:tcPr>
          <w:p>
            <w:r/>
            <w:r>
              <w:rPr>
                <w:rFonts w:ascii="Times New Roman" w:hAnsi="Times New Roman"/>
                <w:b w:val="0"/>
                <w:i w:val="0"/>
                <w:sz w:val="18"/>
              </w:rPr>
              <w:t>Annotation text</w:t>
            </w:r>
          </w:p>
        </w:tc>
        <w:tc>
          <w:tcPr>
            <w:tcW w:type="dxa" w:w="2880"/>
          </w:tcPr>
          <w:p>
            <w:r/>
            <w:r>
              <w:rPr>
                <w:rFonts w:ascii="Times New Roman" w:hAnsi="Times New Roman"/>
                <w:b w:val="0"/>
                <w:i w:val="0"/>
                <w:sz w:val="18"/>
              </w:rPr>
              <w:t>Patient event Jane had a blank stare</w:t>
            </w:r>
          </w:p>
        </w:tc>
        <w:tc>
          <w:tcPr>
            <w:tcW w:type="dxa" w:w="2880"/>
          </w:tcPr>
          <w:p>
            <w:r/>
            <w:r>
              <w:rPr>
                <w:rFonts w:ascii="Times New Roman" w:hAnsi="Times New Roman"/>
                <w:b w:val="0"/>
                <w:i w:val="0"/>
                <w:sz w:val="18"/>
              </w:rPr>
              <w:t>Patient event [NAME] had a blank stare</w:t>
            </w:r>
          </w:p>
        </w:tc>
      </w:tr>
      <w:tr>
        <w:tc>
          <w:tcPr>
            <w:tcW w:type="dxa" w:w="2880"/>
          </w:tcPr>
          <w:p>
            <w:r/>
            <w:r>
              <w:rPr>
                <w:rFonts w:ascii="Times New Roman" w:hAnsi="Times New Roman"/>
                <w:b w:val="0"/>
                <w:i w:val="0"/>
                <w:sz w:val="18"/>
              </w:rPr>
              <w:t>Annotation timestamp</w:t>
            </w:r>
          </w:p>
        </w:tc>
        <w:tc>
          <w:tcPr>
            <w:tcW w:type="dxa" w:w="2880"/>
          </w:tcPr>
          <w:p>
            <w:r/>
            <w:r>
              <w:rPr>
                <w:rFonts w:ascii="Times New Roman" w:hAnsi="Times New Roman"/>
                <w:b w:val="0"/>
                <w:i w:val="0"/>
                <w:sz w:val="18"/>
              </w:rPr>
              <w:t>2023-03-15T14:33:45</w:t>
            </w:r>
          </w:p>
        </w:tc>
        <w:tc>
          <w:tcPr>
            <w:tcW w:type="dxa" w:w="2880"/>
          </w:tcPr>
          <w:p>
            <w:r/>
            <w:r>
              <w:rPr>
                <w:rFonts w:ascii="Times New Roman" w:hAnsi="Times New Roman"/>
                <w:b w:val="0"/>
                <w:i w:val="0"/>
                <w:sz w:val="18"/>
              </w:rPr>
              <w:t>2023-06-22T14:33:45 (shifted)</w:t>
            </w:r>
          </w:p>
        </w:tc>
      </w:tr>
    </w:tbl>
    <w:p/>
    <w:p>
      <w:r>
        <w:rPr>
          <w:rFonts w:ascii="Times New Roman" w:hAnsi="Times New Roman"/>
          <w:b w:val="0"/>
          <w:i/>
          <w:sz w:val="22"/>
        </w:rPr>
        <w:t>Names and dates shown are fictitious examples. Actual date shifts are random per patient (uniform integer in [-365, +365] days) and applied consistently across all files for that patient.</w:t>
      </w:r>
    </w:p>
    <w:p>
      <w:pPr>
        <w:spacing w:after="120"/>
      </w:pPr>
      <w:r>
        <w:rPr>
          <w:rFonts w:ascii="Times New Roman" w:hAnsi="Times New Roman"/>
          <w:b/>
          <w:i w:val="0"/>
          <w:sz w:val="22"/>
        </w:rPr>
        <w:t>Supplementary Table 4. Detailed EEG findings.</w:t>
      </w:r>
      <w:r>
        <w:rPr>
          <w:rFonts w:ascii="Times New Roman" w:hAnsi="Times New Roman"/>
          <w:b w:val="0"/>
          <w:i w:val="0"/>
          <w:sz w:val="22"/>
        </w:rPr>
        <w:t xml:space="preserve"> Breakdown of posterior dominant rhythm (PDR), interictal epileptiform discharges, slowing, seizures, and patient-reported events extracted from technologist scan reports (n=10,726 studies with extractable reports). All counts are regenerated from committed de-identified tables (`output/ehr_deid_tables/`) by `manuscript-materials/generate_tables_and_figures.py`; see `reproduce_manuscript_numbers.py`.</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b/>
                <w:i w:val="0"/>
                <w:sz w:val="18"/>
              </w:rPr>
              <w:t>Finding</w:t>
            </w:r>
          </w:p>
        </w:tc>
        <w:tc>
          <w:tcPr>
            <w:tcW w:type="dxa" w:w="2880"/>
          </w:tcPr>
          <w:p>
            <w:r/>
            <w:r>
              <w:rPr>
                <w:rFonts w:ascii="Times New Roman" w:hAnsi="Times New Roman"/>
                <w:b/>
                <w:i w:val="0"/>
                <w:sz w:val="18"/>
              </w:rPr>
              <w:t>Value</w:t>
            </w:r>
          </w:p>
        </w:tc>
        <w:tc>
          <w:tcPr>
            <w:tcW w:type="dxa" w:w="2880"/>
          </w:tcPr>
          <w:p>
            <w:r/>
            <w:r>
              <w:rPr>
                <w:rFonts w:ascii="Times New Roman" w:hAnsi="Times New Roman"/>
                <w:b/>
                <w:i w:val="0"/>
                <w:sz w:val="18"/>
              </w:rPr>
              <w:t>Notes</w:t>
            </w:r>
          </w:p>
        </w:tc>
      </w:tr>
      <w:tr>
        <w:tc>
          <w:tcPr>
            <w:tcW w:type="dxa" w:w="2880"/>
          </w:tcPr>
          <w:p>
            <w:r/>
            <w:r>
              <w:rPr>
                <w:rFonts w:ascii="Times New Roman" w:hAnsi="Times New Roman"/>
                <w:b/>
                <w:i w:val="0"/>
                <w:sz w:val="18"/>
              </w:rPr>
              <w:t>Posterior dominant rhythm</w:t>
            </w:r>
          </w:p>
        </w:tc>
        <w:tc>
          <w:tcPr>
            <w:tcW w:type="dxa" w:w="2880"/>
          </w:tcPr>
          <w:p>
            <w:r/>
          </w:p>
        </w:tc>
        <w:tc>
          <w:tcPr>
            <w:tcW w:type="dxa" w:w="2880"/>
          </w:tcPr>
          <w:p>
            <w:r/>
          </w:p>
        </w:tc>
      </w:tr>
      <w:tr>
        <w:tc>
          <w:tcPr>
            <w:tcW w:type="dxa" w:w="2880"/>
          </w:tcPr>
          <w:p>
            <w:r/>
            <w:r>
              <w:rPr>
                <w:rFonts w:ascii="Times New Roman" w:hAnsi="Times New Roman"/>
                <w:b w:val="0"/>
                <w:i w:val="0"/>
                <w:sz w:val="18"/>
              </w:rPr>
              <w:t>PDR extractable</w:t>
            </w:r>
          </w:p>
        </w:tc>
        <w:tc>
          <w:tcPr>
            <w:tcW w:type="dxa" w:w="2880"/>
          </w:tcPr>
          <w:p>
            <w:r/>
            <w:r>
              <w:rPr>
                <w:rFonts w:ascii="Times New Roman" w:hAnsi="Times New Roman"/>
                <w:b w:val="0"/>
                <w:i w:val="0"/>
                <w:sz w:val="18"/>
              </w:rPr>
              <w:t>8057</w:t>
            </w:r>
          </w:p>
        </w:tc>
        <w:tc>
          <w:tcPr>
            <w:tcW w:type="dxa" w:w="2880"/>
          </w:tcPr>
          <w:p>
            <w:r/>
            <w:r>
              <w:rPr>
                <w:rFonts w:ascii="Times New Roman" w:hAnsi="Times New Roman"/>
                <w:b w:val="0"/>
                <w:i w:val="0"/>
                <w:sz w:val="18"/>
              </w:rPr>
              <w:t>of 10726 studies</w:t>
            </w:r>
          </w:p>
        </w:tc>
      </w:tr>
      <w:tr>
        <w:tc>
          <w:tcPr>
            <w:tcW w:type="dxa" w:w="2880"/>
          </w:tcPr>
          <w:p>
            <w:r/>
            <w:r>
              <w:rPr>
                <w:rFonts w:ascii="Times New Roman" w:hAnsi="Times New Roman"/>
                <w:b w:val="0"/>
                <w:i w:val="0"/>
                <w:sz w:val="18"/>
              </w:rPr>
              <w:t>PDR frequency, median (IQR)</w:t>
            </w:r>
          </w:p>
        </w:tc>
        <w:tc>
          <w:tcPr>
            <w:tcW w:type="dxa" w:w="2880"/>
          </w:tcPr>
          <w:p>
            <w:r/>
            <w:r>
              <w:rPr>
                <w:rFonts w:ascii="Times New Roman" w:hAnsi="Times New Roman"/>
                <w:b w:val="0"/>
                <w:i w:val="0"/>
                <w:sz w:val="18"/>
              </w:rPr>
              <w:t>9.0 (8.5-10.0)</w:t>
            </w:r>
          </w:p>
        </w:tc>
        <w:tc>
          <w:tcPr>
            <w:tcW w:type="dxa" w:w="2880"/>
          </w:tcPr>
          <w:p>
            <w:r/>
            <w:r>
              <w:rPr>
                <w:rFonts w:ascii="Times New Roman" w:hAnsi="Times New Roman"/>
                <w:b w:val="0"/>
                <w:i w:val="0"/>
                <w:sz w:val="18"/>
              </w:rPr>
              <w:t>Hz</w:t>
            </w:r>
          </w:p>
        </w:tc>
      </w:tr>
      <w:tr>
        <w:tc>
          <w:tcPr>
            <w:tcW w:type="dxa" w:w="2880"/>
          </w:tcPr>
          <w:p>
            <w:r/>
            <w:r>
              <w:rPr>
                <w:rFonts w:ascii="Times New Roman" w:hAnsi="Times New Roman"/>
                <w:b w:val="0"/>
                <w:i w:val="0"/>
                <w:sz w:val="18"/>
              </w:rPr>
              <w:t>Normal range (8-13 Hz)</w:t>
            </w:r>
          </w:p>
        </w:tc>
        <w:tc>
          <w:tcPr>
            <w:tcW w:type="dxa" w:w="2880"/>
          </w:tcPr>
          <w:p>
            <w:r/>
            <w:r>
              <w:rPr>
                <w:rFonts w:ascii="Times New Roman" w:hAnsi="Times New Roman"/>
                <w:b w:val="0"/>
                <w:i w:val="0"/>
                <w:sz w:val="18"/>
              </w:rPr>
              <w:t>6816</w:t>
            </w:r>
          </w:p>
        </w:tc>
        <w:tc>
          <w:tcPr>
            <w:tcW w:type="dxa" w:w="2880"/>
          </w:tcPr>
          <w:p>
            <w:r/>
            <w:r>
              <w:rPr>
                <w:rFonts w:ascii="Times New Roman" w:hAnsi="Times New Roman"/>
                <w:b w:val="0"/>
                <w:i w:val="0"/>
                <w:sz w:val="18"/>
              </w:rPr>
              <w:t>(85%)</w:t>
            </w:r>
          </w:p>
        </w:tc>
      </w:tr>
      <w:tr>
        <w:tc>
          <w:tcPr>
            <w:tcW w:type="dxa" w:w="2880"/>
          </w:tcPr>
          <w:p>
            <w:r/>
            <w:r>
              <w:rPr>
                <w:rFonts w:ascii="Times New Roman" w:hAnsi="Times New Roman"/>
                <w:b w:val="0"/>
                <w:i w:val="0"/>
                <w:sz w:val="18"/>
              </w:rPr>
              <w:t>Slow (&lt;8 Hz)</w:t>
            </w:r>
          </w:p>
        </w:tc>
        <w:tc>
          <w:tcPr>
            <w:tcW w:type="dxa" w:w="2880"/>
          </w:tcPr>
          <w:p>
            <w:r/>
            <w:r>
              <w:rPr>
                <w:rFonts w:ascii="Times New Roman" w:hAnsi="Times New Roman"/>
                <w:b w:val="0"/>
                <w:i w:val="0"/>
                <w:sz w:val="18"/>
              </w:rPr>
              <w:t>1146</w:t>
            </w:r>
          </w:p>
        </w:tc>
        <w:tc>
          <w:tcPr>
            <w:tcW w:type="dxa" w:w="2880"/>
          </w:tcPr>
          <w:p>
            <w:r/>
            <w:r>
              <w:rPr>
                <w:rFonts w:ascii="Times New Roman" w:hAnsi="Times New Roman"/>
                <w:b w:val="0"/>
                <w:i w:val="0"/>
                <w:sz w:val="18"/>
              </w:rPr>
              <w:t>(14%)</w:t>
            </w:r>
          </w:p>
        </w:tc>
      </w:tr>
      <w:tr>
        <w:tc>
          <w:tcPr>
            <w:tcW w:type="dxa" w:w="2880"/>
          </w:tcPr>
          <w:p>
            <w:r/>
            <w:r>
              <w:rPr>
                <w:rFonts w:ascii="Times New Roman" w:hAnsi="Times New Roman"/>
                <w:b w:val="0"/>
                <w:i w:val="0"/>
                <w:sz w:val="18"/>
              </w:rPr>
              <w:t>Interictal epileptiform discharges</w:t>
            </w:r>
          </w:p>
        </w:tc>
        <w:tc>
          <w:tcPr>
            <w:tcW w:type="dxa" w:w="2880"/>
          </w:tcPr>
          <w:p>
            <w:r/>
            <w:r>
              <w:rPr>
                <w:rFonts w:ascii="Times New Roman" w:hAnsi="Times New Roman"/>
                <w:b w:val="0"/>
                <w:i w:val="0"/>
                <w:sz w:val="18"/>
              </w:rPr>
              <w:t>6345</w:t>
            </w:r>
          </w:p>
        </w:tc>
        <w:tc>
          <w:tcPr>
            <w:tcW w:type="dxa" w:w="2880"/>
          </w:tcPr>
          <w:p>
            <w:r/>
            <w:r>
              <w:rPr>
                <w:rFonts w:ascii="Times New Roman" w:hAnsi="Times New Roman"/>
                <w:b w:val="0"/>
                <w:i w:val="0"/>
                <w:sz w:val="18"/>
              </w:rPr>
              <w:t>of 10726 studies (59%)</w:t>
            </w:r>
          </w:p>
        </w:tc>
      </w:tr>
      <w:tr>
        <w:tc>
          <w:tcPr>
            <w:tcW w:type="dxa" w:w="2880"/>
          </w:tcPr>
          <w:p>
            <w:r/>
            <w:r>
              <w:rPr>
                <w:rFonts w:ascii="Times New Roman" w:hAnsi="Times New Roman"/>
                <w:b/>
                <w:i w:val="0"/>
                <w:sz w:val="18"/>
              </w:rPr>
              <w:t>Morphology</w:t>
            </w:r>
          </w:p>
        </w:tc>
        <w:tc>
          <w:tcPr>
            <w:tcW w:type="dxa" w:w="2880"/>
          </w:tcPr>
          <w:p>
            <w:r/>
          </w:p>
        </w:tc>
        <w:tc>
          <w:tcPr>
            <w:tcW w:type="dxa" w:w="2880"/>
          </w:tcPr>
          <w:p>
            <w:r/>
          </w:p>
        </w:tc>
      </w:tr>
      <w:tr>
        <w:tc>
          <w:tcPr>
            <w:tcW w:type="dxa" w:w="2880"/>
          </w:tcPr>
          <w:p>
            <w:r/>
            <w:r>
              <w:rPr>
                <w:rFonts w:ascii="Times New Roman" w:hAnsi="Times New Roman"/>
                <w:b w:val="0"/>
                <w:i w:val="0"/>
                <w:sz w:val="18"/>
              </w:rPr>
              <w:t>Spike</w:t>
            </w:r>
          </w:p>
        </w:tc>
        <w:tc>
          <w:tcPr>
            <w:tcW w:type="dxa" w:w="2880"/>
          </w:tcPr>
          <w:p>
            <w:r/>
            <w:r>
              <w:rPr>
                <w:rFonts w:ascii="Times New Roman" w:hAnsi="Times New Roman"/>
                <w:b w:val="0"/>
                <w:i w:val="0"/>
                <w:sz w:val="18"/>
              </w:rPr>
              <w:t>3342</w:t>
            </w:r>
          </w:p>
        </w:tc>
        <w:tc>
          <w:tcPr>
            <w:tcW w:type="dxa" w:w="2880"/>
          </w:tcPr>
          <w:p>
            <w:r/>
          </w:p>
        </w:tc>
      </w:tr>
      <w:tr>
        <w:tc>
          <w:tcPr>
            <w:tcW w:type="dxa" w:w="2880"/>
          </w:tcPr>
          <w:p>
            <w:r/>
            <w:r>
              <w:rPr>
                <w:rFonts w:ascii="Times New Roman" w:hAnsi="Times New Roman"/>
                <w:b w:val="0"/>
                <w:i w:val="0"/>
                <w:sz w:val="18"/>
              </w:rPr>
              <w:t>Sharp wave</w:t>
            </w:r>
          </w:p>
        </w:tc>
        <w:tc>
          <w:tcPr>
            <w:tcW w:type="dxa" w:w="2880"/>
          </w:tcPr>
          <w:p>
            <w:r/>
            <w:r>
              <w:rPr>
                <w:rFonts w:ascii="Times New Roman" w:hAnsi="Times New Roman"/>
                <w:b w:val="0"/>
                <w:i w:val="0"/>
                <w:sz w:val="18"/>
              </w:rPr>
              <w:t>1755</w:t>
            </w:r>
          </w:p>
        </w:tc>
        <w:tc>
          <w:tcPr>
            <w:tcW w:type="dxa" w:w="2880"/>
          </w:tcPr>
          <w:p>
            <w:r/>
          </w:p>
        </w:tc>
      </w:tr>
      <w:tr>
        <w:tc>
          <w:tcPr>
            <w:tcW w:type="dxa" w:w="2880"/>
          </w:tcPr>
          <w:p>
            <w:r/>
            <w:r>
              <w:rPr>
                <w:rFonts w:ascii="Times New Roman" w:hAnsi="Times New Roman"/>
                <w:b w:val="0"/>
                <w:i w:val="0"/>
                <w:sz w:val="18"/>
              </w:rPr>
              <w:t>Spike-and-wave</w:t>
            </w:r>
          </w:p>
        </w:tc>
        <w:tc>
          <w:tcPr>
            <w:tcW w:type="dxa" w:w="2880"/>
          </w:tcPr>
          <w:p>
            <w:r/>
            <w:r>
              <w:rPr>
                <w:rFonts w:ascii="Times New Roman" w:hAnsi="Times New Roman"/>
                <w:b w:val="0"/>
                <w:i w:val="0"/>
                <w:sz w:val="18"/>
              </w:rPr>
              <w:t>1669</w:t>
            </w:r>
          </w:p>
        </w:tc>
        <w:tc>
          <w:tcPr>
            <w:tcW w:type="dxa" w:w="2880"/>
          </w:tcPr>
          <w:p>
            <w:r/>
          </w:p>
        </w:tc>
      </w:tr>
      <w:tr>
        <w:tc>
          <w:tcPr>
            <w:tcW w:type="dxa" w:w="2880"/>
          </w:tcPr>
          <w:p>
            <w:r/>
            <w:r>
              <w:rPr>
                <w:rFonts w:ascii="Times New Roman" w:hAnsi="Times New Roman"/>
                <w:b w:val="0"/>
                <w:i w:val="0"/>
                <w:sz w:val="18"/>
              </w:rPr>
              <w:t>Polyspike</w:t>
            </w:r>
          </w:p>
        </w:tc>
        <w:tc>
          <w:tcPr>
            <w:tcW w:type="dxa" w:w="2880"/>
          </w:tcPr>
          <w:p>
            <w:r/>
            <w:r>
              <w:rPr>
                <w:rFonts w:ascii="Times New Roman" w:hAnsi="Times New Roman"/>
                <w:b w:val="0"/>
                <w:i w:val="0"/>
                <w:sz w:val="18"/>
              </w:rPr>
              <w:t>502</w:t>
            </w:r>
          </w:p>
        </w:tc>
        <w:tc>
          <w:tcPr>
            <w:tcW w:type="dxa" w:w="2880"/>
          </w:tcPr>
          <w:p>
            <w:r/>
          </w:p>
        </w:tc>
      </w:tr>
      <w:tr>
        <w:tc>
          <w:tcPr>
            <w:tcW w:type="dxa" w:w="2880"/>
          </w:tcPr>
          <w:p>
            <w:r/>
            <w:r>
              <w:rPr>
                <w:rFonts w:ascii="Times New Roman" w:hAnsi="Times New Roman"/>
                <w:b/>
                <w:i w:val="0"/>
                <w:sz w:val="18"/>
              </w:rPr>
              <w:t>Distribution</w:t>
            </w:r>
          </w:p>
        </w:tc>
        <w:tc>
          <w:tcPr>
            <w:tcW w:type="dxa" w:w="2880"/>
          </w:tcPr>
          <w:p>
            <w:r/>
          </w:p>
        </w:tc>
        <w:tc>
          <w:tcPr>
            <w:tcW w:type="dxa" w:w="2880"/>
          </w:tcPr>
          <w:p>
            <w:r/>
          </w:p>
        </w:tc>
      </w:tr>
      <w:tr>
        <w:tc>
          <w:tcPr>
            <w:tcW w:type="dxa" w:w="2880"/>
          </w:tcPr>
          <w:p>
            <w:r/>
            <w:r>
              <w:rPr>
                <w:rFonts w:ascii="Times New Roman" w:hAnsi="Times New Roman"/>
                <w:b w:val="0"/>
                <w:i w:val="0"/>
                <w:sz w:val="18"/>
              </w:rPr>
              <w:t>Generalized</w:t>
            </w:r>
          </w:p>
        </w:tc>
        <w:tc>
          <w:tcPr>
            <w:tcW w:type="dxa" w:w="2880"/>
          </w:tcPr>
          <w:p>
            <w:r/>
            <w:r>
              <w:rPr>
                <w:rFonts w:ascii="Times New Roman" w:hAnsi="Times New Roman"/>
                <w:b w:val="0"/>
                <w:i w:val="0"/>
                <w:sz w:val="18"/>
              </w:rPr>
              <w:t>1691</w:t>
            </w:r>
          </w:p>
        </w:tc>
        <w:tc>
          <w:tcPr>
            <w:tcW w:type="dxa" w:w="2880"/>
          </w:tcPr>
          <w:p>
            <w:r/>
          </w:p>
        </w:tc>
      </w:tr>
      <w:tr>
        <w:tc>
          <w:tcPr>
            <w:tcW w:type="dxa" w:w="2880"/>
          </w:tcPr>
          <w:p>
            <w:r/>
            <w:r>
              <w:rPr>
                <w:rFonts w:ascii="Times New Roman" w:hAnsi="Times New Roman"/>
                <w:b w:val="0"/>
                <w:i w:val="0"/>
                <w:sz w:val="18"/>
              </w:rPr>
              <w:t>Focal</w:t>
            </w:r>
          </w:p>
        </w:tc>
        <w:tc>
          <w:tcPr>
            <w:tcW w:type="dxa" w:w="2880"/>
          </w:tcPr>
          <w:p>
            <w:r/>
            <w:r>
              <w:rPr>
                <w:rFonts w:ascii="Times New Roman" w:hAnsi="Times New Roman"/>
                <w:b w:val="0"/>
                <w:i w:val="0"/>
                <w:sz w:val="18"/>
              </w:rPr>
              <w:t>1364</w:t>
            </w:r>
          </w:p>
        </w:tc>
        <w:tc>
          <w:tcPr>
            <w:tcW w:type="dxa" w:w="2880"/>
          </w:tcPr>
          <w:p>
            <w:r/>
          </w:p>
        </w:tc>
      </w:tr>
      <w:tr>
        <w:tc>
          <w:tcPr>
            <w:tcW w:type="dxa" w:w="2880"/>
          </w:tcPr>
          <w:p>
            <w:r/>
            <w:r>
              <w:rPr>
                <w:rFonts w:ascii="Times New Roman" w:hAnsi="Times New Roman"/>
                <w:b w:val="0"/>
                <w:i w:val="0"/>
                <w:sz w:val="18"/>
              </w:rPr>
              <w:t>Multifocal</w:t>
            </w:r>
          </w:p>
        </w:tc>
        <w:tc>
          <w:tcPr>
            <w:tcW w:type="dxa" w:w="2880"/>
          </w:tcPr>
          <w:p>
            <w:r/>
            <w:r>
              <w:rPr>
                <w:rFonts w:ascii="Times New Roman" w:hAnsi="Times New Roman"/>
                <w:b w:val="0"/>
                <w:i w:val="0"/>
                <w:sz w:val="18"/>
              </w:rPr>
              <w:t>277</w:t>
            </w:r>
          </w:p>
        </w:tc>
        <w:tc>
          <w:tcPr>
            <w:tcW w:type="dxa" w:w="2880"/>
          </w:tcPr>
          <w:p>
            <w:r/>
          </w:p>
        </w:tc>
      </w:tr>
      <w:tr>
        <w:tc>
          <w:tcPr>
            <w:tcW w:type="dxa" w:w="2880"/>
          </w:tcPr>
          <w:p>
            <w:r/>
            <w:r>
              <w:rPr>
                <w:rFonts w:ascii="Times New Roman" w:hAnsi="Times New Roman"/>
                <w:b w:val="0"/>
                <w:i w:val="0"/>
                <w:sz w:val="18"/>
              </w:rPr>
              <w:t>Bilateral independent</w:t>
            </w:r>
          </w:p>
        </w:tc>
        <w:tc>
          <w:tcPr>
            <w:tcW w:type="dxa" w:w="2880"/>
          </w:tcPr>
          <w:p>
            <w:r/>
            <w:r>
              <w:rPr>
                <w:rFonts w:ascii="Times New Roman" w:hAnsi="Times New Roman"/>
                <w:b w:val="0"/>
                <w:i w:val="0"/>
                <w:sz w:val="18"/>
              </w:rPr>
              <w:t>97</w:t>
            </w:r>
          </w:p>
        </w:tc>
        <w:tc>
          <w:tcPr>
            <w:tcW w:type="dxa" w:w="2880"/>
          </w:tcPr>
          <w:p>
            <w:r/>
          </w:p>
        </w:tc>
      </w:tr>
      <w:tr>
        <w:tc>
          <w:tcPr>
            <w:tcW w:type="dxa" w:w="2880"/>
          </w:tcPr>
          <w:p>
            <w:r/>
            <w:r>
              <w:rPr>
                <w:rFonts w:ascii="Times New Roman" w:hAnsi="Times New Roman"/>
                <w:b/>
                <w:i w:val="0"/>
                <w:sz w:val="18"/>
              </w:rPr>
              <w:t>Laterality</w:t>
            </w:r>
          </w:p>
        </w:tc>
        <w:tc>
          <w:tcPr>
            <w:tcW w:type="dxa" w:w="2880"/>
          </w:tcPr>
          <w:p>
            <w:r/>
          </w:p>
        </w:tc>
        <w:tc>
          <w:tcPr>
            <w:tcW w:type="dxa" w:w="2880"/>
          </w:tcPr>
          <w:p>
            <w:r/>
          </w:p>
        </w:tc>
      </w:tr>
      <w:tr>
        <w:tc>
          <w:tcPr>
            <w:tcW w:type="dxa" w:w="2880"/>
          </w:tcPr>
          <w:p>
            <w:r/>
            <w:r>
              <w:rPr>
                <w:rFonts w:ascii="Times New Roman" w:hAnsi="Times New Roman"/>
                <w:b w:val="0"/>
                <w:i w:val="0"/>
                <w:sz w:val="18"/>
              </w:rPr>
              <w:t>Left</w:t>
            </w:r>
          </w:p>
        </w:tc>
        <w:tc>
          <w:tcPr>
            <w:tcW w:type="dxa" w:w="2880"/>
          </w:tcPr>
          <w:p>
            <w:r/>
            <w:r>
              <w:rPr>
                <w:rFonts w:ascii="Times New Roman" w:hAnsi="Times New Roman"/>
                <w:b w:val="0"/>
                <w:i w:val="0"/>
                <w:sz w:val="18"/>
              </w:rPr>
              <w:t>1770</w:t>
            </w:r>
          </w:p>
        </w:tc>
        <w:tc>
          <w:tcPr>
            <w:tcW w:type="dxa" w:w="2880"/>
          </w:tcPr>
          <w:p>
            <w:r/>
          </w:p>
        </w:tc>
      </w:tr>
      <w:tr>
        <w:tc>
          <w:tcPr>
            <w:tcW w:type="dxa" w:w="2880"/>
          </w:tcPr>
          <w:p>
            <w:r/>
            <w:r>
              <w:rPr>
                <w:rFonts w:ascii="Times New Roman" w:hAnsi="Times New Roman"/>
                <w:b w:val="0"/>
                <w:i w:val="0"/>
                <w:sz w:val="18"/>
              </w:rPr>
              <w:t>Right</w:t>
            </w:r>
          </w:p>
        </w:tc>
        <w:tc>
          <w:tcPr>
            <w:tcW w:type="dxa" w:w="2880"/>
          </w:tcPr>
          <w:p>
            <w:r/>
            <w:r>
              <w:rPr>
                <w:rFonts w:ascii="Times New Roman" w:hAnsi="Times New Roman"/>
                <w:b w:val="0"/>
                <w:i w:val="0"/>
                <w:sz w:val="18"/>
              </w:rPr>
              <w:t>1611</w:t>
            </w:r>
          </w:p>
        </w:tc>
        <w:tc>
          <w:tcPr>
            <w:tcW w:type="dxa" w:w="2880"/>
          </w:tcPr>
          <w:p>
            <w:r/>
          </w:p>
        </w:tc>
      </w:tr>
      <w:tr>
        <w:tc>
          <w:tcPr>
            <w:tcW w:type="dxa" w:w="2880"/>
          </w:tcPr>
          <w:p>
            <w:r/>
            <w:r>
              <w:rPr>
                <w:rFonts w:ascii="Times New Roman" w:hAnsi="Times New Roman"/>
                <w:b w:val="0"/>
                <w:i w:val="0"/>
                <w:sz w:val="18"/>
              </w:rPr>
              <w:t>Bilateral</w:t>
            </w:r>
          </w:p>
        </w:tc>
        <w:tc>
          <w:tcPr>
            <w:tcW w:type="dxa" w:w="2880"/>
          </w:tcPr>
          <w:p>
            <w:r/>
            <w:r>
              <w:rPr>
                <w:rFonts w:ascii="Times New Roman" w:hAnsi="Times New Roman"/>
                <w:b w:val="0"/>
                <w:i w:val="0"/>
                <w:sz w:val="18"/>
              </w:rPr>
              <w:t>709</w:t>
            </w:r>
          </w:p>
        </w:tc>
        <w:tc>
          <w:tcPr>
            <w:tcW w:type="dxa" w:w="2880"/>
          </w:tcPr>
          <w:p>
            <w:r/>
          </w:p>
        </w:tc>
      </w:tr>
      <w:tr>
        <w:tc>
          <w:tcPr>
            <w:tcW w:type="dxa" w:w="2880"/>
          </w:tcPr>
          <w:p>
            <w:r/>
            <w:r>
              <w:rPr>
                <w:rFonts w:ascii="Times New Roman" w:hAnsi="Times New Roman"/>
                <w:b/>
                <w:i w:val="0"/>
                <w:sz w:val="18"/>
              </w:rPr>
              <w:t>Region</w:t>
            </w:r>
          </w:p>
        </w:tc>
        <w:tc>
          <w:tcPr>
            <w:tcW w:type="dxa" w:w="2880"/>
          </w:tcPr>
          <w:p>
            <w:r/>
          </w:p>
        </w:tc>
        <w:tc>
          <w:tcPr>
            <w:tcW w:type="dxa" w:w="2880"/>
          </w:tcPr>
          <w:p>
            <w:r/>
          </w:p>
        </w:tc>
      </w:tr>
      <w:tr>
        <w:tc>
          <w:tcPr>
            <w:tcW w:type="dxa" w:w="2880"/>
          </w:tcPr>
          <w:p>
            <w:r/>
            <w:r>
              <w:rPr>
                <w:rFonts w:ascii="Times New Roman" w:hAnsi="Times New Roman"/>
                <w:b w:val="0"/>
                <w:i w:val="0"/>
                <w:sz w:val="18"/>
              </w:rPr>
              <w:t>Temporal</w:t>
            </w:r>
          </w:p>
        </w:tc>
        <w:tc>
          <w:tcPr>
            <w:tcW w:type="dxa" w:w="2880"/>
          </w:tcPr>
          <w:p>
            <w:r/>
            <w:r>
              <w:rPr>
                <w:rFonts w:ascii="Times New Roman" w:hAnsi="Times New Roman"/>
                <w:b w:val="0"/>
                <w:i w:val="0"/>
                <w:sz w:val="18"/>
              </w:rPr>
              <w:t>1940</w:t>
            </w:r>
          </w:p>
        </w:tc>
        <w:tc>
          <w:tcPr>
            <w:tcW w:type="dxa" w:w="2880"/>
          </w:tcPr>
          <w:p>
            <w:r/>
          </w:p>
        </w:tc>
      </w:tr>
      <w:tr>
        <w:tc>
          <w:tcPr>
            <w:tcW w:type="dxa" w:w="2880"/>
          </w:tcPr>
          <w:p>
            <w:r/>
            <w:r>
              <w:rPr>
                <w:rFonts w:ascii="Times New Roman" w:hAnsi="Times New Roman"/>
                <w:b w:val="0"/>
                <w:i w:val="0"/>
                <w:sz w:val="18"/>
              </w:rPr>
              <w:t>Frontal</w:t>
            </w:r>
          </w:p>
        </w:tc>
        <w:tc>
          <w:tcPr>
            <w:tcW w:type="dxa" w:w="2880"/>
          </w:tcPr>
          <w:p>
            <w:r/>
            <w:r>
              <w:rPr>
                <w:rFonts w:ascii="Times New Roman" w:hAnsi="Times New Roman"/>
                <w:b w:val="0"/>
                <w:i w:val="0"/>
                <w:sz w:val="18"/>
              </w:rPr>
              <w:t>1261</w:t>
            </w:r>
          </w:p>
        </w:tc>
        <w:tc>
          <w:tcPr>
            <w:tcW w:type="dxa" w:w="2880"/>
          </w:tcPr>
          <w:p>
            <w:r/>
          </w:p>
        </w:tc>
      </w:tr>
      <w:tr>
        <w:tc>
          <w:tcPr>
            <w:tcW w:type="dxa" w:w="2880"/>
          </w:tcPr>
          <w:p>
            <w:r/>
            <w:r>
              <w:rPr>
                <w:rFonts w:ascii="Times New Roman" w:hAnsi="Times New Roman"/>
                <w:b w:val="0"/>
                <w:i w:val="0"/>
                <w:sz w:val="18"/>
              </w:rPr>
              <w:t>Central</w:t>
            </w:r>
          </w:p>
        </w:tc>
        <w:tc>
          <w:tcPr>
            <w:tcW w:type="dxa" w:w="2880"/>
          </w:tcPr>
          <w:p>
            <w:r/>
            <w:r>
              <w:rPr>
                <w:rFonts w:ascii="Times New Roman" w:hAnsi="Times New Roman"/>
                <w:b w:val="0"/>
                <w:i w:val="0"/>
                <w:sz w:val="18"/>
              </w:rPr>
              <w:t>878</w:t>
            </w:r>
          </w:p>
        </w:tc>
        <w:tc>
          <w:tcPr>
            <w:tcW w:type="dxa" w:w="2880"/>
          </w:tcPr>
          <w:p>
            <w:r/>
          </w:p>
        </w:tc>
      </w:tr>
      <w:tr>
        <w:tc>
          <w:tcPr>
            <w:tcW w:type="dxa" w:w="2880"/>
          </w:tcPr>
          <w:p>
            <w:r/>
            <w:r>
              <w:rPr>
                <w:rFonts w:ascii="Times New Roman" w:hAnsi="Times New Roman"/>
                <w:b w:val="0"/>
                <w:i w:val="0"/>
                <w:sz w:val="18"/>
              </w:rPr>
              <w:t>Parietal</w:t>
            </w:r>
          </w:p>
        </w:tc>
        <w:tc>
          <w:tcPr>
            <w:tcW w:type="dxa" w:w="2880"/>
          </w:tcPr>
          <w:p>
            <w:r/>
            <w:r>
              <w:rPr>
                <w:rFonts w:ascii="Times New Roman" w:hAnsi="Times New Roman"/>
                <w:b w:val="0"/>
                <w:i w:val="0"/>
                <w:sz w:val="18"/>
              </w:rPr>
              <w:t>329</w:t>
            </w:r>
          </w:p>
        </w:tc>
        <w:tc>
          <w:tcPr>
            <w:tcW w:type="dxa" w:w="2880"/>
          </w:tcPr>
          <w:p>
            <w:r/>
          </w:p>
        </w:tc>
      </w:tr>
      <w:tr>
        <w:tc>
          <w:tcPr>
            <w:tcW w:type="dxa" w:w="2880"/>
          </w:tcPr>
          <w:p>
            <w:r/>
            <w:r>
              <w:rPr>
                <w:rFonts w:ascii="Times New Roman" w:hAnsi="Times New Roman"/>
                <w:b w:val="0"/>
                <w:i w:val="0"/>
                <w:sz w:val="18"/>
              </w:rPr>
              <w:t>Occipital</w:t>
            </w:r>
          </w:p>
        </w:tc>
        <w:tc>
          <w:tcPr>
            <w:tcW w:type="dxa" w:w="2880"/>
          </w:tcPr>
          <w:p>
            <w:r/>
            <w:r>
              <w:rPr>
                <w:rFonts w:ascii="Times New Roman" w:hAnsi="Times New Roman"/>
                <w:b w:val="0"/>
                <w:i w:val="0"/>
                <w:sz w:val="18"/>
              </w:rPr>
              <w:t>404</w:t>
            </w:r>
          </w:p>
        </w:tc>
        <w:tc>
          <w:tcPr>
            <w:tcW w:type="dxa" w:w="2880"/>
          </w:tcPr>
          <w:p>
            <w:r/>
          </w:p>
        </w:tc>
      </w:tr>
      <w:tr>
        <w:tc>
          <w:tcPr>
            <w:tcW w:type="dxa" w:w="2880"/>
          </w:tcPr>
          <w:p>
            <w:r/>
            <w:r>
              <w:rPr>
                <w:rFonts w:ascii="Times New Roman" w:hAnsi="Times New Roman"/>
                <w:b w:val="0"/>
                <w:i w:val="0"/>
                <w:sz w:val="18"/>
              </w:rPr>
              <w:t>Abnormal slowing</w:t>
            </w:r>
          </w:p>
        </w:tc>
        <w:tc>
          <w:tcPr>
            <w:tcW w:type="dxa" w:w="2880"/>
          </w:tcPr>
          <w:p>
            <w:r/>
            <w:r>
              <w:rPr>
                <w:rFonts w:ascii="Times New Roman" w:hAnsi="Times New Roman"/>
                <w:b w:val="0"/>
                <w:i w:val="0"/>
                <w:sz w:val="18"/>
              </w:rPr>
              <w:t>4524</w:t>
            </w:r>
          </w:p>
        </w:tc>
        <w:tc>
          <w:tcPr>
            <w:tcW w:type="dxa" w:w="2880"/>
          </w:tcPr>
          <w:p>
            <w:r/>
            <w:r>
              <w:rPr>
                <w:rFonts w:ascii="Times New Roman" w:hAnsi="Times New Roman"/>
                <w:b w:val="0"/>
                <w:i w:val="0"/>
                <w:sz w:val="18"/>
              </w:rPr>
              <w:t>of 10726 studies</w:t>
            </w:r>
          </w:p>
        </w:tc>
      </w:tr>
      <w:tr>
        <w:tc>
          <w:tcPr>
            <w:tcW w:type="dxa" w:w="2880"/>
          </w:tcPr>
          <w:p>
            <w:r/>
            <w:r>
              <w:rPr>
                <w:rFonts w:ascii="Times New Roman" w:hAnsi="Times New Roman"/>
                <w:b w:val="0"/>
                <w:i w:val="0"/>
                <w:sz w:val="18"/>
              </w:rPr>
              <w:t>Electrographic seizures</w:t>
            </w:r>
          </w:p>
        </w:tc>
        <w:tc>
          <w:tcPr>
            <w:tcW w:type="dxa" w:w="2880"/>
          </w:tcPr>
          <w:p>
            <w:r/>
            <w:r>
              <w:rPr>
                <w:rFonts w:ascii="Times New Roman" w:hAnsi="Times New Roman"/>
                <w:b w:val="0"/>
                <w:i w:val="0"/>
                <w:sz w:val="18"/>
              </w:rPr>
              <w:t>2379</w:t>
            </w:r>
          </w:p>
        </w:tc>
        <w:tc>
          <w:tcPr>
            <w:tcW w:type="dxa" w:w="2880"/>
          </w:tcPr>
          <w:p>
            <w:r/>
            <w:r>
              <w:rPr>
                <w:rFonts w:ascii="Times New Roman" w:hAnsi="Times New Roman"/>
                <w:b w:val="0"/>
                <w:i w:val="0"/>
                <w:sz w:val="18"/>
              </w:rPr>
              <w:t>of 10726 studies</w:t>
            </w:r>
          </w:p>
        </w:tc>
      </w:tr>
      <w:tr>
        <w:tc>
          <w:tcPr>
            <w:tcW w:type="dxa" w:w="2880"/>
          </w:tcPr>
          <w:p>
            <w:r/>
            <w:r>
              <w:rPr>
                <w:rFonts w:ascii="Times New Roman" w:hAnsi="Times New Roman"/>
                <w:b w:val="0"/>
                <w:i w:val="0"/>
                <w:sz w:val="18"/>
              </w:rPr>
              <w:t>Patient-reported events</w:t>
            </w:r>
          </w:p>
        </w:tc>
        <w:tc>
          <w:tcPr>
            <w:tcW w:type="dxa" w:w="2880"/>
          </w:tcPr>
          <w:p>
            <w:r/>
            <w:r>
              <w:rPr>
                <w:rFonts w:ascii="Times New Roman" w:hAnsi="Times New Roman"/>
                <w:b w:val="0"/>
                <w:i w:val="0"/>
                <w:sz w:val="18"/>
              </w:rPr>
              <w:t>5119</w:t>
            </w:r>
          </w:p>
        </w:tc>
        <w:tc>
          <w:tcPr>
            <w:tcW w:type="dxa" w:w="2880"/>
          </w:tcPr>
          <w:p>
            <w:r/>
          </w:p>
        </w:tc>
      </w:tr>
      <w:tr>
        <w:tc>
          <w:tcPr>
            <w:tcW w:type="dxa" w:w="2880"/>
          </w:tcPr>
          <w:p>
            <w:r/>
            <w:r>
              <w:rPr>
                <w:rFonts w:ascii="Times New Roman" w:hAnsi="Times New Roman"/>
                <w:b w:val="0"/>
                <w:i w:val="0"/>
                <w:sz w:val="18"/>
              </w:rPr>
              <w:t>With timestamp</w:t>
            </w:r>
          </w:p>
        </w:tc>
        <w:tc>
          <w:tcPr>
            <w:tcW w:type="dxa" w:w="2880"/>
          </w:tcPr>
          <w:p>
            <w:r/>
            <w:r>
              <w:rPr>
                <w:rFonts w:ascii="Times New Roman" w:hAnsi="Times New Roman"/>
                <w:b w:val="0"/>
                <w:i w:val="0"/>
                <w:sz w:val="18"/>
              </w:rPr>
              <w:t>5011</w:t>
            </w:r>
          </w:p>
        </w:tc>
        <w:tc>
          <w:tcPr>
            <w:tcW w:type="dxa" w:w="2880"/>
          </w:tcPr>
          <w:p>
            <w:r/>
            <w:r>
              <w:rPr>
                <w:rFonts w:ascii="Times New Roman" w:hAnsi="Times New Roman"/>
                <w:b w:val="0"/>
                <w:i w:val="0"/>
                <w:sz w:val="18"/>
              </w:rPr>
              <w:t>(98%)</w:t>
            </w:r>
          </w:p>
        </w:tc>
      </w:tr>
    </w:tbl>
    <w:p/>
    <w:p>
      <w:r>
        <w:rPr>
          <w:rFonts w:ascii="Times New Roman" w:hAnsi="Times New Roman"/>
          <w:b w:val="0"/>
          <w:i/>
          <w:sz w:val="22"/>
        </w:rPr>
        <w:t>Morphology, distribution, laterality, and region were extracted from free-text descriptions using regex pattern matching. Categories are not mutually exclusive; a single description may contain multiple morphology or distribution terms.</w:t>
      </w:r>
    </w:p>
    <w:p>
      <w:pPr>
        <w:spacing w:after="120"/>
      </w:pPr>
      <w:r>
        <w:rPr>
          <w:rFonts w:ascii="Times New Roman" w:hAnsi="Times New Roman"/>
          <w:b/>
          <w:i w:val="0"/>
          <w:sz w:val="22"/>
        </w:rPr>
        <w:t>Supplementary Table 5. Hourly EEG monitoring data.</w:t>
      </w:r>
      <w:r>
        <w:rPr>
          <w:rFonts w:ascii="Times New Roman" w:hAnsi="Times New Roman"/>
          <w:b w:val="0"/>
          <w:i w:val="0"/>
          <w:sz w:val="22"/>
        </w:rPr>
        <w:t xml:space="preserve"> Summary of technician monitoring activity extracted from TrackIT monitoring logs in technologist scan reports. All counts are regenerated from committed de-identified aggregates (`output/ehr_deid_tables/monitoring_summary.csv`, `monitoring_hour_of_day.csv`, `monitoring_event_counts.csv`) by `manuscript-materials/generate_tables_and_figures.py`.</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b/>
                <w:i w:val="0"/>
                <w:sz w:val="18"/>
              </w:rPr>
              <w:t>Metric</w:t>
            </w:r>
          </w:p>
        </w:tc>
        <w:tc>
          <w:tcPr>
            <w:tcW w:type="dxa" w:w="4320"/>
          </w:tcPr>
          <w:p>
            <w:r/>
            <w:r>
              <w:rPr>
                <w:rFonts w:ascii="Times New Roman" w:hAnsi="Times New Roman"/>
                <w:b/>
                <w:i w:val="0"/>
                <w:sz w:val="18"/>
              </w:rPr>
              <w:t>Value</w:t>
            </w:r>
          </w:p>
        </w:tc>
      </w:tr>
      <w:tr>
        <w:tc>
          <w:tcPr>
            <w:tcW w:type="dxa" w:w="4320"/>
          </w:tcPr>
          <w:p>
            <w:r/>
            <w:r>
              <w:rPr>
                <w:rFonts w:ascii="Times New Roman" w:hAnsi="Times New Roman"/>
                <w:b w:val="0"/>
                <w:i w:val="0"/>
                <w:sz w:val="18"/>
              </w:rPr>
              <w:t>Studies with monitoring data</w:t>
            </w:r>
          </w:p>
        </w:tc>
        <w:tc>
          <w:tcPr>
            <w:tcW w:type="dxa" w:w="4320"/>
          </w:tcPr>
          <w:p>
            <w:r/>
            <w:r>
              <w:rPr>
                <w:rFonts w:ascii="Times New Roman" w:hAnsi="Times New Roman"/>
                <w:b w:val="0"/>
                <w:i w:val="0"/>
                <w:sz w:val="18"/>
              </w:rPr>
              <w:t>6413</w:t>
            </w:r>
          </w:p>
        </w:tc>
      </w:tr>
      <w:tr>
        <w:tc>
          <w:tcPr>
            <w:tcW w:type="dxa" w:w="4320"/>
          </w:tcPr>
          <w:p>
            <w:r/>
            <w:r>
              <w:rPr>
                <w:rFonts w:ascii="Times New Roman" w:hAnsi="Times New Roman"/>
                <w:b w:val="0"/>
                <w:i w:val="0"/>
                <w:sz w:val="18"/>
              </w:rPr>
              <w:t>Total logged hours</w:t>
            </w:r>
          </w:p>
        </w:tc>
        <w:tc>
          <w:tcPr>
            <w:tcW w:type="dxa" w:w="4320"/>
          </w:tcPr>
          <w:p>
            <w:r/>
            <w:r>
              <w:rPr>
                <w:rFonts w:ascii="Times New Roman" w:hAnsi="Times New Roman"/>
                <w:b w:val="0"/>
                <w:i w:val="0"/>
                <w:sz w:val="18"/>
              </w:rPr>
              <w:t>296,948</w:t>
            </w:r>
          </w:p>
        </w:tc>
      </w:tr>
      <w:tr>
        <w:tc>
          <w:tcPr>
            <w:tcW w:type="dxa" w:w="4320"/>
          </w:tcPr>
          <w:p>
            <w:r/>
            <w:r>
              <w:rPr>
                <w:rFonts w:ascii="Times New Roman" w:hAnsi="Times New Roman"/>
                <w:b w:val="0"/>
                <w:i w:val="0"/>
                <w:sz w:val="18"/>
              </w:rPr>
              <w:t>Hours recording active</w:t>
            </w:r>
          </w:p>
        </w:tc>
        <w:tc>
          <w:tcPr>
            <w:tcW w:type="dxa" w:w="4320"/>
          </w:tcPr>
          <w:p>
            <w:r/>
            <w:r>
              <w:rPr>
                <w:rFonts w:ascii="Times New Roman" w:hAnsi="Times New Roman"/>
                <w:b w:val="0"/>
                <w:i w:val="0"/>
                <w:sz w:val="18"/>
              </w:rPr>
              <w:t>273,796 (92%)</w:t>
            </w:r>
          </w:p>
        </w:tc>
      </w:tr>
      <w:tr>
        <w:tc>
          <w:tcPr>
            <w:tcW w:type="dxa" w:w="4320"/>
          </w:tcPr>
          <w:p>
            <w:r/>
            <w:r>
              <w:rPr>
                <w:rFonts w:ascii="Times New Roman" w:hAnsi="Times New Roman"/>
                <w:b w:val="0"/>
                <w:i w:val="0"/>
                <w:sz w:val="18"/>
              </w:rPr>
              <w:t>Distinct days/study, median (IQR)</w:t>
            </w:r>
          </w:p>
        </w:tc>
        <w:tc>
          <w:tcPr>
            <w:tcW w:type="dxa" w:w="4320"/>
          </w:tcPr>
          <w:p>
            <w:r/>
            <w:r>
              <w:rPr>
                <w:rFonts w:ascii="Times New Roman" w:hAnsi="Times New Roman"/>
                <w:b w:val="0"/>
                <w:i w:val="0"/>
                <w:sz w:val="18"/>
              </w:rPr>
              <w:t>3.0 (2.0-4.0)</w:t>
            </w:r>
          </w:p>
        </w:tc>
      </w:tr>
      <w:tr>
        <w:tc>
          <w:tcPr>
            <w:tcW w:type="dxa" w:w="4320"/>
          </w:tcPr>
          <w:p>
            <w:r/>
            <w:r>
              <w:rPr>
                <w:rFonts w:ascii="Times New Roman" w:hAnsi="Times New Roman"/>
                <w:b w:val="0"/>
                <w:i w:val="0"/>
                <w:sz w:val="18"/>
              </w:rPr>
              <w:t>Monitoring events</w:t>
            </w:r>
          </w:p>
        </w:tc>
        <w:tc>
          <w:tcPr>
            <w:tcW w:type="dxa" w:w="4320"/>
          </w:tcPr>
          <w:p>
            <w:r/>
            <w:r>
              <w:rPr>
                <w:rFonts w:ascii="Times New Roman" w:hAnsi="Times New Roman"/>
                <w:b w:val="0"/>
                <w:i w:val="0"/>
                <w:sz w:val="18"/>
              </w:rPr>
              <w:t>173,096</w:t>
            </w:r>
          </w:p>
        </w:tc>
      </w:tr>
      <w:tr>
        <w:tc>
          <w:tcPr>
            <w:tcW w:type="dxa" w:w="4320"/>
          </w:tcPr>
          <w:p>
            <w:r/>
            <w:r>
              <w:rPr>
                <w:rFonts w:ascii="Times New Roman" w:hAnsi="Times New Roman"/>
                <w:b w:val="0"/>
                <w:i w:val="0"/>
                <w:sz w:val="18"/>
              </w:rPr>
              <w:t>EEG reviewed</w:t>
            </w:r>
          </w:p>
        </w:tc>
        <w:tc>
          <w:tcPr>
            <w:tcW w:type="dxa" w:w="4320"/>
          </w:tcPr>
          <w:p>
            <w:r/>
            <w:r>
              <w:rPr>
                <w:rFonts w:ascii="Times New Roman" w:hAnsi="Times New Roman"/>
                <w:b w:val="0"/>
                <w:i w:val="0"/>
                <w:sz w:val="18"/>
              </w:rPr>
              <w:t>134,875</w:t>
            </w:r>
          </w:p>
        </w:tc>
      </w:tr>
      <w:tr>
        <w:tc>
          <w:tcPr>
            <w:tcW w:type="dxa" w:w="4320"/>
          </w:tcPr>
          <w:p>
            <w:r/>
            <w:r>
              <w:rPr>
                <w:rFonts w:ascii="Times New Roman" w:hAnsi="Times New Roman"/>
                <w:b w:val="0"/>
                <w:i w:val="0"/>
                <w:sz w:val="18"/>
              </w:rPr>
              <w:t>General notes</w:t>
            </w:r>
          </w:p>
        </w:tc>
        <w:tc>
          <w:tcPr>
            <w:tcW w:type="dxa" w:w="4320"/>
          </w:tcPr>
          <w:p>
            <w:r/>
            <w:r>
              <w:rPr>
                <w:rFonts w:ascii="Times New Roman" w:hAnsi="Times New Roman"/>
                <w:b w:val="0"/>
                <w:i w:val="0"/>
                <w:sz w:val="18"/>
              </w:rPr>
              <w:t>37,704</w:t>
            </w:r>
          </w:p>
        </w:tc>
      </w:tr>
      <w:tr>
        <w:tc>
          <w:tcPr>
            <w:tcW w:type="dxa" w:w="4320"/>
          </w:tcPr>
          <w:p>
            <w:r/>
            <w:r>
              <w:rPr>
                <w:rFonts w:ascii="Times New Roman" w:hAnsi="Times New Roman"/>
                <w:b w:val="0"/>
                <w:i w:val="0"/>
                <w:sz w:val="18"/>
              </w:rPr>
              <w:t>Equipment failures</w:t>
            </w:r>
          </w:p>
        </w:tc>
        <w:tc>
          <w:tcPr>
            <w:tcW w:type="dxa" w:w="4320"/>
          </w:tcPr>
          <w:p>
            <w:r/>
            <w:r>
              <w:rPr>
                <w:rFonts w:ascii="Times New Roman" w:hAnsi="Times New Roman"/>
                <w:b w:val="0"/>
                <w:i w:val="0"/>
                <w:sz w:val="18"/>
              </w:rPr>
              <w:t>517</w:t>
            </w:r>
          </w:p>
        </w:tc>
      </w:tr>
    </w:tbl>
    <w:p/>
    <w:p>
      <w:r>
        <w:rPr>
          <w:rFonts w:ascii="Times New Roman" w:hAnsi="Times New Roman"/>
          <w:b w:val="0"/>
          <w:i/>
          <w:sz w:val="22"/>
        </w:rPr>
        <w:t>Each monitoring hour was documented individually by the assigned EEG technician, including impedance readings, recording status, battery levels, and free-text observations. Hour-by-hour data enables reconstruction of the complete monitoring timeline for each study.</w:t>
      </w:r>
    </w:p>
    <w:p>
      <w:pPr>
        <w:pStyle w:val="Heading2"/>
      </w:pPr>
      <w:r>
        <w:rPr>
          <w:rFonts w:ascii="Times New Roman" w:hAnsi="Times New Roman"/>
          <w:b/>
          <w:i w:val="0"/>
          <w:sz w:val="24"/>
        </w:rPr>
        <w:t>Supplementary Figure Legends</w:t>
      </w:r>
    </w:p>
    <w:p>
      <w:pPr>
        <w:jc w:val="center"/>
      </w:pPr>
      <w:r>
        <w:drawing>
          <wp:inline xmlns:a="http://schemas.openxmlformats.org/drawingml/2006/main" xmlns:pic="http://schemas.openxmlformats.org/drawingml/2006/picture">
            <wp:extent cx="5486400" cy="3196180"/>
            <wp:docPr id="5" name="Picture 5"/>
            <wp:cNvGraphicFramePr>
              <a:graphicFrameLocks noChangeAspect="1"/>
            </wp:cNvGraphicFramePr>
            <a:graphic>
              <a:graphicData uri="http://schemas.openxmlformats.org/drawingml/2006/picture">
                <pic:pic>
                  <pic:nvPicPr>
                    <pic:cNvPr id="0" name="supp_figure1_eeg_example.png"/>
                    <pic:cNvPicPr/>
                  </pic:nvPicPr>
                  <pic:blipFill>
                    <a:blip r:embed="rId17"/>
                    <a:stretch>
                      <a:fillRect/>
                    </a:stretch>
                  </pic:blipFill>
                  <pic:spPr>
                    <a:xfrm>
                      <a:off x="0" y="0"/>
                      <a:ext cx="5486400" cy="3196180"/>
                    </a:xfrm>
                    <a:prstGeom prst="rect"/>
                  </pic:spPr>
                </pic:pic>
              </a:graphicData>
            </a:graphic>
          </wp:inline>
        </w:drawing>
      </w:r>
    </w:p>
    <w:p>
      <w:pPr>
        <w:spacing w:after="240"/>
      </w:pPr>
      <w:r>
        <w:rPr>
          <w:rFonts w:ascii="Times New Roman" w:hAnsi="Times New Roman"/>
          <w:b/>
          <w:i w:val="0"/>
          <w:sz w:val="22"/>
        </w:rPr>
        <w:t>Supplementary Figure 1.</w:t>
      </w:r>
      <w:r>
        <w:rPr>
          <w:rFonts w:ascii="Times New Roman" w:hAnsi="Times New Roman"/>
          <w:b w:val="0"/>
          <w:i w:val="0"/>
          <w:sz w:val="22"/>
        </w:rPr>
        <w:t xml:space="preserve"> Example EEG traces from a representative recording in standard bipolar montage showing normal background activity (left) and an interictal spike with technician annotation (right). Eight channels from the standard 10-20 montage are displayed; scale bars indicate 100 microvolts and 1 second. The annotation "NT-Bi-occipital S/W, right dominant" illustrates the free-text clinical observations preserved in the dataset.</w:t>
      </w:r>
    </w:p>
    <w:p>
      <w:pPr>
        <w:jc w:val="center"/>
      </w:pPr>
      <w:r>
        <w:drawing>
          <wp:inline xmlns:a="http://schemas.openxmlformats.org/drawingml/2006/main" xmlns:pic="http://schemas.openxmlformats.org/drawingml/2006/picture">
            <wp:extent cx="5486400" cy="3062177"/>
            <wp:docPr id="6" name="Picture 6"/>
            <wp:cNvGraphicFramePr>
              <a:graphicFrameLocks noChangeAspect="1"/>
            </wp:cNvGraphicFramePr>
            <a:graphic>
              <a:graphicData uri="http://schemas.openxmlformats.org/drawingml/2006/picture">
                <pic:pic>
                  <pic:nvPicPr>
                    <pic:cNvPr id="0" name="supp_figure2_deidentification.png"/>
                    <pic:cNvPicPr/>
                  </pic:nvPicPr>
                  <pic:blipFill>
                    <a:blip r:embed="rId18"/>
                    <a:stretch>
                      <a:fillRect/>
                    </a:stretch>
                  </pic:blipFill>
                  <pic:spPr>
                    <a:xfrm>
                      <a:off x="0" y="0"/>
                      <a:ext cx="5486400" cy="3062177"/>
                    </a:xfrm>
                    <a:prstGeom prst="rect"/>
                  </pic:spPr>
                </pic:pic>
              </a:graphicData>
            </a:graphic>
          </wp:inline>
        </w:drawing>
      </w:r>
    </w:p>
    <w:p>
      <w:pPr>
        <w:spacing w:after="240"/>
      </w:pPr>
      <w:r>
        <w:rPr>
          <w:rFonts w:ascii="Times New Roman" w:hAnsi="Times New Roman"/>
          <w:b/>
          <w:i w:val="0"/>
          <w:sz w:val="22"/>
        </w:rPr>
        <w:t>Supplementary Figure 2.</w:t>
      </w:r>
      <w:r>
        <w:rPr>
          <w:rFonts w:ascii="Times New Roman" w:hAnsi="Times New Roman"/>
          <w:b w:val="0"/>
          <w:i w:val="0"/>
          <w:sz w:val="22"/>
        </w:rPr>
        <w:t xml:space="preserve"> De-identification of EDF header fields. Each row shows a header field before (containing protected health information) and after de-identification. Patient names are replaced with placeholders, identifiers are reassigned, dates are shifted by a consistent per-patient random offset, and technician identifiers are removed. Equipment information is preserved. All examples shown are fictitious.</w:t>
      </w:r>
    </w:p>
    <w:p>
      <w:pPr>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supp_figure3_comorbidities_meds.png"/>
                    <pic:cNvPicPr/>
                  </pic:nvPicPr>
                  <pic:blipFill>
                    <a:blip r:embed="rId19"/>
                    <a:stretch>
                      <a:fillRect/>
                    </a:stretch>
                  </pic:blipFill>
                  <pic:spPr>
                    <a:xfrm>
                      <a:off x="0" y="0"/>
                      <a:ext cx="5486400" cy="2286000"/>
                    </a:xfrm>
                    <a:prstGeom prst="rect"/>
                  </pic:spPr>
                </pic:pic>
              </a:graphicData>
            </a:graphic>
          </wp:inline>
        </w:drawing>
      </w:r>
    </w:p>
    <w:p>
      <w:pPr>
        <w:spacing w:after="240"/>
      </w:pPr>
      <w:r>
        <w:rPr>
          <w:rFonts w:ascii="Times New Roman" w:hAnsi="Times New Roman"/>
          <w:b/>
          <w:i w:val="0"/>
          <w:sz w:val="22"/>
        </w:rPr>
        <w:t>Supplementary Figure 3.</w:t>
      </w:r>
      <w:r>
        <w:rPr>
          <w:rFonts w:ascii="Times New Roman" w:hAnsi="Times New Roman"/>
          <w:b w:val="0"/>
          <w:i w:val="0"/>
          <w:sz w:val="22"/>
        </w:rPr>
        <w:t xml:space="preserve"> Comorbidities and anti-seizure medications. (A) Ten most frequent comorbidities extracted from clinical progress notes, excluding seizure-related diagnoses. (B) Ten most frequently prescribed anti-seizure medications. Levetiracetam is the most common, consistent with its status as a first-line agent.</w:t>
      </w:r>
    </w:p>
    <w:p>
      <w:pPr>
        <w:jc w:val="center"/>
      </w:pPr>
      <w:r>
        <w:drawing>
          <wp:inline xmlns:a="http://schemas.openxmlformats.org/drawingml/2006/main" xmlns:pic="http://schemas.openxmlformats.org/drawingml/2006/picture">
            <wp:extent cx="5486400" cy="2286000"/>
            <wp:docPr id="8" name="Picture 8"/>
            <wp:cNvGraphicFramePr>
              <a:graphicFrameLocks noChangeAspect="1"/>
            </wp:cNvGraphicFramePr>
            <a:graphic>
              <a:graphicData uri="http://schemas.openxmlformats.org/drawingml/2006/picture">
                <pic:pic>
                  <pic:nvPicPr>
                    <pic:cNvPr id="0" name="supp_figure4_monitoring.png"/>
                    <pic:cNvPicPr/>
                  </pic:nvPicPr>
                  <pic:blipFill>
                    <a:blip r:embed="rId20"/>
                    <a:stretch>
                      <a:fillRect/>
                    </a:stretch>
                  </pic:blipFill>
                  <pic:spPr>
                    <a:xfrm>
                      <a:off x="0" y="0"/>
                      <a:ext cx="5486400" cy="2286000"/>
                    </a:xfrm>
                    <a:prstGeom prst="rect"/>
                  </pic:spPr>
                </pic:pic>
              </a:graphicData>
            </a:graphic>
          </wp:inline>
        </w:drawing>
      </w:r>
    </w:p>
    <w:p>
      <w:pPr>
        <w:spacing w:after="240"/>
      </w:pPr>
      <w:r>
        <w:rPr>
          <w:rFonts w:ascii="Times New Roman" w:hAnsi="Times New Roman"/>
          <w:b/>
          <w:i w:val="0"/>
          <w:sz w:val="22"/>
        </w:rPr>
        <w:t>Supplementary Figure 4.</w:t>
      </w:r>
      <w:r>
        <w:rPr>
          <w:rFonts w:ascii="Times New Roman" w:hAnsi="Times New Roman"/>
          <w:b w:val="0"/>
          <w:i w:val="0"/>
          <w:sz w:val="22"/>
        </w:rPr>
        <w:t xml:space="preserve"> Monitoring characteristics. (A) Distribution of total monitoring duration across 6413 studies with hour-by-hour monitoring data. Peaks at 24 and 48 hours reflect standard ordered monitoring durations. (B) Recording activity by hour of day across all 296,948 documented monitoring hours. Light shading shows total hours logged; dark shading shows hours with active recording. The slight reduction in active recording during daytime hours reflects battery replacements, electrode troubleshooting, and brief patient disconnections documented in the monitoring logs.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bdsp.io/content/nf89816gtxbon11kbr9a/1.0/" TargetMode="External"/><Relationship Id="rId10" Type="http://schemas.openxmlformats.org/officeDocument/2006/relationships/hyperlink" Target="https://doi.org/10.60508/v99k-ek82" TargetMode="External"/><Relationship Id="rId11" Type="http://schemas.openxmlformats.org/officeDocument/2006/relationships/hyperlink" Target="https://bdsp.io" TargetMode="External"/><Relationship Id="rId12" Type="http://schemas.openxmlformats.org/officeDocument/2006/relationships/hyperlink" Target="https://github.com/bdsp-core/Neurotech-EEG-Wrangling" TargetMode="Externa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