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 yet the global shortage of trained EEG readers creates a bottleneck affecting the approximately 50 million people living with epilepsy worldwide[1].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public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existing public EEG datasets by number of patients and total recording hours on a logarithmic scale.</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Westover, M.B. et al. Machine learning for electroencephalography: current status and future directions. </w:t>
      </w:r>
      <w:r>
        <w:rPr>
          <w:rFonts w:ascii="Times New Roman" w:hAnsi="Times New Roman"/>
          <w:b w:val="0"/>
          <w:i/>
          <w:sz w:val="22"/>
        </w:rPr>
        <w:t>J. Clin. Neurophysiol.</w:t>
      </w:r>
      <w:r>
        <w:rPr>
          <w:rFonts w:ascii="Times New Roman" w:hAnsi="Times New Roman"/>
          <w:b w:val="0"/>
          <w:i w:val="0"/>
          <w:sz w:val="22"/>
        </w:rPr>
        <w:t xml:space="preserve"> (2023).</w:t>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3351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1671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503</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713</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1943</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880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330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5126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5018</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