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B30E" w14:textId="77777777" w:rsidR="0014329C" w:rsidRDefault="0014329C" w:rsidP="0014329C">
      <w:pPr>
        <w:spacing w:line="480" w:lineRule="auto"/>
        <w:ind w:firstLine="720"/>
        <w:jc w:val="both"/>
        <w:rPr>
          <w:rFonts w:ascii="Times New Roman" w:hAnsi="Times New Roman" w:cs="Times New Roman"/>
          <w:sz w:val="24"/>
          <w:szCs w:val="24"/>
        </w:rPr>
      </w:pPr>
      <w:bookmarkStart w:id="0" w:name="_Hlk194309732"/>
      <w:r w:rsidRPr="009208F8">
        <w:rPr>
          <w:rFonts w:ascii="Times New Roman" w:hAnsi="Times New Roman" w:cs="Times New Roman"/>
          <w:sz w:val="24"/>
          <w:szCs w:val="24"/>
        </w:rPr>
        <w:t xml:space="preserve">Imagine performing biceps curls, where the biceps brachii contract during the lifting (concentric) phase, acting as the agonist muscle responsible for raising the weight. Meanwhile, the triceps, serve as the antagonist muscle, </w:t>
      </w:r>
      <w:r>
        <w:rPr>
          <w:rFonts w:ascii="Times New Roman" w:hAnsi="Times New Roman" w:cs="Times New Roman"/>
          <w:sz w:val="24"/>
          <w:szCs w:val="24"/>
        </w:rPr>
        <w:t>and</w:t>
      </w:r>
      <w:r w:rsidRPr="009208F8">
        <w:rPr>
          <w:rFonts w:ascii="Times New Roman" w:hAnsi="Times New Roman" w:cs="Times New Roman"/>
          <w:sz w:val="24"/>
          <w:szCs w:val="24"/>
        </w:rPr>
        <w:t xml:space="preserve"> are coactivated to stabilize the elbow, preventing excessive motion and ensuring controlled movement. </w:t>
      </w:r>
      <w:r w:rsidRPr="00BA6066">
        <w:rPr>
          <w:rFonts w:ascii="Times New Roman" w:hAnsi="Times New Roman" w:cs="Times New Roman"/>
          <w:sz w:val="24"/>
          <w:szCs w:val="24"/>
        </w:rPr>
        <w:t>This concept is widely accepted, especially in tasks requiring control and stability, such as balance, jogging, and changing posture (Vieira et al., 2019).</w:t>
      </w:r>
      <w:r>
        <w:rPr>
          <w:rFonts w:ascii="Times New Roman" w:hAnsi="Times New Roman" w:cs="Times New Roman"/>
          <w:sz w:val="24"/>
          <w:szCs w:val="24"/>
        </w:rPr>
        <w:t xml:space="preserve"> </w:t>
      </w:r>
      <w:r w:rsidRPr="00B50A37">
        <w:rPr>
          <w:rFonts w:ascii="Times New Roman" w:hAnsi="Times New Roman" w:cs="Times New Roman"/>
          <w:sz w:val="24"/>
          <w:szCs w:val="24"/>
        </w:rPr>
        <w:t>However, new research suggests that coactivation may not only stiffen muscles but also improve the nervous system's responsiveness to sensory input, providing a better understanding of its role in motor control (Balshaw et al., 2018).</w:t>
      </w:r>
    </w:p>
    <w:p w14:paraId="7471FEF1" w14:textId="77777777" w:rsidR="0014329C" w:rsidRPr="0048627A" w:rsidRDefault="0014329C" w:rsidP="0014329C">
      <w:pPr>
        <w:spacing w:line="480" w:lineRule="auto"/>
        <w:ind w:firstLine="720"/>
        <w:jc w:val="both"/>
        <w:rPr>
          <w:rFonts w:ascii="Times New Roman" w:hAnsi="Times New Roman" w:cs="Times New Roman"/>
          <w:sz w:val="24"/>
          <w:szCs w:val="24"/>
        </w:rPr>
      </w:pPr>
      <w:bookmarkStart w:id="1" w:name="_Hlk194525896"/>
      <w:bookmarkEnd w:id="0"/>
      <w:commentRangeStart w:id="2"/>
      <w:r w:rsidRPr="0048627A">
        <w:rPr>
          <w:rFonts w:ascii="Times New Roman" w:hAnsi="Times New Roman" w:cs="Times New Roman"/>
          <w:sz w:val="24"/>
          <w:szCs w:val="24"/>
        </w:rPr>
        <w:t xml:space="preserve">Beyond stiffness, muscle coactivation is closely linked to how the nervous system processes sensory feedback through spinal and brain circuits. </w:t>
      </w:r>
      <w:bookmarkEnd w:id="1"/>
      <w:r w:rsidRPr="0048627A">
        <w:rPr>
          <w:rFonts w:ascii="Times New Roman" w:hAnsi="Times New Roman" w:cs="Times New Roman"/>
          <w:sz w:val="24"/>
          <w:szCs w:val="24"/>
        </w:rPr>
        <w:t xml:space="preserve">The short-latency response (SLR) hits fast, around 25–30 milliseconds, as a quick spinal reflex to a stretch (Maurus et al., 2024). Then the long-latency response (LLR), kicking in at 50–100 milliseconds, integrates cortical processing for more adaptable motor control (Maurus et al., 2024). While SLR reflects </w:t>
      </w:r>
      <w:bookmarkStart w:id="3" w:name="_Hlk194517037"/>
      <w:r w:rsidRPr="0048627A">
        <w:rPr>
          <w:rFonts w:ascii="Times New Roman" w:hAnsi="Times New Roman" w:cs="Times New Roman"/>
          <w:sz w:val="24"/>
          <w:szCs w:val="24"/>
        </w:rPr>
        <w:t xml:space="preserve">passive </w:t>
      </w:r>
      <w:bookmarkEnd w:id="3"/>
      <w:r w:rsidRPr="0048627A">
        <w:rPr>
          <w:rFonts w:ascii="Times New Roman" w:hAnsi="Times New Roman" w:cs="Times New Roman"/>
          <w:sz w:val="24"/>
          <w:szCs w:val="24"/>
        </w:rPr>
        <w:t xml:space="preserve">muscle properties, LLR incorporates descending control, </w:t>
      </w:r>
      <w:bookmarkStart w:id="4" w:name="_Hlk194526088"/>
      <w:r w:rsidRPr="0048627A">
        <w:rPr>
          <w:rFonts w:ascii="Times New Roman" w:hAnsi="Times New Roman" w:cs="Times New Roman"/>
          <w:sz w:val="24"/>
          <w:szCs w:val="24"/>
        </w:rPr>
        <w:t xml:space="preserve">which may be influenced by coactivation </w:t>
      </w:r>
      <w:bookmarkEnd w:id="4"/>
      <w:r w:rsidRPr="0048627A">
        <w:rPr>
          <w:rFonts w:ascii="Times New Roman" w:hAnsi="Times New Roman" w:cs="Times New Roman"/>
          <w:sz w:val="24"/>
          <w:szCs w:val="24"/>
        </w:rPr>
        <w:t xml:space="preserve">(Maurus et al., 2024). </w:t>
      </w:r>
      <w:bookmarkStart w:id="5" w:name="_Hlk194526145"/>
      <w:r w:rsidRPr="0048627A">
        <w:rPr>
          <w:rFonts w:ascii="Times New Roman" w:hAnsi="Times New Roman" w:cs="Times New Roman"/>
          <w:sz w:val="24"/>
          <w:szCs w:val="24"/>
        </w:rPr>
        <w:t xml:space="preserve">However, how coactivation modulates these feedback responses in dynamic tasks remains unclear.   </w:t>
      </w:r>
      <w:commentRangeEnd w:id="2"/>
      <w:r w:rsidR="00C57BF1">
        <w:rPr>
          <w:rStyle w:val="CommentReference"/>
        </w:rPr>
        <w:commentReference w:id="2"/>
      </w:r>
    </w:p>
    <w:p w14:paraId="544E621B" w14:textId="77777777" w:rsidR="0014329C" w:rsidRPr="000014E9" w:rsidRDefault="0014329C" w:rsidP="0014329C">
      <w:pPr>
        <w:spacing w:line="480" w:lineRule="auto"/>
        <w:ind w:firstLine="720"/>
        <w:jc w:val="both"/>
        <w:rPr>
          <w:rFonts w:ascii="Times New Roman" w:hAnsi="Times New Roman" w:cs="Times New Roman"/>
          <w:sz w:val="24"/>
          <w:szCs w:val="24"/>
        </w:rPr>
      </w:pPr>
      <w:bookmarkStart w:id="6" w:name="_Hlk194520095"/>
      <w:bookmarkEnd w:id="5"/>
      <w:r>
        <w:rPr>
          <w:rFonts w:ascii="Times New Roman" w:hAnsi="Times New Roman" w:cs="Times New Roman"/>
          <w:sz w:val="24"/>
          <w:szCs w:val="24"/>
        </w:rPr>
        <w:t>M</w:t>
      </w:r>
      <w:r w:rsidRPr="000014E9">
        <w:rPr>
          <w:rFonts w:ascii="Times New Roman" w:hAnsi="Times New Roman" w:cs="Times New Roman"/>
          <w:sz w:val="24"/>
          <w:szCs w:val="24"/>
        </w:rPr>
        <w:t>ost of the current research on coactivation is based on isolated muscle experiments or preclinical models. In these investigations, scientists use calcium solutions or nerve stimulation to control muscle activity. By varying calcium concentration, they can measure mechanical properties like stiffness and resistance to stretching (Gebel et al., 2019). While these studies provide useful insights, they do not account for neural feedback during real-life tasks that require both motor control and sensory processing (Kesar et al., 2019). Without including neural feedback, these experiments fail to capture the full extent of how coactivation influences movement.</w:t>
      </w:r>
    </w:p>
    <w:p w14:paraId="5E1677B4" w14:textId="77777777" w:rsidR="0014329C" w:rsidRDefault="0014329C" w:rsidP="0014329C">
      <w:pPr>
        <w:spacing w:line="480" w:lineRule="auto"/>
        <w:ind w:firstLine="720"/>
        <w:jc w:val="both"/>
        <w:rPr>
          <w:rFonts w:ascii="Times New Roman" w:hAnsi="Times New Roman" w:cs="Times New Roman"/>
          <w:sz w:val="24"/>
          <w:szCs w:val="24"/>
        </w:rPr>
      </w:pPr>
      <w:bookmarkStart w:id="7" w:name="_Hlk194520362"/>
      <w:bookmarkEnd w:id="6"/>
      <w:r w:rsidRPr="000014E9">
        <w:rPr>
          <w:rFonts w:ascii="Times New Roman" w:hAnsi="Times New Roman" w:cs="Times New Roman"/>
          <w:sz w:val="24"/>
          <w:szCs w:val="24"/>
        </w:rPr>
        <w:lastRenderedPageBreak/>
        <w:t>Human research frequently focuses on static conditions, where coactivation and stiffness are more directly related. When a muscle is activated under static conditions, it stiffens due to the actin-myosin cross bridges, whereas this relationship does not hold true for dynamic tasks. Movement introduces variability, making actin-myosin binding probabilistic, implying that stiffness is no longer determined solely by muscle activation (Vieira et al., 2019). Despite this, many studies apply static-condition findings to dynamic tasks, leaving gaps in our understanding of how coactivation works in real-world movements</w:t>
      </w:r>
      <w:r>
        <w:rPr>
          <w:rFonts w:ascii="Times New Roman" w:hAnsi="Times New Roman" w:cs="Times New Roman"/>
          <w:sz w:val="24"/>
          <w:szCs w:val="24"/>
        </w:rPr>
        <w:t xml:space="preserve">. </w:t>
      </w:r>
    </w:p>
    <w:p w14:paraId="1EFB22B0" w14:textId="77777777" w:rsidR="0014329C" w:rsidRDefault="0014329C" w:rsidP="0014329C">
      <w:pPr>
        <w:spacing w:line="480" w:lineRule="auto"/>
        <w:ind w:firstLine="720"/>
        <w:jc w:val="both"/>
        <w:rPr>
          <w:rFonts w:ascii="Times New Roman" w:hAnsi="Times New Roman" w:cs="Times New Roman"/>
          <w:sz w:val="24"/>
          <w:szCs w:val="24"/>
        </w:rPr>
      </w:pPr>
      <w:bookmarkStart w:id="8" w:name="_Hlk194521862"/>
      <w:bookmarkStart w:id="9" w:name="_Hlk194522013"/>
      <w:bookmarkEnd w:id="7"/>
      <w:r w:rsidRPr="00E632EA">
        <w:rPr>
          <w:rFonts w:ascii="Times New Roman" w:hAnsi="Times New Roman" w:cs="Times New Roman"/>
          <w:sz w:val="24"/>
          <w:szCs w:val="24"/>
        </w:rPr>
        <w:t xml:space="preserve">Another gap in the literature is the lack of focus on sensory feedback. </w:t>
      </w:r>
      <w:bookmarkEnd w:id="8"/>
      <w:r w:rsidRPr="00E632EA">
        <w:rPr>
          <w:rFonts w:ascii="Times New Roman" w:hAnsi="Times New Roman" w:cs="Times New Roman"/>
          <w:sz w:val="24"/>
          <w:szCs w:val="24"/>
        </w:rPr>
        <w:t xml:space="preserve">While surface electromyography (EMG) often assesses coactivation, few studies explore its impact on responses to disturbances or sensory inputs. Coactivation reduces movement variability and boosts precision (Balshaw et al., 2018), but its effect on the nervous system’s ability to process sensory data and handle perturbations remains unclear. </w:t>
      </w:r>
      <w:bookmarkStart w:id="10" w:name="_Hlk194522441"/>
      <w:bookmarkEnd w:id="9"/>
      <w:r w:rsidRPr="00E632EA">
        <w:rPr>
          <w:rFonts w:ascii="Times New Roman" w:hAnsi="Times New Roman" w:cs="Times New Roman"/>
          <w:sz w:val="24"/>
          <w:szCs w:val="24"/>
        </w:rPr>
        <w:t>Sensory feedback plays a vital role in guiding movement control, making this a critical area to investigate. The trade-off between metabolic cost and performance is also poorly understood. Increased coactivation enhances motor control and responsiveness (Peterson &amp; Martin, 2010), yet it raises energy demands, potentially limiting endurance in prolonged tasks. This cost is significant for sustained posture or rapid responses, where balancing stability and energy conservation is essential. How individuals adjust coactivation to optimize this trade-off is not well studied, highlighting a need for further research.</w:t>
      </w:r>
    </w:p>
    <w:p w14:paraId="236E7BCD" w14:textId="77777777" w:rsidR="0014329C" w:rsidRPr="00176021" w:rsidRDefault="0014329C" w:rsidP="0014329C">
      <w:pPr>
        <w:spacing w:line="480" w:lineRule="auto"/>
        <w:ind w:firstLine="720"/>
        <w:jc w:val="both"/>
        <w:rPr>
          <w:rFonts w:ascii="Times New Roman" w:hAnsi="Times New Roman" w:cs="Times New Roman"/>
          <w:color w:val="000000" w:themeColor="text1"/>
          <w:sz w:val="24"/>
          <w:szCs w:val="24"/>
          <w:lang w:val="en-US"/>
        </w:rPr>
      </w:pPr>
      <w:r w:rsidRPr="00FA7DE5">
        <w:rPr>
          <w:rFonts w:ascii="Times New Roman" w:hAnsi="Times New Roman" w:cs="Times New Roman"/>
          <w:sz w:val="24"/>
          <w:szCs w:val="24"/>
        </w:rPr>
        <w:t xml:space="preserve">This study examines how </w:t>
      </w:r>
      <w:r>
        <w:rPr>
          <w:rFonts w:ascii="Times New Roman" w:hAnsi="Times New Roman" w:cs="Times New Roman"/>
          <w:sz w:val="24"/>
          <w:szCs w:val="24"/>
        </w:rPr>
        <w:t xml:space="preserve">muscle </w:t>
      </w:r>
      <w:r w:rsidRPr="00FA7DE5">
        <w:rPr>
          <w:rFonts w:ascii="Times New Roman" w:hAnsi="Times New Roman" w:cs="Times New Roman"/>
          <w:sz w:val="24"/>
          <w:szCs w:val="24"/>
        </w:rPr>
        <w:t xml:space="preserve">coactivation </w:t>
      </w:r>
      <w:r w:rsidRPr="003E2A19">
        <w:rPr>
          <w:rFonts w:ascii="Times New Roman" w:hAnsi="Times New Roman" w:cs="Times New Roman"/>
          <w:sz w:val="24"/>
          <w:szCs w:val="24"/>
          <w:lang w:val="en-US"/>
        </w:rPr>
        <w:t>affect the trade-off between performance and metabolic cost during upper limb posture control with mechanical disturbances</w:t>
      </w:r>
      <w:r w:rsidRPr="00FA7DE5">
        <w:rPr>
          <w:rFonts w:ascii="Times New Roman" w:hAnsi="Times New Roman" w:cs="Times New Roman"/>
          <w:sz w:val="24"/>
          <w:szCs w:val="24"/>
        </w:rPr>
        <w:t xml:space="preserve">. The hypothesis </w:t>
      </w:r>
      <w:r>
        <w:rPr>
          <w:rFonts w:ascii="Times New Roman" w:hAnsi="Times New Roman" w:cs="Times New Roman"/>
          <w:sz w:val="24"/>
          <w:szCs w:val="24"/>
        </w:rPr>
        <w:t>is that there is</w:t>
      </w:r>
      <w:r w:rsidRPr="00FA7DE5">
        <w:rPr>
          <w:rFonts w:ascii="Times New Roman" w:hAnsi="Times New Roman" w:cs="Times New Roman"/>
          <w:sz w:val="24"/>
          <w:szCs w:val="24"/>
        </w:rPr>
        <w:t xml:space="preserve"> a trade-off between muscle coactivation, metabolic cost, and task performance</w:t>
      </w:r>
      <w:r>
        <w:rPr>
          <w:rFonts w:ascii="Times New Roman" w:hAnsi="Times New Roman" w:cs="Times New Roman"/>
          <w:sz w:val="24"/>
          <w:szCs w:val="24"/>
        </w:rPr>
        <w:t xml:space="preserve">. </w:t>
      </w:r>
      <w:r w:rsidRPr="00B916C4">
        <w:rPr>
          <w:rFonts w:ascii="Times New Roman" w:hAnsi="Times New Roman" w:cs="Times New Roman"/>
          <w:color w:val="000000" w:themeColor="text1"/>
          <w:sz w:val="24"/>
          <w:szCs w:val="24"/>
        </w:rPr>
        <w:t xml:space="preserve">Higher coactivation levels may improve responsiveness to perturbations </w:t>
      </w:r>
      <w:r>
        <w:rPr>
          <w:rFonts w:ascii="Times New Roman" w:hAnsi="Times New Roman" w:cs="Times New Roman"/>
          <w:color w:val="000000" w:themeColor="text1"/>
          <w:sz w:val="24"/>
          <w:szCs w:val="24"/>
        </w:rPr>
        <w:t xml:space="preserve">and </w:t>
      </w:r>
      <w:r w:rsidRPr="00176021">
        <w:rPr>
          <w:rFonts w:ascii="Times New Roman" w:hAnsi="Times New Roman" w:cs="Times New Roman"/>
          <w:color w:val="000000" w:themeColor="text1"/>
          <w:sz w:val="24"/>
          <w:szCs w:val="24"/>
          <w:lang w:val="en-US"/>
        </w:rPr>
        <w:t xml:space="preserve">improve performance (e.g., lower error rates) </w:t>
      </w:r>
      <w:r>
        <w:rPr>
          <w:rFonts w:ascii="Times New Roman" w:hAnsi="Times New Roman" w:cs="Times New Roman"/>
          <w:color w:val="000000" w:themeColor="text1"/>
          <w:sz w:val="24"/>
          <w:szCs w:val="24"/>
          <w:lang w:val="en-US"/>
        </w:rPr>
        <w:t xml:space="preserve">but it might come </w:t>
      </w:r>
      <w:r w:rsidRPr="00176021">
        <w:rPr>
          <w:rFonts w:ascii="Times New Roman" w:hAnsi="Times New Roman" w:cs="Times New Roman"/>
          <w:color w:val="000000" w:themeColor="text1"/>
          <w:sz w:val="24"/>
          <w:szCs w:val="24"/>
          <w:lang w:val="en-US"/>
        </w:rPr>
        <w:t xml:space="preserve">at the expense of increased </w:t>
      </w:r>
      <w:r w:rsidRPr="00176021">
        <w:rPr>
          <w:rFonts w:ascii="Times New Roman" w:hAnsi="Times New Roman" w:cs="Times New Roman"/>
          <w:color w:val="000000" w:themeColor="text1"/>
          <w:sz w:val="24"/>
          <w:szCs w:val="24"/>
          <w:lang w:val="en-US"/>
        </w:rPr>
        <w:lastRenderedPageBreak/>
        <w:t>metabolic cost.</w:t>
      </w:r>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rPr>
        <w:t>On the contrary</w:t>
      </w:r>
      <w:r w:rsidRPr="00B916C4">
        <w:rPr>
          <w:rFonts w:ascii="Times New Roman" w:hAnsi="Times New Roman" w:cs="Times New Roman"/>
          <w:color w:val="000000" w:themeColor="text1"/>
          <w:sz w:val="24"/>
          <w:szCs w:val="24"/>
        </w:rPr>
        <w:t xml:space="preserve">, lower coactivation may </w:t>
      </w:r>
      <w:r>
        <w:rPr>
          <w:rFonts w:ascii="Times New Roman" w:hAnsi="Times New Roman" w:cs="Times New Roman"/>
          <w:color w:val="000000" w:themeColor="text1"/>
          <w:sz w:val="24"/>
          <w:szCs w:val="24"/>
        </w:rPr>
        <w:t>save</w:t>
      </w:r>
      <w:r w:rsidRPr="00B916C4">
        <w:rPr>
          <w:rFonts w:ascii="Times New Roman" w:hAnsi="Times New Roman" w:cs="Times New Roman"/>
          <w:color w:val="000000" w:themeColor="text1"/>
          <w:sz w:val="24"/>
          <w:szCs w:val="24"/>
        </w:rPr>
        <w:t xml:space="preserve"> energy</w:t>
      </w:r>
      <w:r>
        <w:rPr>
          <w:rFonts w:ascii="Times New Roman" w:hAnsi="Times New Roman" w:cs="Times New Roman"/>
          <w:color w:val="000000" w:themeColor="text1"/>
          <w:sz w:val="24"/>
          <w:szCs w:val="24"/>
        </w:rPr>
        <w:t xml:space="preserve"> expenditure</w:t>
      </w:r>
      <w:r w:rsidRPr="00B916C4">
        <w:rPr>
          <w:rFonts w:ascii="Times New Roman" w:hAnsi="Times New Roman" w:cs="Times New Roman"/>
          <w:color w:val="000000" w:themeColor="text1"/>
          <w:sz w:val="24"/>
          <w:szCs w:val="24"/>
        </w:rPr>
        <w:t xml:space="preserve"> but </w:t>
      </w:r>
      <w:r>
        <w:rPr>
          <w:rFonts w:ascii="Times New Roman" w:hAnsi="Times New Roman" w:cs="Times New Roman"/>
          <w:color w:val="000000" w:themeColor="text1"/>
          <w:sz w:val="24"/>
          <w:szCs w:val="24"/>
        </w:rPr>
        <w:t>reduce performance</w:t>
      </w:r>
      <w:r>
        <w:rPr>
          <w:rFonts w:ascii="Times New Roman" w:hAnsi="Times New Roman" w:cs="Times New Roman"/>
          <w:sz w:val="24"/>
          <w:szCs w:val="24"/>
        </w:rPr>
        <w:t xml:space="preserve">. </w:t>
      </w:r>
      <w:r w:rsidRPr="00FA7DE5">
        <w:rPr>
          <w:rFonts w:ascii="Times New Roman" w:hAnsi="Times New Roman" w:cs="Times New Roman"/>
          <w:sz w:val="24"/>
          <w:szCs w:val="24"/>
        </w:rPr>
        <w:t xml:space="preserve">Coactivation enhances stability and control, yet its energy impact in rapid, precise movements is unclear. By exploring this balance, the research seeks to </w:t>
      </w:r>
      <w:r>
        <w:rPr>
          <w:rFonts w:ascii="Times New Roman" w:hAnsi="Times New Roman" w:cs="Times New Roman"/>
          <w:sz w:val="24"/>
          <w:szCs w:val="24"/>
        </w:rPr>
        <w:t>provide insight into</w:t>
      </w:r>
      <w:r w:rsidRPr="00FA7DE5">
        <w:rPr>
          <w:rFonts w:ascii="Times New Roman" w:hAnsi="Times New Roman" w:cs="Times New Roman"/>
          <w:sz w:val="24"/>
          <w:szCs w:val="24"/>
        </w:rPr>
        <w:t xml:space="preserve"> how the nervous system adjusts coactivation for optimal stability and energy efficiency, with findings to inform future analyses</w:t>
      </w:r>
      <w:r>
        <w:rPr>
          <w:rFonts w:ascii="Times New Roman" w:hAnsi="Times New Roman" w:cs="Times New Roman"/>
          <w:sz w:val="24"/>
          <w:szCs w:val="24"/>
        </w:rPr>
        <w:t xml:space="preserve"> and </w:t>
      </w:r>
      <w:r w:rsidRPr="00FA7DE5">
        <w:rPr>
          <w:rFonts w:ascii="Times New Roman" w:hAnsi="Times New Roman" w:cs="Times New Roman"/>
          <w:sz w:val="24"/>
          <w:szCs w:val="24"/>
        </w:rPr>
        <w:t>understand motor control</w:t>
      </w:r>
      <w:r>
        <w:rPr>
          <w:rFonts w:ascii="Times New Roman" w:hAnsi="Times New Roman" w:cs="Times New Roman"/>
          <w:sz w:val="24"/>
          <w:szCs w:val="24"/>
        </w:rPr>
        <w:t xml:space="preserve">. </w:t>
      </w:r>
      <w:bookmarkEnd w:id="10"/>
    </w:p>
    <w:p w14:paraId="5D2000EF" w14:textId="77777777" w:rsidR="0014329C" w:rsidRPr="0014329C" w:rsidRDefault="0014329C" w:rsidP="00523CB3">
      <w:pPr>
        <w:spacing w:line="480" w:lineRule="auto"/>
        <w:ind w:firstLine="720"/>
        <w:jc w:val="both"/>
        <w:rPr>
          <w:rFonts w:ascii="Times New Roman" w:hAnsi="Times New Roman" w:cs="Times New Roman"/>
          <w:sz w:val="24"/>
          <w:szCs w:val="24"/>
          <w:lang w:val="en-US"/>
        </w:rPr>
      </w:pPr>
    </w:p>
    <w:p w14:paraId="23E140F6" w14:textId="77777777" w:rsidR="00E568D5" w:rsidRDefault="00E568D5" w:rsidP="00B00628">
      <w:pPr>
        <w:spacing w:line="480" w:lineRule="auto"/>
        <w:ind w:firstLine="720"/>
        <w:jc w:val="both"/>
        <w:rPr>
          <w:rFonts w:ascii="Times New Roman" w:hAnsi="Times New Roman" w:cs="Times New Roman"/>
          <w:sz w:val="24"/>
          <w:szCs w:val="24"/>
        </w:rPr>
      </w:pPr>
    </w:p>
    <w:p w14:paraId="1102B0A0" w14:textId="7702BE09" w:rsidR="00E568D5" w:rsidRPr="00882E4A" w:rsidRDefault="00E568D5" w:rsidP="00B00628">
      <w:pPr>
        <w:spacing w:line="480" w:lineRule="auto"/>
        <w:ind w:firstLine="720"/>
        <w:jc w:val="both"/>
        <w:rPr>
          <w:rFonts w:ascii="Times New Roman" w:hAnsi="Times New Roman" w:cs="Times New Roman"/>
          <w:sz w:val="24"/>
          <w:szCs w:val="24"/>
        </w:rPr>
      </w:pPr>
    </w:p>
    <w:sectPr w:rsidR="00E568D5" w:rsidRPr="00882E4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huvan Dubey" w:date="2025-04-02T22:40:00Z" w:initials="BD">
    <w:p w14:paraId="47E4606F" w14:textId="77777777" w:rsidR="00C57BF1" w:rsidRDefault="00C57BF1" w:rsidP="00C57BF1">
      <w:pPr>
        <w:pStyle w:val="CommentText"/>
      </w:pPr>
      <w:r>
        <w:rPr>
          <w:rStyle w:val="CommentReference"/>
        </w:rPr>
        <w:annotationRef/>
      </w:r>
      <w:r>
        <w:t xml:space="preserve">I changed the one in document </w:t>
      </w:r>
      <w:r>
        <w:br/>
        <w:t xml:space="preserve">unhumanized ai was </w:t>
      </w:r>
      <w:r>
        <w:br/>
        <w:t>“The nervous system uses spinal and brain circuits to process sensory feedback which directly correlates with muscle coactivation mechanisms (Maurus et al., 2024). First the short-latency response (SLR), which is quick spinal reflex, responds rapidly to muscle stretch with a time delay of 25–30 milliseconds (Maurus et al., 2024). Then the long-latency response (LLR) starts at 50–100 milliseconds to provide adaptable motor control through cortical processing (Maurus et al., 2024). The SLR reflects passive muscle properties, but LLR includes descending control which coactivation might affect (Maurus et al., 2024). So the effects of coactivation on feedback responses in dynamic tasks need further investigation.”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E460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301E5F" w16cex:dateUtc="2025-04-03T0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E4606F" w16cid:durableId="24301E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huvan Dubey">
    <w15:presenceInfo w15:providerId="AD" w15:userId="S::bhuvan.dubey@ucalgary.ca::f05a0d58-ec84-4756-9de0-7e3239e5c8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8E"/>
    <w:rsid w:val="000364C0"/>
    <w:rsid w:val="0014329C"/>
    <w:rsid w:val="00476F2C"/>
    <w:rsid w:val="004A57E8"/>
    <w:rsid w:val="00523CB3"/>
    <w:rsid w:val="005727D6"/>
    <w:rsid w:val="00761083"/>
    <w:rsid w:val="0080138E"/>
    <w:rsid w:val="008064C9"/>
    <w:rsid w:val="00832BA7"/>
    <w:rsid w:val="00882E4A"/>
    <w:rsid w:val="00AE7E96"/>
    <w:rsid w:val="00B00628"/>
    <w:rsid w:val="00C2347A"/>
    <w:rsid w:val="00C57BF1"/>
    <w:rsid w:val="00E568D5"/>
    <w:rsid w:val="00F43F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645B"/>
  <w15:chartTrackingRefBased/>
  <w15:docId w15:val="{0ACCD2DF-0807-418F-B5C3-3E14CAB2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38E"/>
  </w:style>
  <w:style w:type="paragraph" w:styleId="Heading1">
    <w:name w:val="heading 1"/>
    <w:basedOn w:val="Normal"/>
    <w:next w:val="Normal"/>
    <w:link w:val="Heading1Char"/>
    <w:uiPriority w:val="9"/>
    <w:qFormat/>
    <w:rsid w:val="00801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38E"/>
    <w:rPr>
      <w:rFonts w:eastAsiaTheme="majorEastAsia" w:cstheme="majorBidi"/>
      <w:color w:val="272727" w:themeColor="text1" w:themeTint="D8"/>
    </w:rPr>
  </w:style>
  <w:style w:type="paragraph" w:styleId="Title">
    <w:name w:val="Title"/>
    <w:basedOn w:val="Normal"/>
    <w:next w:val="Normal"/>
    <w:link w:val="TitleChar"/>
    <w:uiPriority w:val="10"/>
    <w:qFormat/>
    <w:rsid w:val="00801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38E"/>
    <w:pPr>
      <w:spacing w:before="160"/>
      <w:jc w:val="center"/>
    </w:pPr>
    <w:rPr>
      <w:i/>
      <w:iCs/>
      <w:color w:val="404040" w:themeColor="text1" w:themeTint="BF"/>
    </w:rPr>
  </w:style>
  <w:style w:type="character" w:customStyle="1" w:styleId="QuoteChar">
    <w:name w:val="Quote Char"/>
    <w:basedOn w:val="DefaultParagraphFont"/>
    <w:link w:val="Quote"/>
    <w:uiPriority w:val="29"/>
    <w:rsid w:val="0080138E"/>
    <w:rPr>
      <w:i/>
      <w:iCs/>
      <w:color w:val="404040" w:themeColor="text1" w:themeTint="BF"/>
    </w:rPr>
  </w:style>
  <w:style w:type="paragraph" w:styleId="ListParagraph">
    <w:name w:val="List Paragraph"/>
    <w:basedOn w:val="Normal"/>
    <w:uiPriority w:val="34"/>
    <w:qFormat/>
    <w:rsid w:val="0080138E"/>
    <w:pPr>
      <w:ind w:left="720"/>
      <w:contextualSpacing/>
    </w:pPr>
  </w:style>
  <w:style w:type="character" w:styleId="IntenseEmphasis">
    <w:name w:val="Intense Emphasis"/>
    <w:basedOn w:val="DefaultParagraphFont"/>
    <w:uiPriority w:val="21"/>
    <w:qFormat/>
    <w:rsid w:val="0080138E"/>
    <w:rPr>
      <w:i/>
      <w:iCs/>
      <w:color w:val="0F4761" w:themeColor="accent1" w:themeShade="BF"/>
    </w:rPr>
  </w:style>
  <w:style w:type="paragraph" w:styleId="IntenseQuote">
    <w:name w:val="Intense Quote"/>
    <w:basedOn w:val="Normal"/>
    <w:next w:val="Normal"/>
    <w:link w:val="IntenseQuoteChar"/>
    <w:uiPriority w:val="30"/>
    <w:qFormat/>
    <w:rsid w:val="00801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38E"/>
    <w:rPr>
      <w:i/>
      <w:iCs/>
      <w:color w:val="0F4761" w:themeColor="accent1" w:themeShade="BF"/>
    </w:rPr>
  </w:style>
  <w:style w:type="character" w:styleId="IntenseReference">
    <w:name w:val="Intense Reference"/>
    <w:basedOn w:val="DefaultParagraphFont"/>
    <w:uiPriority w:val="32"/>
    <w:qFormat/>
    <w:rsid w:val="0080138E"/>
    <w:rPr>
      <w:b/>
      <w:bCs/>
      <w:smallCaps/>
      <w:color w:val="0F4761" w:themeColor="accent1" w:themeShade="BF"/>
      <w:spacing w:val="5"/>
    </w:rPr>
  </w:style>
  <w:style w:type="character" w:styleId="CommentReference">
    <w:name w:val="annotation reference"/>
    <w:basedOn w:val="DefaultParagraphFont"/>
    <w:uiPriority w:val="99"/>
    <w:semiHidden/>
    <w:unhideWhenUsed/>
    <w:rsid w:val="00C57BF1"/>
    <w:rPr>
      <w:sz w:val="16"/>
      <w:szCs w:val="16"/>
    </w:rPr>
  </w:style>
  <w:style w:type="paragraph" w:styleId="CommentText">
    <w:name w:val="annotation text"/>
    <w:basedOn w:val="Normal"/>
    <w:link w:val="CommentTextChar"/>
    <w:uiPriority w:val="99"/>
    <w:unhideWhenUsed/>
    <w:rsid w:val="00C57BF1"/>
    <w:pPr>
      <w:spacing w:line="240" w:lineRule="auto"/>
    </w:pPr>
    <w:rPr>
      <w:sz w:val="20"/>
      <w:szCs w:val="20"/>
    </w:rPr>
  </w:style>
  <w:style w:type="character" w:customStyle="1" w:styleId="CommentTextChar">
    <w:name w:val="Comment Text Char"/>
    <w:basedOn w:val="DefaultParagraphFont"/>
    <w:link w:val="CommentText"/>
    <w:uiPriority w:val="99"/>
    <w:rsid w:val="00C57BF1"/>
    <w:rPr>
      <w:sz w:val="20"/>
      <w:szCs w:val="20"/>
    </w:rPr>
  </w:style>
  <w:style w:type="paragraph" w:styleId="CommentSubject">
    <w:name w:val="annotation subject"/>
    <w:basedOn w:val="CommentText"/>
    <w:next w:val="CommentText"/>
    <w:link w:val="CommentSubjectChar"/>
    <w:uiPriority w:val="99"/>
    <w:semiHidden/>
    <w:unhideWhenUsed/>
    <w:rsid w:val="00C57BF1"/>
    <w:rPr>
      <w:b/>
      <w:bCs/>
    </w:rPr>
  </w:style>
  <w:style w:type="character" w:customStyle="1" w:styleId="CommentSubjectChar">
    <w:name w:val="Comment Subject Char"/>
    <w:basedOn w:val="CommentTextChar"/>
    <w:link w:val="CommentSubject"/>
    <w:uiPriority w:val="99"/>
    <w:semiHidden/>
    <w:rsid w:val="00C57B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6</cp:revision>
  <dcterms:created xsi:type="dcterms:W3CDTF">2025-04-03T01:53:00Z</dcterms:created>
  <dcterms:modified xsi:type="dcterms:W3CDTF">2025-04-03T04:49:00Z</dcterms:modified>
</cp:coreProperties>
</file>