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rtl w:val="0"/>
        </w:rPr>
      </w:r>
    </w:p>
    <w:p w:rsidR="00000000" w:rsidDel="00000000" w:rsidP="00000000" w:rsidRDefault="00000000" w:rsidRPr="00000000" w14:paraId="00000002">
      <w:pPr>
        <w:spacing w:line="480" w:lineRule="auto"/>
        <w:jc w:val="center"/>
        <w:rPr>
          <w:b w:val="1"/>
          <w:bCs w:val="1"/>
        </w:rPr>
      </w:pPr>
      <w:r w:rsidDel="00000000" w:rsidR="00000000" w:rsidRPr="00000000">
        <w:rPr>
          <w:rtl w:val="0"/>
        </w:rPr>
      </w:r>
    </w:p>
    <w:p w:rsidR="00000000" w:rsidDel="00000000" w:rsidP="00000000" w:rsidRDefault="00000000" w:rsidRPr="00000000" w14:paraId="00000003">
      <w:pPr>
        <w:spacing w:line="480" w:lineRule="auto"/>
        <w:jc w:val="center"/>
        <w:rPr>
          <w:b w:val="1"/>
          <w:bCs w:val="1"/>
        </w:rPr>
      </w:pPr>
      <w:r w:rsidDel="00000000" w:rsidR="00000000" w:rsidRPr="00000000">
        <w:rPr>
          <w:rtl w:val="0"/>
        </w:rPr>
      </w:r>
    </w:p>
    <w:p w:rsidR="00000000" w:rsidDel="00000000" w:rsidP="00000000" w:rsidRDefault="00000000" w:rsidRPr="00000000" w14:paraId="00000004">
      <w:pPr>
        <w:spacing w:line="480" w:lineRule="auto"/>
        <w:jc w:val="center"/>
        <w:rPr>
          <w:b w:val="1"/>
          <w:bCs w:val="1"/>
        </w:rPr>
      </w:pPr>
      <w:r w:rsidDel="00000000" w:rsidR="00000000" w:rsidRPr="00000000">
        <w:rPr>
          <w:rtl w:val="0"/>
        </w:rPr>
      </w:r>
    </w:p>
    <w:p w:rsidR="00000000" w:rsidDel="00000000" w:rsidP="00000000" w:rsidRDefault="00000000" w:rsidRPr="00000000" w14:paraId="00000005">
      <w:pPr>
        <w:spacing w:line="480" w:lineRule="auto"/>
        <w:jc w:val="center"/>
        <w:rPr>
          <w:b w:val="1"/>
          <w:bCs w:val="1"/>
        </w:rPr>
      </w:pPr>
      <w:r w:rsidDel="00000000" w:rsidR="00000000" w:rsidRPr="00000000">
        <w:rPr>
          <w:rtl w:val="0"/>
        </w:rPr>
      </w:r>
    </w:p>
    <w:p w:rsidR="00000000" w:rsidDel="00000000" w:rsidP="00000000" w:rsidRDefault="00000000" w:rsidRPr="00000000" w14:paraId="00000006">
      <w:pPr>
        <w:spacing w:line="480" w:lineRule="auto"/>
        <w:jc w:val="center"/>
        <w:rPr>
          <w:b w:val="1"/>
          <w:bCs w:val="1"/>
        </w:rPr>
      </w:pPr>
      <w:r w:rsidDel="00000000" w:rsidR="00000000" w:rsidRPr="00000000">
        <w:rPr>
          <w:rtl w:val="0"/>
        </w:rPr>
      </w:r>
    </w:p>
    <w:p w:rsidR="00000000" w:rsidDel="00000000" w:rsidP="00000000" w:rsidRDefault="00000000" w:rsidRPr="00000000" w14:paraId="00000007">
      <w:pPr>
        <w:spacing w:line="480" w:lineRule="auto"/>
        <w:jc w:val="cente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spacing w:line="480" w:lineRule="auto"/>
        <w:jc w:val="center"/>
        <w:rPr>
          <w:b w:val="1"/>
          <w:bCs w:val="1"/>
        </w:rPr>
      </w:pPr>
      <w:r w:rsidDel="00000000" w:rsidR="00000000" w:rsidRPr="00000000">
        <w:rPr>
          <w:b w:val="1"/>
          <w:bCs w:val="1"/>
          <w:rtl w:val="0"/>
        </w:rPr>
        <w:t xml:space="preserve">From Text to Insight: How Large Language Models Are Transforming Business Analytics Automation</w:t>
      </w:r>
    </w:p>
    <w:p w:rsidR="00000000" w:rsidDel="00000000" w:rsidP="00000000" w:rsidRDefault="00000000" w:rsidRPr="00000000" w14:paraId="0000000A">
      <w:pPr>
        <w:spacing w:line="480" w:lineRule="auto"/>
        <w:jc w:val="center"/>
        <w:rPr>
          <w:b w:val="1"/>
          <w:bCs w:val="1"/>
        </w:rPr>
      </w:pPr>
      <w:r w:rsidDel="00000000" w:rsidR="00000000" w:rsidRPr="00000000">
        <w:rPr>
          <w:b w:val="1"/>
          <w:bCs w:val="1"/>
          <w:rtl w:val="0"/>
        </w:rPr>
        <w:t xml:space="preserve">Bhuvan Dubey (30139765), Gurmol Sohi (10174773), Bilal Naseem (30271217)</w:t>
      </w:r>
    </w:p>
    <w:p w:rsidR="00000000" w:rsidDel="00000000" w:rsidP="00000000" w:rsidRDefault="00000000" w:rsidRPr="00000000" w14:paraId="0000000B">
      <w:pPr>
        <w:spacing w:line="480" w:lineRule="auto"/>
        <w:jc w:val="center"/>
        <w:rPr>
          <w:b w:val="1"/>
          <w:bCs w:val="1"/>
        </w:rPr>
      </w:pPr>
      <w:r w:rsidDel="00000000" w:rsidR="00000000" w:rsidRPr="00000000">
        <w:rPr>
          <w:b w:val="1"/>
          <w:bCs w:val="1"/>
          <w:rtl w:val="0"/>
        </w:rPr>
        <w:t xml:space="preserve">DATA 614</w:t>
      </w:r>
    </w:p>
    <w:p w:rsidR="00000000" w:rsidDel="00000000" w:rsidP="00000000" w:rsidRDefault="00000000" w:rsidRPr="00000000" w14:paraId="0000000C">
      <w:pPr>
        <w:spacing w:line="480" w:lineRule="auto"/>
        <w:jc w:val="center"/>
        <w:rPr>
          <w:b w:val="1"/>
          <w:bCs w:val="1"/>
        </w:rPr>
      </w:pPr>
      <w:r w:rsidDel="00000000" w:rsidR="00000000" w:rsidRPr="00000000">
        <w:rPr>
          <w:b w:val="1"/>
          <w:bCs w:val="1"/>
          <w:rtl w:val="0"/>
        </w:rPr>
        <w:t xml:space="preserve">Winter 2026</w:t>
      </w:r>
    </w:p>
    <w:p w:rsidR="00000000" w:rsidDel="00000000" w:rsidP="00000000" w:rsidRDefault="00000000" w:rsidRPr="00000000" w14:paraId="0000000D">
      <w:pPr>
        <w:spacing w:line="480" w:lineRule="auto"/>
        <w:jc w:val="center"/>
        <w:rPr>
          <w:b w:val="1"/>
          <w:bCs w:val="1"/>
        </w:rPr>
      </w:pPr>
      <w:r w:rsidDel="00000000" w:rsidR="00000000" w:rsidRPr="00000000">
        <w:rPr>
          <w:rtl w:val="0"/>
        </w:rPr>
      </w:r>
    </w:p>
    <w:p w:rsidR="00000000" w:rsidDel="00000000" w:rsidP="00000000" w:rsidRDefault="00000000" w:rsidRPr="00000000" w14:paraId="0000000E">
      <w:pPr>
        <w:spacing w:line="480" w:lineRule="auto"/>
        <w:jc w:val="center"/>
        <w:rPr>
          <w:b w:val="1"/>
          <w:bCs w:val="1"/>
        </w:rPr>
      </w:pPr>
      <w:r w:rsidDel="00000000" w:rsidR="00000000" w:rsidRPr="00000000">
        <w:rPr>
          <w:rtl w:val="0"/>
        </w:rPr>
      </w:r>
    </w:p>
    <w:p w:rsidR="00000000" w:rsidDel="00000000" w:rsidP="00000000" w:rsidRDefault="00000000" w:rsidRPr="00000000" w14:paraId="0000000F">
      <w:pPr>
        <w:spacing w:line="480" w:lineRule="auto"/>
        <w:jc w:val="center"/>
        <w:rPr>
          <w:b w:val="1"/>
          <w:bCs w:val="1"/>
        </w:rPr>
      </w:pPr>
      <w:r w:rsidDel="00000000" w:rsidR="00000000" w:rsidRPr="00000000">
        <w:rPr>
          <w:rtl w:val="0"/>
        </w:rPr>
      </w:r>
    </w:p>
    <w:p w:rsidR="00000000" w:rsidDel="00000000" w:rsidP="00000000" w:rsidRDefault="00000000" w:rsidRPr="00000000" w14:paraId="00000010">
      <w:pPr>
        <w:spacing w:line="480" w:lineRule="auto"/>
        <w:jc w:val="center"/>
        <w:rPr>
          <w:b w:val="1"/>
          <w:bCs w:val="1"/>
        </w:rPr>
      </w:pPr>
      <w:r w:rsidDel="00000000" w:rsidR="00000000" w:rsidRPr="00000000">
        <w:rPr>
          <w:rtl w:val="0"/>
        </w:rPr>
      </w:r>
    </w:p>
    <w:p w:rsidR="00000000" w:rsidDel="00000000" w:rsidP="00000000" w:rsidRDefault="00000000" w:rsidRPr="00000000" w14:paraId="00000011">
      <w:pPr>
        <w:spacing w:line="480" w:lineRule="auto"/>
        <w:jc w:val="center"/>
        <w:rPr>
          <w:b w:val="1"/>
          <w:bCs w:val="1"/>
        </w:rPr>
      </w:pPr>
      <w:r w:rsidDel="00000000" w:rsidR="00000000" w:rsidRPr="00000000">
        <w:rPr>
          <w:rtl w:val="0"/>
        </w:rPr>
      </w:r>
    </w:p>
    <w:p w:rsidR="00000000" w:rsidDel="00000000" w:rsidP="00000000" w:rsidRDefault="00000000" w:rsidRPr="00000000" w14:paraId="00000012">
      <w:pPr>
        <w:spacing w:line="480" w:lineRule="auto"/>
        <w:jc w:val="center"/>
        <w:rPr>
          <w:b w:val="1"/>
          <w:bCs w:val="1"/>
        </w:rPr>
      </w:pPr>
      <w:r w:rsidDel="00000000" w:rsidR="00000000" w:rsidRPr="00000000">
        <w:rPr>
          <w:rtl w:val="0"/>
        </w:rPr>
      </w:r>
    </w:p>
    <w:p w:rsidR="00000000" w:rsidDel="00000000" w:rsidP="00000000" w:rsidRDefault="00000000" w:rsidRPr="00000000" w14:paraId="00000013">
      <w:pPr>
        <w:spacing w:line="480" w:lineRule="auto"/>
        <w:jc w:val="center"/>
        <w:rPr>
          <w:b w:val="1"/>
          <w:bCs w:val="1"/>
        </w:rPr>
      </w:pPr>
      <w:r w:rsidDel="00000000" w:rsidR="00000000" w:rsidRPr="00000000">
        <w:rPr>
          <w:rtl w:val="0"/>
        </w:rPr>
      </w:r>
    </w:p>
    <w:p w:rsidR="00000000" w:rsidDel="00000000" w:rsidP="00000000" w:rsidRDefault="00000000" w:rsidRPr="00000000" w14:paraId="00000014">
      <w:pPr>
        <w:spacing w:line="480" w:lineRule="auto"/>
        <w:jc w:val="center"/>
        <w:rPr>
          <w:b w:val="1"/>
          <w:bCs w:val="1"/>
        </w:rPr>
      </w:pPr>
      <w:r w:rsidDel="00000000" w:rsidR="00000000" w:rsidRPr="00000000">
        <w:rPr>
          <w:rtl w:val="0"/>
        </w:rPr>
      </w:r>
    </w:p>
    <w:p w:rsidR="00000000" w:rsidDel="00000000" w:rsidP="00000000" w:rsidRDefault="00000000" w:rsidRPr="00000000" w14:paraId="00000015">
      <w:pPr>
        <w:spacing w:line="480" w:lineRule="auto"/>
        <w:jc w:val="center"/>
        <w:rPr>
          <w:b w:val="1"/>
          <w:bCs w:val="1"/>
        </w:rPr>
      </w:pPr>
      <w:r w:rsidDel="00000000" w:rsidR="00000000" w:rsidRPr="00000000">
        <w:rPr>
          <w:rtl w:val="0"/>
        </w:rPr>
      </w:r>
    </w:p>
    <w:p w:rsidR="00000000" w:rsidDel="00000000" w:rsidP="00000000" w:rsidRDefault="00000000" w:rsidRPr="00000000" w14:paraId="00000016">
      <w:pPr>
        <w:spacing w:line="480" w:lineRule="auto"/>
        <w:jc w:val="center"/>
        <w:rPr>
          <w:b w:val="1"/>
          <w:bCs w:val="1"/>
        </w:rPr>
      </w:pPr>
      <w:r w:rsidDel="00000000" w:rsidR="00000000" w:rsidRPr="00000000">
        <w:rPr>
          <w:rtl w:val="0"/>
        </w:rPr>
      </w:r>
    </w:p>
    <w:p w:rsidR="00000000" w:rsidDel="00000000" w:rsidP="00000000" w:rsidRDefault="00000000" w:rsidRPr="00000000" w14:paraId="00000017">
      <w:pPr>
        <w:spacing w:line="480" w:lineRule="auto"/>
        <w:jc w:val="center"/>
        <w:rPr>
          <w:b w:val="1"/>
          <w:bCs w:val="1"/>
        </w:rPr>
      </w:pPr>
      <w:r w:rsidDel="00000000" w:rsidR="00000000" w:rsidRPr="00000000">
        <w:rPr>
          <w:rtl w:val="0"/>
        </w:rPr>
      </w:r>
    </w:p>
    <w:p w:rsidR="00000000" w:rsidDel="00000000" w:rsidP="00000000" w:rsidRDefault="00000000" w:rsidRPr="00000000" w14:paraId="00000018">
      <w:pPr>
        <w:spacing w:line="480" w:lineRule="auto"/>
        <w:jc w:val="center"/>
        <w:rPr>
          <w:b w:val="1"/>
          <w:bCs w:val="1"/>
        </w:rPr>
      </w:pPr>
      <w:r w:rsidDel="00000000" w:rsidR="00000000" w:rsidRPr="00000000">
        <w:rPr>
          <w:rtl w:val="0"/>
        </w:rPr>
      </w:r>
    </w:p>
    <w:p w:rsidR="00000000" w:rsidDel="00000000" w:rsidP="00000000" w:rsidRDefault="00000000" w:rsidRPr="00000000" w14:paraId="00000019">
      <w:pPr>
        <w:spacing w:line="480" w:lineRule="auto"/>
        <w:jc w:val="center"/>
        <w:rPr>
          <w:b w:val="1"/>
          <w:bCs w:val="1"/>
        </w:rPr>
      </w:pPr>
      <w:r w:rsidDel="00000000" w:rsidR="00000000" w:rsidRPr="00000000">
        <w:rPr>
          <w:rtl w:val="0"/>
        </w:rPr>
      </w:r>
    </w:p>
    <w:p w:rsidR="00000000" w:rsidDel="00000000" w:rsidP="00000000" w:rsidRDefault="00000000" w:rsidRPr="00000000" w14:paraId="0000001A">
      <w:pPr>
        <w:spacing w:line="480" w:lineRule="auto"/>
        <w:rPr>
          <w:b w:val="1"/>
          <w:bCs w:val="1"/>
        </w:rPr>
      </w:pPr>
      <w:r w:rsidDel="00000000" w:rsidR="00000000" w:rsidRPr="00000000">
        <w:rPr>
          <w:b w:val="1"/>
          <w:bCs w:val="1"/>
          <w:rtl w:val="0"/>
        </w:rPr>
        <w:t xml:space="preserve">Introduction and Motivation</w:t>
      </w:r>
    </w:p>
    <w:p w:rsidR="00000000" w:rsidDel="00000000" w:rsidP="00000000" w:rsidRDefault="00000000" w:rsidRPr="00000000" w14:paraId="0000001B">
      <w:pPr>
        <w:rPr/>
      </w:pPr>
      <w:r w:rsidDel="00000000" w:rsidR="00000000" w:rsidRPr="00000000">
        <w:rPr>
          <w:rtl w:val="0"/>
        </w:rPr>
        <w:t xml:space="preserve">The rapid growth of unstructured business data—emails, documents, customer interactions, and operational text—has created a widening gap between traditional analytics capabilities and organizational decision-making needs. Large Language Models (LLMs) offer a new computational layer capable of automating cognitive tasks such as summarization, classification, report generation, and knowledge retrieval. Drawing on recent literature in customer service automation, retrieval-augmented generation (RAG), and enterprise document workflows, this paper examines how LLMs reshape business analytics processes, the benefits and risks of adoption, and the emerging shift toward agentic, domain-specific, and long‑context models. We propose a conceptual framework for integrating LLMs into analytics workflows and outline future research directions for scalable, trustworthy, and domain‑aligned automation.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Organizations today generate unprecedented volumes of unstructured data—customer emails, support tickets, internal documents, chat logs, and operational text. Traditional business intelligence (BI) tools were designed for structured data and struggle to extract meaning from text-heavy workflows. As a result, analysts spend significant time manually reading, summarizing, and categorizing information.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Large Language Models (LLMs) represent a new class of AI systems capable of understanding and generating natural language at scale. Their emergence creates an opportunity to automate cognitive tasks that previously required human interpretation. Recent studies highlight the growing potential of LLMs in customer service (Wulf &amp; Meierhofer, 2024), enterprise document workflows (Karakurt &amp; Akbulut, 2025), and multi-document summarization (Godbole et al., 2025). This paper explores how LLMs can transform business analytics workflows and identifies the challenges and opportunities associated with their adoption.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Background: LLMs and Their Capabilities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LLMs are built on transformer architectures (Vaswani et al., 2017), which enable models to process long sequences of text using attention mechanisms. Modern LLMs leverage embeddings, fine-tuning, and in-context learning to perform tasks such as classification, summarization, and reasoning. Brown et al. (2020) demonstrated that large-scale models exhibit emergent few-shot learning capabilities, reducing the need for task-specific training. For business analytics, these capabilities translate into automated insight extraction, narrative generation, and natural language interfaces for data exploration.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LLMs automate several high-value analytics tasks. Some of which include report generation in terms of automatically producing summaries, dashboards, and narrative insights. Developing customer service triage like classifying tickets, drafting responses, and identifying root causes (Wulf &amp; Meierhofer, 2024).  Summarizing documents which involve Document extracting key information from long reports, contracts, or policies (Godbole et al., 2025).  Forecasting support by explaining trends, generating scenarios, and augmenting time-series models. Lastly, data cleaning and feature engineering while converting messy text into structured variables for downstream models. These automation patterns reduce manual effort and accelerate decision cycles.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Benefits of LLM-Driven Automation</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Speed and scalability,  LLMs can  process thousands of documents instantly as opposed to a human researching them. Reduced manual effort,  analysis focus on interpretation rather than extraction, even when asking google a question, it scrapes the web for sources and gives insight. Decision support is provided, LLMs can surface insights that may be overlooked in manual reviews.  It is accessible to everyone, natural language interfaces democratize analytics for non-technical users. These advantages position LLMs as a transformative force in enterprise analytics.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Risks, Limitations, and Governance</w:t>
      </w:r>
    </w:p>
    <w:p w:rsidR="00000000" w:rsidDel="00000000" w:rsidP="00000000" w:rsidRDefault="00000000" w:rsidRPr="00000000" w14:paraId="0000002B">
      <w:pPr>
        <w:rPr/>
      </w:pPr>
      <w:r w:rsidDel="00000000" w:rsidR="00000000" w:rsidRPr="00000000">
        <w:rPr>
          <w:rtl w:val="0"/>
        </w:rPr>
        <w:t xml:space="preserve">Despite their promise, LLMs also introduce several risks. They do cause hallucinations which means models may generate plausible but incorrect information and may enforce belief systems or opinions that are incorrect. Data privacy, especially proprietary information or personal identifying information (PII) as well as sensitive documents pertinent to industry, legal or financial standing require secure deployment and access controls.  There can be bias that is visible from the training data, LLM outputs may reflect or amplify societal biases. In 2016, Microsoft apologised for creating an artificially intelligent chatbot that quickly turned into a holocaust-denying racist named Tay. Cost and latency which is a concern with long scale data centers that require cooling and energy demands. Large models require significant compute resources. Lastly, domain misalignment, some general-purpose models may lack industry-specific knowledge and will need to be cross-validated by an expert. Karakurt &amp; Akbulut (2025) emphasize the “lab-to-market gap,” noting that enterprise adoption requires robust evaluation frameworks, RAG pipelines, and domain adaptation.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Future Directions</w:t>
      </w:r>
    </w:p>
    <w:p w:rsidR="00000000" w:rsidDel="00000000" w:rsidP="00000000" w:rsidRDefault="00000000" w:rsidRPr="00000000" w14:paraId="0000002E">
      <w:pPr>
        <w:rPr/>
      </w:pPr>
      <w:r w:rsidDel="00000000" w:rsidR="00000000" w:rsidRPr="00000000">
        <w:rPr>
          <w:rtl w:val="0"/>
        </w:rPr>
        <w:t xml:space="preserve">There are relevant major trends shaping the next generation of analytics automation. Retrieval-Augmented Generation (RAG) which Integrates LLMs with enterprise knowledge bases to reduce hallucinations and improve factual accuracy. Domain-specific LLMs that are fine-tuned or specialized models for finance, healthcare, energy, or customer service. Agentic workflows that have multi-step, tool-using agents capable of executing business processes end-to-end. Finally, long-context models which enable multi-document reasoning across entire repositories (Godbole et al., 2025). These innovations will expand the scope of tasks LLMs can automate.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References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LLMs for customer service and automation</w:t>
      </w:r>
    </w:p>
    <w:p w:rsidR="00000000" w:rsidDel="00000000" w:rsidP="00000000" w:rsidRDefault="00000000" w:rsidRPr="00000000" w14:paraId="00000039">
      <w:pPr>
        <w:numPr>
          <w:ilvl w:val="0"/>
          <w:numId w:val="4"/>
        </w:numPr>
        <w:spacing w:after="0" w:afterAutospacing="0" w:before="240" w:lineRule="auto"/>
        <w:ind w:left="720" w:hanging="360"/>
        <w:rPr/>
      </w:pPr>
      <w:r w:rsidDel="00000000" w:rsidR="00000000" w:rsidRPr="00000000">
        <w:rPr>
          <w:b w:val="1"/>
          <w:bCs w:val="1"/>
          <w:rtl w:val="0"/>
        </w:rPr>
        <w:t xml:space="preserve">Wulf, J., &amp; Meierhofer, J. (2024). </w:t>
      </w:r>
      <w:r w:rsidDel="00000000" w:rsidR="00000000" w:rsidRPr="00000000">
        <w:rPr>
          <w:b w:val="1"/>
          <w:bCs w:val="1"/>
          <w:i w:val="1"/>
          <w:iCs w:val="1"/>
          <w:rtl w:val="0"/>
        </w:rPr>
        <w:t xml:space="preserve">Exploring the Potential of Large Language Models for Automation in Technical Customer Service. </w:t>
      </w:r>
      <w:hyperlink r:id="rId6">
        <w:r w:rsidDel="00000000" w:rsidR="00000000" w:rsidRPr="00000000">
          <w:rPr>
            <w:b w:val="1"/>
            <w:bCs w:val="1"/>
            <w:i w:val="1"/>
            <w:iCs w:val="1"/>
            <w:color w:val="1155cc"/>
            <w:u w:val="single"/>
            <w:rtl w:val="0"/>
          </w:rPr>
          <w:t xml:space="preserve">https://arxiv.org/abs/2405.09161</w:t>
        </w:r>
      </w:hyperlink>
      <w:r w:rsidDel="00000000" w:rsidR="00000000" w:rsidRPr="00000000">
        <w:rPr>
          <w:b w:val="1"/>
          <w:bCs w:val="1"/>
          <w:i w:val="1"/>
          <w:iCs w:val="1"/>
          <w:rtl w:val="0"/>
        </w:rPr>
        <w:t xml:space="preserve"> </w:t>
        <w:br w:type="textWrapping"/>
      </w:r>
      <w:r w:rsidDel="00000000" w:rsidR="00000000" w:rsidRPr="00000000">
        <w:rPr>
          <w:rtl w:val="0"/>
        </w:rPr>
        <w:t xml:space="preserve"> Shows how LLMs automate lower-level cognitive tasks (translation, summarization, content generation) in technical customer service, and where RAG/finetuning is needed for higher-level reasoning.</w:t>
      </w:r>
    </w:p>
    <w:p w:rsidR="00000000" w:rsidDel="00000000" w:rsidP="00000000" w:rsidRDefault="00000000" w:rsidRPr="00000000" w14:paraId="0000003A">
      <w:pPr>
        <w:numPr>
          <w:ilvl w:val="0"/>
          <w:numId w:val="4"/>
        </w:numPr>
        <w:spacing w:after="240" w:before="0" w:beforeAutospacing="0" w:lineRule="auto"/>
        <w:ind w:left="720" w:hanging="360"/>
        <w:rPr/>
      </w:pPr>
      <w:r w:rsidDel="00000000" w:rsidR="00000000" w:rsidRPr="00000000">
        <w:rPr>
          <w:b w:val="1"/>
          <w:bCs w:val="1"/>
          <w:rtl w:val="0"/>
        </w:rPr>
        <w:t xml:space="preserve">LLMs for evaluating customer service performance </w:t>
      </w:r>
      <w:hyperlink r:id="rId7">
        <w:r w:rsidDel="00000000" w:rsidR="00000000" w:rsidRPr="00000000">
          <w:rPr>
            <w:b w:val="1"/>
            <w:bCs w:val="1"/>
            <w:color w:val="1155cc"/>
            <w:u w:val="single"/>
            <w:rtl w:val="0"/>
          </w:rPr>
          <w:t xml:space="preserve">https://www.newline.co/@zaoyang/evaluating-llms-accuracy-benchmarks-for-customer-service--2701ed91</w:t>
        </w:r>
      </w:hyperlink>
      <w:r w:rsidDel="00000000" w:rsidR="00000000" w:rsidRPr="00000000">
        <w:rPr>
          <w:b w:val="1"/>
          <w:bCs w:val="1"/>
          <w:rtl w:val="0"/>
        </w:rPr>
        <w:t xml:space="preserve"> </w:t>
        <w:br w:type="textWrapping"/>
      </w:r>
      <w:r w:rsidDel="00000000" w:rsidR="00000000" w:rsidRPr="00000000">
        <w:rPr>
          <w:rtl w:val="0"/>
        </w:rPr>
        <w:t xml:space="preserve"> Work on using LLMs to evaluate customer service conversations and agent performance—useful when you talk about triage, QA, and analytics on support logs.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RAG and enterprise document workflows</w:t>
      </w:r>
    </w:p>
    <w:p w:rsidR="00000000" w:rsidDel="00000000" w:rsidP="00000000" w:rsidRDefault="00000000" w:rsidRPr="00000000" w14:paraId="0000003C">
      <w:pPr>
        <w:numPr>
          <w:ilvl w:val="0"/>
          <w:numId w:val="3"/>
        </w:numPr>
        <w:spacing w:after="0" w:afterAutospacing="0" w:before="240" w:lineRule="auto"/>
        <w:ind w:left="720" w:hanging="360"/>
        <w:rPr/>
      </w:pPr>
      <w:r w:rsidDel="00000000" w:rsidR="00000000" w:rsidRPr="00000000">
        <w:rPr>
          <w:b w:val="1"/>
          <w:bCs w:val="1"/>
          <w:rtl w:val="0"/>
        </w:rPr>
        <w:t xml:space="preserve">Karakurt, E., &amp; Akbulut, A. (2025). </w:t>
      </w:r>
      <w:r w:rsidDel="00000000" w:rsidR="00000000" w:rsidRPr="00000000">
        <w:rPr>
          <w:b w:val="1"/>
          <w:bCs w:val="1"/>
          <w:i w:val="1"/>
          <w:iCs w:val="1"/>
          <w:rtl w:val="0"/>
        </w:rPr>
        <w:t xml:space="preserve">Retrieval Augmented Generation (RAG) and Large Language Models (LLMs) for Enterprise Knowledge Management and Document Automation: A Systematic Literature Review.</w:t>
      </w:r>
      <w:r w:rsidDel="00000000" w:rsidR="00000000" w:rsidRPr="00000000">
        <w:rPr>
          <w:b w:val="1"/>
          <w:bCs w:val="1"/>
          <w:rtl w:val="0"/>
        </w:rPr>
        <w:t xml:space="preserve"> Applied Sciences. </w:t>
      </w:r>
      <w:hyperlink r:id="rId8">
        <w:r w:rsidDel="00000000" w:rsidR="00000000" w:rsidRPr="00000000">
          <w:rPr>
            <w:b w:val="1"/>
            <w:bCs w:val="1"/>
            <w:color w:val="1155cc"/>
            <w:u w:val="single"/>
            <w:rtl w:val="0"/>
          </w:rPr>
          <w:t xml:space="preserve">https://www.mdpi.com/2076-3417/16/1/368</w:t>
        </w:r>
      </w:hyperlink>
      <w:r w:rsidDel="00000000" w:rsidR="00000000" w:rsidRPr="00000000">
        <w:rPr>
          <w:b w:val="1"/>
          <w:bCs w:val="1"/>
          <w:rtl w:val="0"/>
        </w:rPr>
        <w:t xml:space="preserve"> </w:t>
        <w:br w:type="textWrapping"/>
      </w:r>
      <w:r w:rsidDel="00000000" w:rsidR="00000000" w:rsidRPr="00000000">
        <w:rPr>
          <w:rtl w:val="0"/>
        </w:rPr>
        <w:t xml:space="preserve"> Systematic review of RAG+LLM for enterprise knowledge management and document automation; great citation for “lab-to-market gap” and real-world deployment challenges.</w:t>
      </w:r>
    </w:p>
    <w:p w:rsidR="00000000" w:rsidDel="00000000" w:rsidP="00000000" w:rsidRDefault="00000000" w:rsidRPr="00000000" w14:paraId="0000003D">
      <w:pPr>
        <w:numPr>
          <w:ilvl w:val="0"/>
          <w:numId w:val="3"/>
        </w:numPr>
        <w:spacing w:after="240" w:before="0" w:beforeAutospacing="0" w:lineRule="auto"/>
        <w:ind w:left="720" w:hanging="360"/>
        <w:rPr/>
      </w:pPr>
      <w:r w:rsidDel="00000000" w:rsidR="00000000" w:rsidRPr="00000000">
        <w:rPr>
          <w:b w:val="1"/>
          <w:bCs w:val="1"/>
          <w:rtl w:val="0"/>
        </w:rPr>
        <w:t xml:space="preserve">Grozdic, D., &amp; Smirnov, O. (2023). </w:t>
      </w:r>
      <w:r w:rsidDel="00000000" w:rsidR="00000000" w:rsidRPr="00000000">
        <w:rPr>
          <w:b w:val="1"/>
          <w:bCs w:val="1"/>
          <w:i w:val="1"/>
          <w:iCs w:val="1"/>
          <w:rtl w:val="0"/>
        </w:rPr>
        <w:t xml:space="preserve">Transforming business process automation with retrieval-augmented generation and LLMs.</w:t>
      </w:r>
      <w:r w:rsidDel="00000000" w:rsidR="00000000" w:rsidRPr="00000000">
        <w:rPr>
          <w:b w:val="1"/>
          <w:bCs w:val="1"/>
          <w:rtl w:val="0"/>
        </w:rPr>
        <w:t xml:space="preserve"> Grid Dynamics. </w:t>
      </w:r>
      <w:hyperlink r:id="rId9">
        <w:r w:rsidDel="00000000" w:rsidR="00000000" w:rsidRPr="00000000">
          <w:rPr>
            <w:b w:val="1"/>
            <w:bCs w:val="1"/>
            <w:color w:val="1155cc"/>
            <w:u w:val="single"/>
            <w:rtl w:val="0"/>
          </w:rPr>
          <w:t xml:space="preserve">https://arxiv.org/abs/2506.00054</w:t>
        </w:r>
      </w:hyperlink>
      <w:r w:rsidDel="00000000" w:rsidR="00000000" w:rsidRPr="00000000">
        <w:rPr>
          <w:b w:val="1"/>
          <w:bCs w:val="1"/>
          <w:rtl w:val="0"/>
        </w:rPr>
        <w:t xml:space="preserve"> </w:t>
        <w:br w:type="textWrapping"/>
      </w:r>
      <w:r w:rsidDel="00000000" w:rsidR="00000000" w:rsidRPr="00000000">
        <w:rPr>
          <w:rtl w:val="0"/>
        </w:rPr>
        <w:t xml:space="preserve"> Practitioner-oriented piece on using RAG for document-heavy business process automation (supply chain, finance, insurance, retail). Good for architecture diagrams and business language.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Multi-document summarization and long-context LLMs</w:t>
      </w:r>
    </w:p>
    <w:p w:rsidR="00000000" w:rsidDel="00000000" w:rsidP="00000000" w:rsidRDefault="00000000" w:rsidRPr="00000000" w14:paraId="0000003F">
      <w:pPr>
        <w:numPr>
          <w:ilvl w:val="0"/>
          <w:numId w:val="1"/>
        </w:numPr>
        <w:spacing w:after="240" w:before="240" w:lineRule="auto"/>
        <w:ind w:left="720" w:hanging="360"/>
        <w:rPr/>
      </w:pPr>
      <w:r w:rsidDel="00000000" w:rsidR="00000000" w:rsidRPr="00000000">
        <w:rPr>
          <w:b w:val="1"/>
          <w:bCs w:val="1"/>
          <w:rtl w:val="0"/>
        </w:rPr>
        <w:t xml:space="preserve">Godbole, A., George, J. G., &amp; Shandilya, S. (2025). </w:t>
      </w:r>
      <w:r w:rsidDel="00000000" w:rsidR="00000000" w:rsidRPr="00000000">
        <w:rPr>
          <w:b w:val="1"/>
          <w:bCs w:val="1"/>
          <w:i w:val="1"/>
          <w:iCs w:val="1"/>
          <w:rtl w:val="0"/>
        </w:rPr>
        <w:t xml:space="preserve">Leveraging Long-Context Large Language Models for Multi-document Understanding and Summarization in Enterprise Applications.</w:t>
      </w:r>
      <w:r w:rsidDel="00000000" w:rsidR="00000000" w:rsidRPr="00000000">
        <w:rPr>
          <w:b w:val="1"/>
          <w:bCs w:val="1"/>
          <w:rtl w:val="0"/>
        </w:rPr>
        <w:t xml:space="preserve"> In IBCD 2024 (CCIS 2413). </w:t>
      </w:r>
      <w:hyperlink r:id="rId10">
        <w:r w:rsidDel="00000000" w:rsidR="00000000" w:rsidRPr="00000000">
          <w:rPr>
            <w:b w:val="1"/>
            <w:bCs w:val="1"/>
            <w:color w:val="1155cc"/>
            <w:u w:val="single"/>
            <w:rtl w:val="0"/>
          </w:rPr>
          <w:t xml:space="preserve">https://arxiv.org/abs/2409.18454</w:t>
        </w:r>
      </w:hyperlink>
      <w:r w:rsidDel="00000000" w:rsidR="00000000" w:rsidRPr="00000000">
        <w:rPr>
          <w:b w:val="1"/>
          <w:bCs w:val="1"/>
          <w:rtl w:val="0"/>
        </w:rPr>
        <w:t xml:space="preserve"> </w:t>
        <w:br w:type="textWrapping"/>
      </w:r>
      <w:r w:rsidDel="00000000" w:rsidR="00000000" w:rsidRPr="00000000">
        <w:rPr>
          <w:rtl w:val="0"/>
        </w:rPr>
        <w:t xml:space="preserve"> Discusses long-context LLMs for multi-document summarization in legal, HR, finance, and other enterprise domains—perfect for your “document summarization” and “future opportunities” sections.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General LLM &amp; business analytics framing </w:t>
      </w:r>
    </w:p>
    <w:p w:rsidR="00000000" w:rsidDel="00000000" w:rsidP="00000000" w:rsidRDefault="00000000" w:rsidRPr="00000000" w14:paraId="00000041">
      <w:pPr>
        <w:numPr>
          <w:ilvl w:val="0"/>
          <w:numId w:val="2"/>
        </w:numPr>
        <w:spacing w:after="0" w:afterAutospacing="0" w:before="240" w:lineRule="auto"/>
        <w:ind w:left="720" w:hanging="360"/>
        <w:rPr/>
      </w:pPr>
      <w:r w:rsidDel="00000000" w:rsidR="00000000" w:rsidRPr="00000000">
        <w:rPr>
          <w:b w:val="1"/>
          <w:bCs w:val="1"/>
          <w:rtl w:val="0"/>
        </w:rPr>
        <w:t xml:space="preserve">Foundational LLM/transformer papers</w:t>
      </w:r>
      <w:r w:rsidDel="00000000" w:rsidR="00000000" w:rsidRPr="00000000">
        <w:rPr>
          <w:rtl w:val="0"/>
        </w:rPr>
        <w:t xml:space="preserve"> </w:t>
      </w:r>
    </w:p>
    <w:p w:rsidR="00000000" w:rsidDel="00000000" w:rsidP="00000000" w:rsidRDefault="00000000" w:rsidRPr="00000000" w14:paraId="00000042">
      <w:pPr>
        <w:numPr>
          <w:ilvl w:val="1"/>
          <w:numId w:val="2"/>
        </w:numPr>
        <w:spacing w:after="0" w:afterAutospacing="0" w:before="0" w:beforeAutospacing="0" w:lineRule="auto"/>
        <w:ind w:left="1440" w:hanging="360"/>
        <w:rPr/>
      </w:pPr>
      <w:r w:rsidDel="00000000" w:rsidR="00000000" w:rsidRPr="00000000">
        <w:rPr>
          <w:rtl w:val="0"/>
        </w:rPr>
        <w:t xml:space="preserve">Vaswani et al. (2017). </w:t>
      </w:r>
      <w:r w:rsidDel="00000000" w:rsidR="00000000" w:rsidRPr="00000000">
        <w:rPr>
          <w:i w:val="1"/>
          <w:iCs w:val="1"/>
          <w:rtl w:val="0"/>
        </w:rPr>
        <w:t xml:space="preserve">Attention Is All You Need. </w:t>
      </w:r>
      <w:hyperlink r:id="rId11">
        <w:r w:rsidDel="00000000" w:rsidR="00000000" w:rsidRPr="00000000">
          <w:rPr>
            <w:i w:val="1"/>
            <w:iCs w:val="1"/>
            <w:color w:val="1155cc"/>
            <w:u w:val="single"/>
            <w:rtl w:val="0"/>
          </w:rPr>
          <w:t xml:space="preserve">https://arxiv.org/abs/1706.03762</w:t>
        </w:r>
      </w:hyperlink>
      <w:r w:rsidDel="00000000" w:rsidR="00000000" w:rsidRPr="00000000">
        <w:rPr>
          <w:i w:val="1"/>
          <w:iCs w:val="1"/>
          <w:rtl w:val="0"/>
        </w:rPr>
        <w:t xml:space="preserve"> </w:t>
      </w:r>
    </w:p>
    <w:p w:rsidR="00000000" w:rsidDel="00000000" w:rsidP="00000000" w:rsidRDefault="00000000" w:rsidRPr="00000000" w14:paraId="00000043">
      <w:pPr>
        <w:numPr>
          <w:ilvl w:val="1"/>
          <w:numId w:val="2"/>
        </w:numPr>
        <w:spacing w:after="240" w:before="0" w:beforeAutospacing="0" w:lineRule="auto"/>
        <w:ind w:left="1440" w:hanging="360"/>
        <w:rPr/>
      </w:pPr>
      <w:r w:rsidDel="00000000" w:rsidR="00000000" w:rsidRPr="00000000">
        <w:rPr>
          <w:rtl w:val="0"/>
        </w:rPr>
        <w:t xml:space="preserve">Brown et al. (2020). </w:t>
      </w:r>
      <w:r w:rsidDel="00000000" w:rsidR="00000000" w:rsidRPr="00000000">
        <w:rPr>
          <w:i w:val="1"/>
          <w:iCs w:val="1"/>
          <w:rtl w:val="0"/>
        </w:rPr>
        <w:t xml:space="preserve">Language Models are Few-Shot Learners. </w:t>
      </w:r>
      <w:hyperlink r:id="rId12">
        <w:r w:rsidDel="00000000" w:rsidR="00000000" w:rsidRPr="00000000">
          <w:rPr>
            <w:i w:val="1"/>
            <w:iCs w:val="1"/>
            <w:color w:val="1155cc"/>
            <w:u w:val="single"/>
            <w:rtl w:val="0"/>
          </w:rPr>
          <w:t xml:space="preserve">https://proceedings.neurips.cc/paper/2020/file/1457c0d6bfcb4967418bfb8ac142f64a-Paper.pdf</w:t>
        </w:r>
      </w:hyperlink>
      <w:r w:rsidDel="00000000" w:rsidR="00000000" w:rsidRPr="00000000">
        <w:rPr>
          <w:i w:val="1"/>
          <w:iCs w:val="1"/>
          <w:rtl w:val="0"/>
        </w:rPr>
        <w:t xml:space="preserve"> </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xiv.org/abs/1706.03762" TargetMode="External"/><Relationship Id="rId10" Type="http://schemas.openxmlformats.org/officeDocument/2006/relationships/hyperlink" Target="https://arxiv.org/abs/2409.18454" TargetMode="External"/><Relationship Id="rId12" Type="http://schemas.openxmlformats.org/officeDocument/2006/relationships/hyperlink" Target="https://proceedings.neurips.cc/paper/2020/file/1457c0d6bfcb4967418bfb8ac142f64a-Paper.pdf" TargetMode="External"/><Relationship Id="rId9" Type="http://schemas.openxmlformats.org/officeDocument/2006/relationships/hyperlink" Target="https://arxiv.org/abs/2506.00054" TargetMode="External"/><Relationship Id="rId5" Type="http://schemas.openxmlformats.org/officeDocument/2006/relationships/styles" Target="styles.xml"/><Relationship Id="rId6" Type="http://schemas.openxmlformats.org/officeDocument/2006/relationships/hyperlink" Target="https://arxiv.org/abs/2405.09161" TargetMode="External"/><Relationship Id="rId7" Type="http://schemas.openxmlformats.org/officeDocument/2006/relationships/hyperlink" Target="https://www.newline.co/@zaoyang/evaluating-llms-accuracy-benchmarks-for-customer-service--2701ed91" TargetMode="External"/><Relationship Id="rId8" Type="http://schemas.openxmlformats.org/officeDocument/2006/relationships/hyperlink" Target="https://www.mdpi.com/2076-3417/16/1/3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