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word/footer2.xml" ContentType="application/vnd.openxmlformats-officedocument.wordprocessingml.footer+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Default Extension="bin" ContentType="application/vnd.openxmlformats-officedocument.wordprocessingml.printerSettings"/>
  <Override PartName="/word/endnotes.xml" ContentType="application/vnd.openxmlformats-officedocument.wordprocessingml.endnotes+xml"/>
  <Override PartName="/word/footer3.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1785" w:rsidRPr="008B2A3A" w:rsidRDefault="00C51785" w:rsidP="00CF560A">
      <w:pPr>
        <w:pStyle w:val="BodyText"/>
        <w:widowControl w:val="0"/>
        <w:tabs>
          <w:tab w:val="left" w:pos="540"/>
        </w:tabs>
        <w:spacing w:after="0"/>
        <w:rPr>
          <w:rFonts w:ascii="Times New Roman" w:hAnsi="Times New Roman"/>
          <w:b/>
        </w:rPr>
      </w:pPr>
      <w:r w:rsidRPr="008B2A3A">
        <w:rPr>
          <w:rFonts w:ascii="Times New Roman" w:hAnsi="Times New Roman"/>
          <w:b/>
        </w:rPr>
        <w:t xml:space="preserve">To: </w:t>
      </w:r>
      <w:r w:rsidR="0025329E" w:rsidRPr="008B2A3A">
        <w:rPr>
          <w:rFonts w:ascii="Times New Roman" w:hAnsi="Times New Roman"/>
          <w:b/>
        </w:rPr>
        <w:t xml:space="preserve">Dr. </w:t>
      </w:r>
      <w:r w:rsidR="00CF1905">
        <w:rPr>
          <w:rFonts w:ascii="Times New Roman" w:hAnsi="Times New Roman"/>
          <w:b/>
        </w:rPr>
        <w:t>Ashley Shade</w:t>
      </w:r>
    </w:p>
    <w:p w:rsidR="00C51785" w:rsidRPr="008B2A3A" w:rsidRDefault="00C51785" w:rsidP="00CF560A">
      <w:pPr>
        <w:pStyle w:val="BodyText"/>
        <w:widowControl w:val="0"/>
        <w:tabs>
          <w:tab w:val="left" w:pos="540"/>
        </w:tabs>
        <w:spacing w:after="0"/>
        <w:rPr>
          <w:rFonts w:ascii="Times New Roman" w:hAnsi="Times New Roman"/>
          <w:b/>
        </w:rPr>
      </w:pPr>
      <w:r w:rsidRPr="008B2A3A">
        <w:rPr>
          <w:rFonts w:ascii="Times New Roman" w:hAnsi="Times New Roman"/>
          <w:b/>
        </w:rPr>
        <w:t xml:space="preserve">From: </w:t>
      </w:r>
      <w:r w:rsidR="0025329E" w:rsidRPr="008B2A3A">
        <w:rPr>
          <w:rFonts w:ascii="Times New Roman" w:hAnsi="Times New Roman"/>
          <w:b/>
        </w:rPr>
        <w:t>STEM E.D., LLC</w:t>
      </w:r>
      <w:r w:rsidR="00CF1905">
        <w:rPr>
          <w:rFonts w:ascii="Times New Roman" w:hAnsi="Times New Roman"/>
          <w:b/>
        </w:rPr>
        <w:t xml:space="preserve"> (Libarkin)</w:t>
      </w:r>
    </w:p>
    <w:p w:rsidR="00C51785" w:rsidRPr="008B2A3A" w:rsidRDefault="00C51785" w:rsidP="00CF560A">
      <w:pPr>
        <w:pStyle w:val="BodyText"/>
        <w:widowControl w:val="0"/>
        <w:tabs>
          <w:tab w:val="left" w:pos="540"/>
        </w:tabs>
        <w:spacing w:after="0"/>
        <w:rPr>
          <w:rFonts w:ascii="Times New Roman" w:hAnsi="Times New Roman"/>
          <w:b/>
        </w:rPr>
      </w:pPr>
      <w:r w:rsidRPr="008B2A3A">
        <w:rPr>
          <w:rFonts w:ascii="Times New Roman" w:hAnsi="Times New Roman"/>
          <w:b/>
        </w:rPr>
        <w:t xml:space="preserve">Re: </w:t>
      </w:r>
      <w:r w:rsidR="00CF1905">
        <w:rPr>
          <w:rFonts w:ascii="Times New Roman" w:hAnsi="Times New Roman"/>
          <w:b/>
        </w:rPr>
        <w:t>Edamame</w:t>
      </w:r>
      <w:r w:rsidR="0025329E" w:rsidRPr="008B2A3A">
        <w:rPr>
          <w:rFonts w:ascii="Times New Roman" w:hAnsi="Times New Roman"/>
          <w:b/>
        </w:rPr>
        <w:t xml:space="preserve"> Workshop Evaluation</w:t>
      </w:r>
    </w:p>
    <w:p w:rsidR="00C51785" w:rsidRPr="008B2A3A" w:rsidRDefault="0004126E" w:rsidP="00CF560A">
      <w:pPr>
        <w:widowControl w:val="0"/>
        <w:tabs>
          <w:tab w:val="left" w:pos="540"/>
        </w:tabs>
        <w:rPr>
          <w:b/>
        </w:rPr>
      </w:pPr>
      <w:r w:rsidRPr="008B2A3A">
        <w:rPr>
          <w:b/>
        </w:rPr>
        <w:t xml:space="preserve">Date: </w:t>
      </w:r>
      <w:r w:rsidR="007C1EBF">
        <w:rPr>
          <w:b/>
        </w:rPr>
        <w:t>Sept 10</w:t>
      </w:r>
      <w:r w:rsidR="00CF1905">
        <w:rPr>
          <w:b/>
        </w:rPr>
        <w:t>, 2014</w:t>
      </w:r>
      <w:r w:rsidR="008B2A3A">
        <w:rPr>
          <w:b/>
        </w:rPr>
        <w:t>. FINAL.</w:t>
      </w:r>
    </w:p>
    <w:p w:rsidR="00C51785" w:rsidRPr="008B2A3A" w:rsidRDefault="00C51785" w:rsidP="00CF560A">
      <w:pPr>
        <w:widowControl w:val="0"/>
        <w:tabs>
          <w:tab w:val="left" w:pos="540"/>
        </w:tabs>
      </w:pPr>
    </w:p>
    <w:p w:rsidR="0025329E" w:rsidRPr="008B2A3A" w:rsidRDefault="0025329E" w:rsidP="00CF560A">
      <w:pPr>
        <w:widowControl w:val="0"/>
        <w:tabs>
          <w:tab w:val="left" w:pos="540"/>
        </w:tabs>
      </w:pPr>
      <w:r w:rsidRPr="008B2A3A">
        <w:t>A pre-workshop</w:t>
      </w:r>
      <w:r w:rsidR="00AD0274" w:rsidRPr="008B2A3A">
        <w:t xml:space="preserve"> evaluation of the </w:t>
      </w:r>
      <w:r w:rsidR="00CF1905">
        <w:t>Edamame Workshop 2014</w:t>
      </w:r>
      <w:r w:rsidR="00EE3E41">
        <w:t xml:space="preserve"> </w:t>
      </w:r>
      <w:r w:rsidR="00AD0274" w:rsidRPr="008B2A3A">
        <w:t xml:space="preserve">was </w:t>
      </w:r>
      <w:r w:rsidRPr="008B2A3A">
        <w:t xml:space="preserve">conducted on </w:t>
      </w:r>
      <w:r w:rsidR="00CF1905">
        <w:t>August 13</w:t>
      </w:r>
      <w:r w:rsidRPr="008B2A3A">
        <w:t xml:space="preserve">, with a post-workshop evaluation occurring </w:t>
      </w:r>
      <w:r w:rsidR="00CF1905">
        <w:t>August 20, 2014</w:t>
      </w:r>
      <w:r w:rsidR="006E5F68" w:rsidRPr="008B2A3A">
        <w:t xml:space="preserve">. </w:t>
      </w:r>
      <w:r w:rsidR="00EE3E41">
        <w:t>Observations were also conducted at the start</w:t>
      </w:r>
      <w:r w:rsidR="00CF1905">
        <w:t xml:space="preserve"> </w:t>
      </w:r>
      <w:r w:rsidR="00EE3E41">
        <w:t xml:space="preserve">and end of the workshop. </w:t>
      </w:r>
      <w:r w:rsidRPr="008B2A3A">
        <w:t xml:space="preserve">In all, </w:t>
      </w:r>
      <w:r w:rsidR="00EE3E41">
        <w:t>2</w:t>
      </w:r>
      <w:r w:rsidR="00CF1905">
        <w:t>3</w:t>
      </w:r>
      <w:r w:rsidRPr="008B2A3A">
        <w:t xml:space="preserve"> participants completed </w:t>
      </w:r>
      <w:r w:rsidR="00E52858">
        <w:t>the</w:t>
      </w:r>
      <w:r w:rsidR="00EE3E41">
        <w:t xml:space="preserve"> pre-</w:t>
      </w:r>
      <w:r w:rsidR="00E52858">
        <w:t>survey</w:t>
      </w:r>
      <w:r w:rsidR="00CF1905">
        <w:t xml:space="preserve"> and </w:t>
      </w:r>
      <w:r w:rsidR="00E52858">
        <w:t>2</w:t>
      </w:r>
      <w:r w:rsidR="00CF1905">
        <w:t>1</w:t>
      </w:r>
      <w:r w:rsidR="00E52858">
        <w:t xml:space="preserve"> completed </w:t>
      </w:r>
      <w:r w:rsidR="00CF1905">
        <w:t xml:space="preserve">the post-survey; </w:t>
      </w:r>
      <w:r w:rsidR="00B774C3">
        <w:t xml:space="preserve">20 </w:t>
      </w:r>
      <w:r w:rsidR="00CF1905">
        <w:t>participants completed both surveys</w:t>
      </w:r>
      <w:r w:rsidRPr="008B2A3A">
        <w:t>.</w:t>
      </w:r>
    </w:p>
    <w:p w:rsidR="00CF1905" w:rsidRDefault="00CF1905" w:rsidP="00CF560A">
      <w:pPr>
        <w:widowControl w:val="0"/>
        <w:tabs>
          <w:tab w:val="left" w:pos="540"/>
        </w:tabs>
      </w:pPr>
    </w:p>
    <w:p w:rsidR="00CF1905" w:rsidRPr="00E73C08" w:rsidRDefault="00CF1905" w:rsidP="00CF1905">
      <w:pPr>
        <w:widowControl w:val="0"/>
        <w:rPr>
          <w:b/>
          <w:i/>
        </w:rPr>
      </w:pPr>
      <w:r w:rsidRPr="00E73C08">
        <w:rPr>
          <w:b/>
          <w:i/>
        </w:rPr>
        <w:t>Demographics</w:t>
      </w:r>
    </w:p>
    <w:p w:rsidR="00CF1905" w:rsidRPr="00CF1905" w:rsidRDefault="00CF1905" w:rsidP="00CF1905">
      <w:pPr>
        <w:widowControl w:val="0"/>
        <w:rPr>
          <w:color w:val="3366FF"/>
        </w:rPr>
      </w:pPr>
      <w:r w:rsidRPr="00E73C08">
        <w:t xml:space="preserve">Demographic data are reported for pre-workshop respondents. </w:t>
      </w:r>
      <w:r>
        <w:t>O</w:t>
      </w:r>
      <w:r w:rsidRPr="00CF1905">
        <w:t>ne participant declined to respond to the age question.</w:t>
      </w:r>
      <w:r>
        <w:t xml:space="preserve"> Remaining p</w:t>
      </w:r>
      <w:r w:rsidRPr="00CF1905">
        <w:t>articipants ranged in age from 23-43, with an average age of 27.9 ± 5.3 years</w:t>
      </w:r>
      <w:r>
        <w:t xml:space="preserve">. </w:t>
      </w:r>
      <w:r w:rsidRPr="00CF1905">
        <w:t>Participants were 52% male (n=12), with the remainder female (n=11) and no transgendered participants.</w:t>
      </w:r>
      <w:r w:rsidRPr="00CF1905">
        <w:rPr>
          <w:color w:val="3366FF"/>
        </w:rPr>
        <w:t xml:space="preserve"> </w:t>
      </w:r>
      <w:r w:rsidRPr="00CF1905">
        <w:t>Participants were also 61% exclusively Caucasian (n=14). Remaining participants were: Latino(a) (n=3); African/African American/Black (n=2); and Caucasian/White and Native American (n=1). Two participants declined to respond to the race/ethnicity question.</w:t>
      </w:r>
      <w:r>
        <w:rPr>
          <w:color w:val="3366FF"/>
        </w:rPr>
        <w:t xml:space="preserve"> </w:t>
      </w:r>
      <w:r w:rsidRPr="00CF1905">
        <w:t>Finally, the academic status of participants included graduate students (n=15) and Ph.D.-holding professionals (n=</w:t>
      </w:r>
      <w:r>
        <w:t>8</w:t>
      </w:r>
      <w:r w:rsidRPr="00CF1905">
        <w:t>).</w:t>
      </w:r>
      <w:r w:rsidRPr="00CF1905">
        <w:rPr>
          <w:color w:val="3366FF"/>
        </w:rPr>
        <w:t xml:space="preserve"> </w:t>
      </w:r>
    </w:p>
    <w:p w:rsidR="0025329E" w:rsidRPr="008B2A3A" w:rsidRDefault="0025329E" w:rsidP="00CF560A">
      <w:pPr>
        <w:widowControl w:val="0"/>
        <w:tabs>
          <w:tab w:val="left" w:pos="540"/>
        </w:tabs>
      </w:pPr>
    </w:p>
    <w:p w:rsidR="00E0509E" w:rsidRPr="008B2A3A" w:rsidRDefault="001C6D35" w:rsidP="00CF560A">
      <w:pPr>
        <w:widowControl w:val="0"/>
        <w:tabs>
          <w:tab w:val="left" w:pos="540"/>
        </w:tabs>
        <w:rPr>
          <w:b/>
        </w:rPr>
      </w:pPr>
      <w:r w:rsidRPr="008B2A3A">
        <w:rPr>
          <w:b/>
        </w:rPr>
        <w:t xml:space="preserve">EXECUTIVE </w:t>
      </w:r>
      <w:r w:rsidR="00E0509E" w:rsidRPr="008B2A3A">
        <w:rPr>
          <w:b/>
        </w:rPr>
        <w:t>SUMMARY OF RESULTS</w:t>
      </w:r>
    </w:p>
    <w:p w:rsidR="00CF1905" w:rsidRDefault="00E0509E" w:rsidP="00CF560A">
      <w:pPr>
        <w:widowControl w:val="0"/>
        <w:tabs>
          <w:tab w:val="left" w:pos="540"/>
        </w:tabs>
      </w:pPr>
      <w:r w:rsidRPr="008B2A3A">
        <w:t>We summarize evaluation results below. Following this summary, we provide: 1) A description of scales used to measure participant characteristics, in</w:t>
      </w:r>
      <w:r w:rsidR="00E52858">
        <w:t xml:space="preserve">cluding indices of validity, </w:t>
      </w:r>
      <w:r w:rsidRPr="008B2A3A">
        <w:t xml:space="preserve">reliability, </w:t>
      </w:r>
      <w:r w:rsidR="00E52858">
        <w:t xml:space="preserve">and overall scores, </w:t>
      </w:r>
      <w:r w:rsidRPr="008B2A3A">
        <w:t xml:space="preserve">and 2) </w:t>
      </w:r>
      <w:r w:rsidR="001C6D35" w:rsidRPr="008B2A3A">
        <w:t xml:space="preserve">results for </w:t>
      </w:r>
      <w:r w:rsidRPr="008B2A3A">
        <w:t xml:space="preserve">qualitative </w:t>
      </w:r>
      <w:r w:rsidR="001C6D35" w:rsidRPr="008B2A3A">
        <w:t>and close-ended questions related to participant impressions of the workshop</w:t>
      </w:r>
      <w:r w:rsidRPr="008B2A3A">
        <w:t>. In summary, we found that:</w:t>
      </w:r>
    </w:p>
    <w:p w:rsidR="00E0509E" w:rsidRPr="008B2A3A" w:rsidRDefault="00E0509E" w:rsidP="00CF560A">
      <w:pPr>
        <w:widowControl w:val="0"/>
        <w:tabs>
          <w:tab w:val="left" w:pos="540"/>
        </w:tabs>
      </w:pPr>
    </w:p>
    <w:p w:rsidR="00350843" w:rsidRDefault="00350843" w:rsidP="00EE3E41">
      <w:pPr>
        <w:pStyle w:val="ListParagraph"/>
        <w:widowControl w:val="0"/>
        <w:numPr>
          <w:ilvl w:val="0"/>
          <w:numId w:val="22"/>
        </w:numPr>
        <w:tabs>
          <w:tab w:val="left" w:pos="720"/>
        </w:tabs>
        <w:rPr>
          <w:rFonts w:ascii="Times New Roman" w:hAnsi="Times New Roman"/>
        </w:rPr>
      </w:pPr>
      <w:r>
        <w:rPr>
          <w:rFonts w:ascii="Times New Roman" w:hAnsi="Times New Roman"/>
        </w:rPr>
        <w:t>Observations su</w:t>
      </w:r>
      <w:r w:rsidR="00007D6A">
        <w:rPr>
          <w:rFonts w:ascii="Times New Roman" w:hAnsi="Times New Roman"/>
        </w:rPr>
        <w:t>gg</w:t>
      </w:r>
      <w:r>
        <w:rPr>
          <w:rFonts w:ascii="Times New Roman" w:hAnsi="Times New Roman"/>
        </w:rPr>
        <w:t xml:space="preserve">est that </w:t>
      </w:r>
      <w:r w:rsidRPr="00350843">
        <w:rPr>
          <w:rFonts w:ascii="Times New Roman" w:hAnsi="Times New Roman"/>
          <w:i/>
        </w:rPr>
        <w:t>the structure of the EDAMAME workshop and the built-in methods for interaction between leaders and students were excellent</w:t>
      </w:r>
      <w:r>
        <w:rPr>
          <w:rFonts w:ascii="Times New Roman" w:hAnsi="Times New Roman"/>
          <w:i/>
        </w:rPr>
        <w:t>.</w:t>
      </w:r>
    </w:p>
    <w:p w:rsidR="00EE3E41" w:rsidRPr="00872E9C" w:rsidRDefault="00E0509E" w:rsidP="00EE3E41">
      <w:pPr>
        <w:pStyle w:val="ListParagraph"/>
        <w:widowControl w:val="0"/>
        <w:numPr>
          <w:ilvl w:val="0"/>
          <w:numId w:val="22"/>
        </w:numPr>
        <w:tabs>
          <w:tab w:val="left" w:pos="720"/>
        </w:tabs>
        <w:rPr>
          <w:rFonts w:ascii="Times New Roman" w:hAnsi="Times New Roman"/>
        </w:rPr>
      </w:pPr>
      <w:r w:rsidRPr="00872E9C">
        <w:rPr>
          <w:rFonts w:ascii="Times New Roman" w:hAnsi="Times New Roman"/>
        </w:rPr>
        <w:t xml:space="preserve">Scores on the Perception of Computational Ability scale were calculated </w:t>
      </w:r>
      <w:r w:rsidR="00EE3E41" w:rsidRPr="00872E9C">
        <w:rPr>
          <w:rFonts w:ascii="Times New Roman" w:hAnsi="Times New Roman"/>
        </w:rPr>
        <w:t>for both the pre- and post-workshop surveys</w:t>
      </w:r>
      <w:r w:rsidRPr="00872E9C">
        <w:rPr>
          <w:rFonts w:ascii="Times New Roman" w:hAnsi="Times New Roman"/>
        </w:rPr>
        <w:t xml:space="preserve">. </w:t>
      </w:r>
      <w:r w:rsidR="00872E9C" w:rsidRPr="00872E9C">
        <w:rPr>
          <w:rFonts w:ascii="Times New Roman" w:hAnsi="Times New Roman"/>
        </w:rPr>
        <w:t>Results from the Wilcoxon Signed Ranks Test indicate that pre- and post-workshop results are statistically different (Z = -3.933, p ≤ 0.001)</w:t>
      </w:r>
      <w:r w:rsidR="005B1B91" w:rsidRPr="00872E9C">
        <w:rPr>
          <w:rFonts w:ascii="Times New Roman" w:hAnsi="Times New Roman"/>
        </w:rPr>
        <w:t xml:space="preserve">, with higher post-workshop scores. </w:t>
      </w:r>
      <w:r w:rsidR="00EE3E41" w:rsidRPr="00872E9C">
        <w:rPr>
          <w:rFonts w:ascii="Times New Roman" w:hAnsi="Times New Roman"/>
          <w:i/>
        </w:rPr>
        <w:t xml:space="preserve">This indicates that participants perceived greater </w:t>
      </w:r>
      <w:r w:rsidR="005B1B91" w:rsidRPr="00872E9C">
        <w:rPr>
          <w:rFonts w:ascii="Times New Roman" w:hAnsi="Times New Roman"/>
          <w:i/>
        </w:rPr>
        <w:t>computational ability</w:t>
      </w:r>
      <w:r w:rsidR="00EE3E41" w:rsidRPr="00872E9C">
        <w:rPr>
          <w:rFonts w:ascii="Times New Roman" w:hAnsi="Times New Roman"/>
          <w:i/>
        </w:rPr>
        <w:t xml:space="preserve"> after engagement in the workshop.</w:t>
      </w:r>
    </w:p>
    <w:p w:rsidR="00E0509E" w:rsidRPr="00872E9C" w:rsidRDefault="00E0509E" w:rsidP="00E0509E">
      <w:pPr>
        <w:pStyle w:val="ListParagraph"/>
        <w:widowControl w:val="0"/>
        <w:numPr>
          <w:ilvl w:val="0"/>
          <w:numId w:val="22"/>
        </w:numPr>
        <w:tabs>
          <w:tab w:val="left" w:pos="720"/>
        </w:tabs>
        <w:rPr>
          <w:rFonts w:ascii="Times New Roman" w:hAnsi="Times New Roman"/>
        </w:rPr>
      </w:pPr>
      <w:r w:rsidRPr="00872E9C">
        <w:rPr>
          <w:rFonts w:ascii="Times New Roman" w:hAnsi="Times New Roman"/>
        </w:rPr>
        <w:t>Scores on the Computational Understanding</w:t>
      </w:r>
      <w:r w:rsidR="005B1B91" w:rsidRPr="00872E9C">
        <w:rPr>
          <w:rFonts w:ascii="Times New Roman" w:hAnsi="Times New Roman"/>
        </w:rPr>
        <w:t xml:space="preserve"> </w:t>
      </w:r>
      <w:r w:rsidRPr="00872E9C">
        <w:rPr>
          <w:rFonts w:ascii="Times New Roman" w:hAnsi="Times New Roman"/>
        </w:rPr>
        <w:t xml:space="preserve">scale were calculated for both the pre- and post-workshop surveys. </w:t>
      </w:r>
      <w:r w:rsidR="005B1B91" w:rsidRPr="00872E9C">
        <w:rPr>
          <w:rFonts w:ascii="Times New Roman" w:hAnsi="Times New Roman"/>
        </w:rPr>
        <w:t>Results from the Wilcoxon Signed Ranks Test indicate that pre- and post-workshop results are statistically different (</w:t>
      </w:r>
      <w:r w:rsidR="005B1B91" w:rsidRPr="00007D6A">
        <w:rPr>
          <w:rFonts w:ascii="Times New Roman" w:hAnsi="Times New Roman"/>
        </w:rPr>
        <w:t xml:space="preserve">Z = </w:t>
      </w:r>
      <w:r w:rsidR="00872E9C" w:rsidRPr="00007D6A">
        <w:rPr>
          <w:rFonts w:ascii="Times New Roman" w:hAnsi="Times New Roman"/>
        </w:rPr>
        <w:t>-3.925</w:t>
      </w:r>
      <w:r w:rsidR="005B1B91" w:rsidRPr="00007D6A">
        <w:rPr>
          <w:rFonts w:ascii="Times New Roman" w:hAnsi="Times New Roman"/>
        </w:rPr>
        <w:t>, p</w:t>
      </w:r>
      <w:r w:rsidR="005B1B91" w:rsidRPr="00872E9C">
        <w:rPr>
          <w:rFonts w:ascii="Times New Roman" w:hAnsi="Times New Roman"/>
        </w:rPr>
        <w:t xml:space="preserve"> ≤ 0.001), with higher post-workshop scores. </w:t>
      </w:r>
      <w:r w:rsidRPr="00872E9C">
        <w:rPr>
          <w:rFonts w:ascii="Times New Roman" w:hAnsi="Times New Roman"/>
          <w:i/>
        </w:rPr>
        <w:t>This indicates that participants perceived greater</w:t>
      </w:r>
      <w:r w:rsidR="00872E9C">
        <w:rPr>
          <w:rFonts w:ascii="Times New Roman" w:hAnsi="Times New Roman"/>
          <w:i/>
        </w:rPr>
        <w:t xml:space="preserve"> computational</w:t>
      </w:r>
      <w:r w:rsidRPr="00872E9C">
        <w:rPr>
          <w:rFonts w:ascii="Times New Roman" w:hAnsi="Times New Roman"/>
          <w:i/>
        </w:rPr>
        <w:t xml:space="preserve"> understanding after engagement in the workshop.</w:t>
      </w:r>
    </w:p>
    <w:p w:rsidR="00E0509E" w:rsidRPr="00872E9C" w:rsidRDefault="00872E9C" w:rsidP="00E0509E">
      <w:pPr>
        <w:pStyle w:val="ListParagraph"/>
        <w:widowControl w:val="0"/>
        <w:numPr>
          <w:ilvl w:val="0"/>
          <w:numId w:val="22"/>
        </w:numPr>
        <w:tabs>
          <w:tab w:val="left" w:pos="720"/>
        </w:tabs>
        <w:rPr>
          <w:rFonts w:ascii="Times New Roman" w:hAnsi="Times New Roman"/>
          <w:i/>
        </w:rPr>
      </w:pPr>
      <w:r w:rsidRPr="00872E9C">
        <w:rPr>
          <w:rFonts w:ascii="Times New Roman" w:hAnsi="Times New Roman"/>
        </w:rPr>
        <w:t>Scores on the</w:t>
      </w:r>
      <w:r w:rsidR="00E0509E" w:rsidRPr="00872E9C">
        <w:rPr>
          <w:rFonts w:ascii="Times New Roman" w:hAnsi="Times New Roman"/>
        </w:rPr>
        <w:t xml:space="preserve"> Coding Ability scale were calculated for both the pre- and post-workshop surveys. </w:t>
      </w:r>
      <w:r w:rsidR="005B1B91" w:rsidRPr="00872E9C">
        <w:rPr>
          <w:rFonts w:ascii="Times New Roman" w:hAnsi="Times New Roman"/>
        </w:rPr>
        <w:t>Results from the Wilcoxon Signed Ranks Test indicate that pre- and post-workshop results are statistically different (Z = -</w:t>
      </w:r>
      <w:r w:rsidRPr="00872E9C">
        <w:rPr>
          <w:rFonts w:ascii="Times New Roman" w:hAnsi="Times New Roman"/>
        </w:rPr>
        <w:t>3.922</w:t>
      </w:r>
      <w:r w:rsidR="005B1B91" w:rsidRPr="00872E9C">
        <w:rPr>
          <w:rFonts w:ascii="Times New Roman" w:hAnsi="Times New Roman"/>
        </w:rPr>
        <w:t>, p ≤ 0.001)</w:t>
      </w:r>
      <w:r w:rsidR="00E0509E" w:rsidRPr="00872E9C">
        <w:rPr>
          <w:rFonts w:ascii="Times New Roman" w:hAnsi="Times New Roman"/>
        </w:rPr>
        <w:t xml:space="preserve">, with </w:t>
      </w:r>
      <w:r w:rsidR="005B1B91" w:rsidRPr="00872E9C">
        <w:rPr>
          <w:rFonts w:ascii="Times New Roman" w:hAnsi="Times New Roman"/>
        </w:rPr>
        <w:t xml:space="preserve">higher </w:t>
      </w:r>
      <w:r w:rsidR="00E0509E" w:rsidRPr="00872E9C">
        <w:rPr>
          <w:rFonts w:ascii="Times New Roman" w:hAnsi="Times New Roman"/>
        </w:rPr>
        <w:t xml:space="preserve">post-workshop </w:t>
      </w:r>
      <w:r w:rsidR="005B1B91" w:rsidRPr="00872E9C">
        <w:rPr>
          <w:rFonts w:ascii="Times New Roman" w:hAnsi="Times New Roman"/>
        </w:rPr>
        <w:t>scores</w:t>
      </w:r>
      <w:r w:rsidR="00E0509E" w:rsidRPr="00872E9C">
        <w:rPr>
          <w:rFonts w:ascii="Times New Roman" w:hAnsi="Times New Roman"/>
        </w:rPr>
        <w:t xml:space="preserve">. </w:t>
      </w:r>
      <w:r w:rsidR="00E0509E" w:rsidRPr="00872E9C">
        <w:rPr>
          <w:rFonts w:ascii="Times New Roman" w:hAnsi="Times New Roman"/>
          <w:i/>
        </w:rPr>
        <w:t>This indicates that</w:t>
      </w:r>
      <w:r w:rsidR="005B1B91" w:rsidRPr="00872E9C">
        <w:rPr>
          <w:rFonts w:ascii="Times New Roman" w:hAnsi="Times New Roman"/>
          <w:i/>
        </w:rPr>
        <w:t xml:space="preserve"> participants perceived greater </w:t>
      </w:r>
      <w:r w:rsidR="00E0509E" w:rsidRPr="00872E9C">
        <w:rPr>
          <w:rFonts w:ascii="Times New Roman" w:hAnsi="Times New Roman"/>
          <w:i/>
        </w:rPr>
        <w:t>coding ability after engagement in the workshop.</w:t>
      </w:r>
    </w:p>
    <w:p w:rsidR="00E0509E" w:rsidRPr="00872E9C" w:rsidRDefault="00E0509E" w:rsidP="00E0509E">
      <w:pPr>
        <w:pStyle w:val="ListParagraph"/>
        <w:widowControl w:val="0"/>
        <w:numPr>
          <w:ilvl w:val="0"/>
          <w:numId w:val="22"/>
        </w:numPr>
        <w:rPr>
          <w:rFonts w:ascii="Times New Roman" w:hAnsi="Times New Roman"/>
          <w:i/>
        </w:rPr>
      </w:pPr>
      <w:r w:rsidRPr="00872E9C">
        <w:rPr>
          <w:rFonts w:ascii="Times New Roman" w:hAnsi="Times New Roman"/>
          <w:i/>
        </w:rPr>
        <w:t>Participants were generally very satisfied with the work</w:t>
      </w:r>
      <w:r w:rsidR="005B1B91" w:rsidRPr="00872E9C">
        <w:rPr>
          <w:rFonts w:ascii="Times New Roman" w:hAnsi="Times New Roman"/>
          <w:i/>
        </w:rPr>
        <w:t>shop</w:t>
      </w:r>
      <w:r w:rsidRPr="00872E9C">
        <w:rPr>
          <w:rFonts w:ascii="Times New Roman" w:hAnsi="Times New Roman"/>
          <w:i/>
        </w:rPr>
        <w:t>. On average, participants rated the workshop components as Good-Very Good</w:t>
      </w:r>
      <w:r w:rsidR="00872E9C" w:rsidRPr="00872E9C">
        <w:rPr>
          <w:rFonts w:ascii="Times New Roman" w:hAnsi="Times New Roman"/>
          <w:i/>
        </w:rPr>
        <w:t xml:space="preserve">, where Very Good was </w:t>
      </w:r>
      <w:r w:rsidR="00007D6A">
        <w:rPr>
          <w:rFonts w:ascii="Times New Roman" w:hAnsi="Times New Roman"/>
          <w:i/>
        </w:rPr>
        <w:t>the maximum score.</w:t>
      </w:r>
      <w:r w:rsidRPr="00872E9C">
        <w:rPr>
          <w:rFonts w:ascii="Times New Roman" w:hAnsi="Times New Roman"/>
          <w:i/>
        </w:rPr>
        <w:t xml:space="preserve"> </w:t>
      </w:r>
    </w:p>
    <w:p w:rsidR="00B771F5" w:rsidRPr="00872E9C" w:rsidRDefault="00872E9C" w:rsidP="00E0509E">
      <w:pPr>
        <w:pStyle w:val="ListParagraph"/>
        <w:widowControl w:val="0"/>
        <w:numPr>
          <w:ilvl w:val="0"/>
          <w:numId w:val="22"/>
        </w:numPr>
        <w:rPr>
          <w:rFonts w:ascii="Times New Roman" w:hAnsi="Times New Roman"/>
          <w:i/>
        </w:rPr>
      </w:pPr>
      <w:r>
        <w:rPr>
          <w:rFonts w:ascii="Times New Roman" w:hAnsi="Times New Roman"/>
          <w:i/>
        </w:rPr>
        <w:t xml:space="preserve">Participants </w:t>
      </w:r>
      <w:r w:rsidR="00E0509E" w:rsidRPr="00872E9C">
        <w:rPr>
          <w:rFonts w:ascii="Times New Roman" w:hAnsi="Times New Roman"/>
          <w:i/>
        </w:rPr>
        <w:t xml:space="preserve">felt the workshop met their needs and would overwhelmingly recommend it to others. </w:t>
      </w:r>
    </w:p>
    <w:p w:rsidR="00E0509E" w:rsidRPr="00CC5932" w:rsidRDefault="008B2A3A" w:rsidP="00CC5932">
      <w:pPr>
        <w:pStyle w:val="ListParagraph"/>
        <w:widowControl w:val="0"/>
        <w:numPr>
          <w:ilvl w:val="0"/>
          <w:numId w:val="22"/>
        </w:numPr>
        <w:rPr>
          <w:rFonts w:ascii="Times New Roman" w:hAnsi="Times New Roman"/>
          <w:b/>
        </w:rPr>
      </w:pPr>
      <w:r w:rsidRPr="009C6965">
        <w:rPr>
          <w:rFonts w:ascii="Times New Roman" w:hAnsi="Times New Roman"/>
        </w:rPr>
        <w:t xml:space="preserve">Participants were generally positive about the workshop in their open-ended comments. Suggestions for improvement include: </w:t>
      </w:r>
      <w:r w:rsidR="009C6965" w:rsidRPr="009C6965">
        <w:rPr>
          <w:rFonts w:ascii="Times New Roman" w:eastAsia="Cambria" w:hAnsi="Times New Roman"/>
          <w:i/>
          <w:szCs w:val="22"/>
        </w:rPr>
        <w:t xml:space="preserve">stick to scheduled breaks, offer more explanation of the workshop plans ahead of time, and lengthen the workshop to two weeks. </w:t>
      </w:r>
    </w:p>
    <w:p w:rsidR="0025329E" w:rsidRPr="008B2A3A" w:rsidRDefault="007727ED" w:rsidP="00CF560A">
      <w:pPr>
        <w:widowControl w:val="0"/>
        <w:tabs>
          <w:tab w:val="left" w:pos="540"/>
        </w:tabs>
      </w:pPr>
      <w:r w:rsidRPr="008B2A3A">
        <w:rPr>
          <w:b/>
        </w:rPr>
        <w:t>WORKSHOP EVALUATION</w:t>
      </w:r>
      <w:r w:rsidR="00271A0A" w:rsidRPr="008B2A3A">
        <w:rPr>
          <w:b/>
        </w:rPr>
        <w:t xml:space="preserve"> AND RESULTS</w:t>
      </w:r>
    </w:p>
    <w:p w:rsidR="00DB0BBF" w:rsidRPr="008B2A3A" w:rsidRDefault="00007D6A" w:rsidP="00CF560A">
      <w:pPr>
        <w:widowControl w:val="0"/>
      </w:pPr>
      <w:r>
        <w:t xml:space="preserve">The workshop was evaluated through observation, Likert-type scales, and open-ended prompts. </w:t>
      </w:r>
      <w:r w:rsidR="00EE3E41">
        <w:t xml:space="preserve">Scales used for the </w:t>
      </w:r>
      <w:r>
        <w:t>w</w:t>
      </w:r>
      <w:r w:rsidR="00EE3E41">
        <w:t>orkshop</w:t>
      </w:r>
      <w:r w:rsidR="0025329E" w:rsidRPr="008B2A3A">
        <w:t xml:space="preserve"> </w:t>
      </w:r>
      <w:r w:rsidR="00EE3E41">
        <w:t xml:space="preserve">were modified from scales used in earlier evaluation </w:t>
      </w:r>
      <w:r>
        <w:t xml:space="preserve">of similar workshops </w:t>
      </w:r>
      <w:r w:rsidR="00EE3E41">
        <w:t>(Software Carpentry</w:t>
      </w:r>
      <w:r>
        <w:t>; Bioinformatics</w:t>
      </w:r>
      <w:r w:rsidR="00EE3E41">
        <w:t>)</w:t>
      </w:r>
      <w:r w:rsidR="00E52858">
        <w:t>; scale statistics were calculated to ensure validity and reliability of scales</w:t>
      </w:r>
      <w:r>
        <w:t xml:space="preserve"> for this workshop</w:t>
      </w:r>
      <w:r w:rsidR="00EE3E41">
        <w:t xml:space="preserve">. </w:t>
      </w:r>
      <w:r w:rsidR="00EE3E41" w:rsidRPr="00336117">
        <w:t>P</w:t>
      </w:r>
      <w:r w:rsidR="00872E9C">
        <w:t>articipants completed</w:t>
      </w:r>
      <w:r w:rsidR="0025329E" w:rsidRPr="00336117">
        <w:t xml:space="preserve"> </w:t>
      </w:r>
      <w:r w:rsidR="00EE3E41" w:rsidRPr="00336117">
        <w:t>identical pre- and post-workshop</w:t>
      </w:r>
      <w:r w:rsidR="00DB0BBF" w:rsidRPr="00336117">
        <w:t xml:space="preserve"> </w:t>
      </w:r>
      <w:r w:rsidR="0025329E" w:rsidRPr="00336117">
        <w:t>survey</w:t>
      </w:r>
      <w:r w:rsidR="00EE3E41" w:rsidRPr="00336117">
        <w:t>s</w:t>
      </w:r>
      <w:r w:rsidR="0025329E" w:rsidRPr="00336117">
        <w:t xml:space="preserve"> containing three scales: Perception</w:t>
      </w:r>
      <w:r w:rsidR="00872E9C">
        <w:t>s</w:t>
      </w:r>
      <w:r w:rsidR="0025329E" w:rsidRPr="00336117">
        <w:t xml:space="preserve"> of </w:t>
      </w:r>
      <w:r w:rsidR="00DB0BBF" w:rsidRPr="00336117">
        <w:t xml:space="preserve">Computational </w:t>
      </w:r>
      <w:r w:rsidR="0025329E" w:rsidRPr="00336117">
        <w:t xml:space="preserve">Ability, </w:t>
      </w:r>
      <w:r w:rsidR="00DB0BBF" w:rsidRPr="00336117">
        <w:t>Computational Understand</w:t>
      </w:r>
      <w:r w:rsidR="00271A0A" w:rsidRPr="00336117">
        <w:t xml:space="preserve">ing, and Coding Ability. </w:t>
      </w:r>
      <w:r w:rsidR="00DB0BBF" w:rsidRPr="00336117">
        <w:t>Respondents also completed se</w:t>
      </w:r>
      <w:r w:rsidR="00872E9C">
        <w:t xml:space="preserve">veral demographic questions and </w:t>
      </w:r>
      <w:r w:rsidR="00DB0BBF" w:rsidRPr="00336117">
        <w:t xml:space="preserve">responded to </w:t>
      </w:r>
      <w:r w:rsidR="00336117" w:rsidRPr="00336117">
        <w:t>t</w:t>
      </w:r>
      <w:r w:rsidR="00872E9C">
        <w:t>wo</w:t>
      </w:r>
      <w:r w:rsidR="00336117" w:rsidRPr="00336117">
        <w:t xml:space="preserve"> </w:t>
      </w:r>
      <w:r w:rsidR="00DB0BBF" w:rsidRPr="00336117">
        <w:t>open-ended question</w:t>
      </w:r>
      <w:r w:rsidR="00336117" w:rsidRPr="00336117">
        <w:t>s</w:t>
      </w:r>
      <w:r w:rsidR="00DB0BBF" w:rsidRPr="00336117">
        <w:t xml:space="preserve"> </w:t>
      </w:r>
      <w:r w:rsidR="00872E9C">
        <w:t xml:space="preserve">and one box-and-arrow prompt </w:t>
      </w:r>
      <w:r w:rsidR="00336117" w:rsidRPr="00336117">
        <w:t>covering workshop content</w:t>
      </w:r>
      <w:r w:rsidR="00DB0BBF" w:rsidRPr="00336117">
        <w:t>.</w:t>
      </w:r>
      <w:r w:rsidR="00DB0BBF" w:rsidRPr="008B2A3A">
        <w:t xml:space="preserve"> The </w:t>
      </w:r>
      <w:r w:rsidR="00336117">
        <w:t xml:space="preserve">surveys </w:t>
      </w:r>
      <w:r w:rsidR="00872E9C">
        <w:t xml:space="preserve">also </w:t>
      </w:r>
      <w:r w:rsidR="00336117">
        <w:t xml:space="preserve">contained questions about expectations (pre) and </w:t>
      </w:r>
      <w:r w:rsidR="00E52858">
        <w:t>overall perceptions</w:t>
      </w:r>
      <w:r w:rsidR="00336117">
        <w:t xml:space="preserve"> (post)</w:t>
      </w:r>
      <w:r w:rsidR="00E52858">
        <w:t xml:space="preserve"> of the workshop.</w:t>
      </w:r>
      <w:r w:rsidR="009650AE">
        <w:t xml:space="preserve"> </w:t>
      </w:r>
      <w:r w:rsidR="00336117">
        <w:t>S</w:t>
      </w:r>
      <w:r w:rsidR="009650AE">
        <w:t>cale analyses were perfor</w:t>
      </w:r>
      <w:r w:rsidR="00CB11BB">
        <w:t>med on p</w:t>
      </w:r>
      <w:r w:rsidR="00872E9C">
        <w:t>re</w:t>
      </w:r>
      <w:r w:rsidR="00CB11BB">
        <w:t>-instruction results except where noted.</w:t>
      </w:r>
    </w:p>
    <w:p w:rsidR="00E85A8B" w:rsidRPr="008B2A3A" w:rsidRDefault="00E85A8B" w:rsidP="00CF560A">
      <w:pPr>
        <w:widowControl w:val="0"/>
      </w:pPr>
    </w:p>
    <w:p w:rsidR="00380F6F" w:rsidRPr="008B2A3A" w:rsidRDefault="001E5E52" w:rsidP="00CF560A">
      <w:pPr>
        <w:widowControl w:val="0"/>
        <w:rPr>
          <w:b/>
          <w:i/>
        </w:rPr>
      </w:pPr>
      <w:r w:rsidRPr="008B2A3A">
        <w:rPr>
          <w:b/>
          <w:i/>
        </w:rPr>
        <w:t>Perception</w:t>
      </w:r>
      <w:r w:rsidR="00DB0BBF" w:rsidRPr="008B2A3A">
        <w:rPr>
          <w:b/>
          <w:i/>
        </w:rPr>
        <w:t xml:space="preserve"> of Computational Ability</w:t>
      </w:r>
    </w:p>
    <w:p w:rsidR="005C46CC" w:rsidRDefault="00112085" w:rsidP="00A24513">
      <w:pPr>
        <w:widowControl w:val="0"/>
      </w:pPr>
      <w:r w:rsidRPr="008B2A3A">
        <w:t xml:space="preserve">Participants </w:t>
      </w:r>
      <w:r w:rsidR="00CC5932">
        <w:t>rated</w:t>
      </w:r>
      <w:r w:rsidRPr="008B2A3A">
        <w:t xml:space="preserve"> their ability in each as No Ability, Low Ability, Intermediate Ability, or High Ability</w:t>
      </w:r>
      <w:r>
        <w:t xml:space="preserve"> on nine questions related to computational ability</w:t>
      </w:r>
      <w:r w:rsidRPr="008B2A3A">
        <w:t>. A score of 1 implies No Ability, while a score of 4 implies High Ability.</w:t>
      </w:r>
      <w:r>
        <w:t xml:space="preserve"> One scale</w:t>
      </w:r>
      <w:r w:rsidR="00380F6F" w:rsidRPr="008B2A3A">
        <w:t xml:space="preserve"> measur</w:t>
      </w:r>
      <w:r w:rsidR="001E5E52" w:rsidRPr="008B2A3A">
        <w:t>ing perception</w:t>
      </w:r>
      <w:r w:rsidR="00380F6F" w:rsidRPr="008B2A3A">
        <w:t xml:space="preserve"> of computational ability</w:t>
      </w:r>
      <w:r w:rsidR="002F5D43">
        <w:t xml:space="preserve"> in general</w:t>
      </w:r>
      <w:r>
        <w:t xml:space="preserve"> was</w:t>
      </w:r>
      <w:r w:rsidR="002F5D43">
        <w:t xml:space="preserve"> identified</w:t>
      </w:r>
      <w:r>
        <w:t xml:space="preserve"> and consisted of five of these nine items</w:t>
      </w:r>
      <w:r w:rsidR="002F5D43">
        <w:t xml:space="preserve">. </w:t>
      </w:r>
      <w:r w:rsidR="002F6950">
        <w:t>An average across these nine items is used to calculate a score for Perception of Computation</w:t>
      </w:r>
      <w:r w:rsidR="00872E9C">
        <w:t>al</w:t>
      </w:r>
      <w:r w:rsidR="002F6950">
        <w:t xml:space="preserve"> Ability. </w:t>
      </w:r>
    </w:p>
    <w:p w:rsidR="00CC5932" w:rsidRDefault="00CC5932" w:rsidP="00A24513">
      <w:pPr>
        <w:widowControl w:val="0"/>
      </w:pPr>
    </w:p>
    <w:p w:rsidR="00CC5932" w:rsidRPr="008B2A3A" w:rsidRDefault="00CC5932" w:rsidP="00CC5932">
      <w:pPr>
        <w:widowControl w:val="0"/>
        <w:rPr>
          <w:b/>
          <w:sz w:val="22"/>
        </w:rPr>
      </w:pPr>
      <w:r w:rsidRPr="008B2A3A">
        <w:rPr>
          <w:b/>
          <w:sz w:val="22"/>
        </w:rPr>
        <w:t xml:space="preserve">Table </w:t>
      </w:r>
      <w:r>
        <w:rPr>
          <w:b/>
          <w:sz w:val="22"/>
        </w:rPr>
        <w:t>1</w:t>
      </w:r>
      <w:r w:rsidRPr="008B2A3A">
        <w:rPr>
          <w:b/>
          <w:sz w:val="22"/>
        </w:rPr>
        <w:t>. Factor loadings, communalities, and item response averages for Perception of Computational Ability Scale</w:t>
      </w:r>
      <w:r>
        <w:rPr>
          <w:b/>
          <w:sz w:val="22"/>
        </w:rPr>
        <w:t xml:space="preserve">. </w:t>
      </w:r>
    </w:p>
    <w:tbl>
      <w:tblPr>
        <w:tblW w:w="9900" w:type="dxa"/>
        <w:tblInd w:w="5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8" w:type="dxa"/>
          <w:left w:w="58" w:type="dxa"/>
          <w:bottom w:w="58" w:type="dxa"/>
          <w:right w:w="58" w:type="dxa"/>
        </w:tblCellMar>
        <w:tblLook w:val="0000"/>
      </w:tblPr>
      <w:tblGrid>
        <w:gridCol w:w="6030"/>
        <w:gridCol w:w="1980"/>
        <w:gridCol w:w="1890"/>
      </w:tblGrid>
      <w:tr w:rsidR="00CC5932" w:rsidRPr="002F6950" w:rsidTr="00CC5932">
        <w:trPr>
          <w:cantSplit/>
          <w:trHeight w:val="246"/>
        </w:trPr>
        <w:tc>
          <w:tcPr>
            <w:tcW w:w="6030" w:type="dxa"/>
            <w:tcBorders>
              <w:bottom w:val="single" w:sz="8" w:space="0" w:color="000000"/>
            </w:tcBorders>
            <w:shd w:val="clear" w:color="auto" w:fill="FFFFFF"/>
            <w:vAlign w:val="center"/>
          </w:tcPr>
          <w:p w:rsidR="00CC5932" w:rsidRPr="002F6950" w:rsidRDefault="00CC5932" w:rsidP="00AC12B4">
            <w:pPr>
              <w:widowControl w:val="0"/>
              <w:rPr>
                <w:b/>
                <w:sz w:val="22"/>
              </w:rPr>
            </w:pPr>
            <w:r w:rsidRPr="002F6950">
              <w:rPr>
                <w:b/>
                <w:sz w:val="22"/>
              </w:rPr>
              <w:t>Items</w:t>
            </w:r>
          </w:p>
        </w:tc>
        <w:tc>
          <w:tcPr>
            <w:tcW w:w="1980" w:type="dxa"/>
            <w:tcBorders>
              <w:bottom w:val="single" w:sz="8" w:space="0" w:color="000000"/>
            </w:tcBorders>
            <w:shd w:val="clear" w:color="auto" w:fill="FFFFFF"/>
            <w:vAlign w:val="center"/>
          </w:tcPr>
          <w:p w:rsidR="00CC5932" w:rsidRPr="002F6950" w:rsidRDefault="00CC5932" w:rsidP="00AC12B4">
            <w:pPr>
              <w:widowControl w:val="0"/>
              <w:jc w:val="center"/>
              <w:rPr>
                <w:b/>
                <w:sz w:val="22"/>
              </w:rPr>
            </w:pPr>
            <w:r w:rsidRPr="002F6950">
              <w:rPr>
                <w:b/>
                <w:sz w:val="22"/>
              </w:rPr>
              <w:t>Factor Loadings</w:t>
            </w:r>
          </w:p>
        </w:tc>
        <w:tc>
          <w:tcPr>
            <w:tcW w:w="1890" w:type="dxa"/>
            <w:tcBorders>
              <w:bottom w:val="single" w:sz="8" w:space="0" w:color="000000"/>
            </w:tcBorders>
            <w:shd w:val="clear" w:color="auto" w:fill="FFFFFF"/>
            <w:vAlign w:val="center"/>
          </w:tcPr>
          <w:p w:rsidR="00CC5932" w:rsidRPr="002F6950" w:rsidRDefault="00CC5932" w:rsidP="00AC12B4">
            <w:pPr>
              <w:widowControl w:val="0"/>
              <w:jc w:val="center"/>
              <w:rPr>
                <w:b/>
                <w:sz w:val="22"/>
              </w:rPr>
            </w:pPr>
            <w:r w:rsidRPr="002F6950">
              <w:rPr>
                <w:b/>
                <w:sz w:val="22"/>
              </w:rPr>
              <w:t>Communalities</w:t>
            </w:r>
          </w:p>
        </w:tc>
      </w:tr>
      <w:tr w:rsidR="00CC5932" w:rsidRPr="002F6950">
        <w:trPr>
          <w:cantSplit/>
        </w:trPr>
        <w:tc>
          <w:tcPr>
            <w:tcW w:w="6030" w:type="dxa"/>
            <w:tcBorders>
              <w:top w:val="single" w:sz="8" w:space="0" w:color="000000"/>
              <w:left w:val="single" w:sz="8" w:space="0" w:color="000000"/>
              <w:bottom w:val="single" w:sz="8" w:space="0" w:color="000000"/>
              <w:right w:val="single" w:sz="8" w:space="0" w:color="000000"/>
            </w:tcBorders>
            <w:shd w:val="clear" w:color="auto" w:fill="auto"/>
            <w:vAlign w:val="center"/>
          </w:tcPr>
          <w:p w:rsidR="00CC5932" w:rsidRPr="002F6950" w:rsidRDefault="00CC5932" w:rsidP="00AC12B4">
            <w:pPr>
              <w:widowControl w:val="0"/>
              <w:autoSpaceDE w:val="0"/>
              <w:autoSpaceDN w:val="0"/>
              <w:adjustRightInd w:val="0"/>
              <w:ind w:left="60" w:right="60"/>
              <w:rPr>
                <w:rFonts w:eastAsia="Cambria" w:cs="Arial"/>
                <w:color w:val="000000"/>
                <w:sz w:val="22"/>
              </w:rPr>
            </w:pPr>
            <w:r w:rsidRPr="002F6950">
              <w:rPr>
                <w:rFonts w:eastAsia="Cambria" w:cs="Arial"/>
                <w:color w:val="000000"/>
                <w:sz w:val="22"/>
              </w:rPr>
              <w:t>Navigating terminal</w:t>
            </w:r>
          </w:p>
        </w:tc>
        <w:tc>
          <w:tcPr>
            <w:tcW w:w="1980" w:type="dxa"/>
            <w:tcBorders>
              <w:top w:val="single" w:sz="8" w:space="0" w:color="000000"/>
              <w:left w:val="single" w:sz="8" w:space="0" w:color="000000"/>
              <w:bottom w:val="single" w:sz="8" w:space="0" w:color="000000"/>
              <w:right w:val="single" w:sz="8" w:space="0" w:color="000000"/>
            </w:tcBorders>
            <w:shd w:val="clear" w:color="auto" w:fill="auto"/>
          </w:tcPr>
          <w:p w:rsidR="00CC5932" w:rsidRPr="002F6950" w:rsidRDefault="00CC5932" w:rsidP="00AC12B4">
            <w:pPr>
              <w:widowControl w:val="0"/>
              <w:autoSpaceDE w:val="0"/>
              <w:autoSpaceDN w:val="0"/>
              <w:adjustRightInd w:val="0"/>
              <w:ind w:left="60" w:right="60"/>
              <w:jc w:val="right"/>
              <w:rPr>
                <w:rFonts w:eastAsia="Cambria" w:cs="Arial"/>
                <w:color w:val="000000"/>
                <w:sz w:val="22"/>
              </w:rPr>
            </w:pPr>
            <w:r w:rsidRPr="002F6950">
              <w:rPr>
                <w:rFonts w:eastAsia="Cambria" w:cs="Arial"/>
                <w:color w:val="000000"/>
                <w:sz w:val="22"/>
              </w:rPr>
              <w:t>.617</w:t>
            </w:r>
          </w:p>
        </w:tc>
        <w:tc>
          <w:tcPr>
            <w:tcW w:w="1890" w:type="dxa"/>
            <w:tcBorders>
              <w:top w:val="single" w:sz="8" w:space="0" w:color="000000"/>
              <w:left w:val="single" w:sz="8" w:space="0" w:color="000000"/>
              <w:bottom w:val="single" w:sz="8" w:space="0" w:color="000000"/>
              <w:right w:val="single" w:sz="8" w:space="0" w:color="000000"/>
            </w:tcBorders>
            <w:shd w:val="clear" w:color="auto" w:fill="auto"/>
          </w:tcPr>
          <w:p w:rsidR="00CC5932" w:rsidRPr="002F6950" w:rsidRDefault="00CC5932" w:rsidP="00AC12B4">
            <w:pPr>
              <w:widowControl w:val="0"/>
              <w:autoSpaceDE w:val="0"/>
              <w:autoSpaceDN w:val="0"/>
              <w:adjustRightInd w:val="0"/>
              <w:ind w:left="60" w:right="60"/>
              <w:jc w:val="right"/>
              <w:rPr>
                <w:rFonts w:eastAsia="Cambria" w:cs="Arial"/>
                <w:color w:val="000000"/>
                <w:sz w:val="22"/>
              </w:rPr>
            </w:pPr>
            <w:r w:rsidRPr="002F6950">
              <w:rPr>
                <w:rFonts w:eastAsia="Cambria" w:cs="Arial"/>
                <w:color w:val="000000"/>
                <w:sz w:val="22"/>
              </w:rPr>
              <w:t>.381</w:t>
            </w:r>
          </w:p>
        </w:tc>
      </w:tr>
      <w:tr w:rsidR="00CC5932" w:rsidRPr="002F6950">
        <w:trPr>
          <w:cantSplit/>
        </w:trPr>
        <w:tc>
          <w:tcPr>
            <w:tcW w:w="6030" w:type="dxa"/>
            <w:tcBorders>
              <w:top w:val="single" w:sz="8" w:space="0" w:color="000000"/>
              <w:left w:val="single" w:sz="8" w:space="0" w:color="000000"/>
              <w:bottom w:val="single" w:sz="8" w:space="0" w:color="000000"/>
              <w:right w:val="single" w:sz="8" w:space="0" w:color="000000"/>
            </w:tcBorders>
            <w:shd w:val="clear" w:color="auto" w:fill="auto"/>
            <w:vAlign w:val="center"/>
          </w:tcPr>
          <w:p w:rsidR="00CC5932" w:rsidRPr="002F6950" w:rsidRDefault="00CC5932" w:rsidP="00AC12B4">
            <w:pPr>
              <w:widowControl w:val="0"/>
              <w:autoSpaceDE w:val="0"/>
              <w:autoSpaceDN w:val="0"/>
              <w:adjustRightInd w:val="0"/>
              <w:ind w:left="60" w:right="60"/>
              <w:rPr>
                <w:rFonts w:eastAsia="Cambria" w:cs="Arial"/>
                <w:color w:val="000000"/>
                <w:sz w:val="22"/>
              </w:rPr>
            </w:pPr>
            <w:r w:rsidRPr="002F6950">
              <w:rPr>
                <w:rFonts w:eastAsia="Cambria" w:cs="Arial"/>
                <w:color w:val="000000"/>
                <w:sz w:val="22"/>
              </w:rPr>
              <w:t>Executing Python scripts</w:t>
            </w:r>
          </w:p>
        </w:tc>
        <w:tc>
          <w:tcPr>
            <w:tcW w:w="1980" w:type="dxa"/>
            <w:tcBorders>
              <w:top w:val="single" w:sz="8" w:space="0" w:color="000000"/>
              <w:left w:val="single" w:sz="8" w:space="0" w:color="000000"/>
              <w:bottom w:val="single" w:sz="8" w:space="0" w:color="000000"/>
              <w:right w:val="single" w:sz="8" w:space="0" w:color="000000"/>
            </w:tcBorders>
            <w:shd w:val="clear" w:color="auto" w:fill="auto"/>
          </w:tcPr>
          <w:p w:rsidR="00CC5932" w:rsidRPr="002F6950" w:rsidRDefault="00CC5932" w:rsidP="00AC12B4">
            <w:pPr>
              <w:widowControl w:val="0"/>
              <w:autoSpaceDE w:val="0"/>
              <w:autoSpaceDN w:val="0"/>
              <w:adjustRightInd w:val="0"/>
              <w:ind w:left="60" w:right="60"/>
              <w:jc w:val="right"/>
              <w:rPr>
                <w:rFonts w:eastAsia="Cambria" w:cs="Arial"/>
                <w:color w:val="000000"/>
                <w:sz w:val="22"/>
              </w:rPr>
            </w:pPr>
            <w:r w:rsidRPr="002F6950">
              <w:rPr>
                <w:rFonts w:eastAsia="Cambria" w:cs="Arial"/>
                <w:color w:val="000000"/>
                <w:sz w:val="22"/>
              </w:rPr>
              <w:t>.724</w:t>
            </w:r>
          </w:p>
        </w:tc>
        <w:tc>
          <w:tcPr>
            <w:tcW w:w="1890" w:type="dxa"/>
            <w:tcBorders>
              <w:top w:val="single" w:sz="8" w:space="0" w:color="000000"/>
              <w:left w:val="single" w:sz="8" w:space="0" w:color="000000"/>
              <w:bottom w:val="single" w:sz="8" w:space="0" w:color="000000"/>
              <w:right w:val="single" w:sz="8" w:space="0" w:color="000000"/>
            </w:tcBorders>
            <w:shd w:val="clear" w:color="auto" w:fill="auto"/>
          </w:tcPr>
          <w:p w:rsidR="00CC5932" w:rsidRPr="002F6950" w:rsidRDefault="00CC5932" w:rsidP="00AC12B4">
            <w:pPr>
              <w:widowControl w:val="0"/>
              <w:autoSpaceDE w:val="0"/>
              <w:autoSpaceDN w:val="0"/>
              <w:adjustRightInd w:val="0"/>
              <w:ind w:left="60" w:right="60"/>
              <w:jc w:val="right"/>
              <w:rPr>
                <w:rFonts w:eastAsia="Cambria" w:cs="Arial"/>
                <w:color w:val="000000"/>
                <w:sz w:val="22"/>
              </w:rPr>
            </w:pPr>
            <w:r w:rsidRPr="002F6950">
              <w:rPr>
                <w:rFonts w:eastAsia="Cambria" w:cs="Arial"/>
                <w:color w:val="000000"/>
                <w:sz w:val="22"/>
              </w:rPr>
              <w:t>.524</w:t>
            </w:r>
          </w:p>
        </w:tc>
      </w:tr>
      <w:tr w:rsidR="00CC5932" w:rsidRPr="002F6950">
        <w:trPr>
          <w:cantSplit/>
        </w:trPr>
        <w:tc>
          <w:tcPr>
            <w:tcW w:w="6030" w:type="dxa"/>
            <w:shd w:val="clear" w:color="auto" w:fill="FFFFFF"/>
            <w:vAlign w:val="center"/>
          </w:tcPr>
          <w:p w:rsidR="00CC5932" w:rsidRPr="002F6950" w:rsidRDefault="00CC5932" w:rsidP="00AC12B4">
            <w:pPr>
              <w:widowControl w:val="0"/>
              <w:autoSpaceDE w:val="0"/>
              <w:autoSpaceDN w:val="0"/>
              <w:adjustRightInd w:val="0"/>
              <w:ind w:left="60" w:right="60"/>
              <w:rPr>
                <w:rFonts w:eastAsia="Cambria" w:cs="Arial"/>
                <w:color w:val="000000"/>
                <w:sz w:val="22"/>
              </w:rPr>
            </w:pPr>
            <w:r w:rsidRPr="002F6950">
              <w:rPr>
                <w:rFonts w:eastAsia="Cambria" w:cs="Arial"/>
                <w:color w:val="000000"/>
                <w:sz w:val="22"/>
              </w:rPr>
              <w:t>Using Amazon EC2</w:t>
            </w:r>
          </w:p>
        </w:tc>
        <w:tc>
          <w:tcPr>
            <w:tcW w:w="1980" w:type="dxa"/>
            <w:shd w:val="clear" w:color="auto" w:fill="FFFFFF"/>
          </w:tcPr>
          <w:p w:rsidR="00CC5932" w:rsidRPr="002F6950" w:rsidRDefault="00CC5932" w:rsidP="00AC12B4">
            <w:pPr>
              <w:widowControl w:val="0"/>
              <w:autoSpaceDE w:val="0"/>
              <w:autoSpaceDN w:val="0"/>
              <w:adjustRightInd w:val="0"/>
              <w:ind w:left="60" w:right="60"/>
              <w:jc w:val="right"/>
              <w:rPr>
                <w:rFonts w:eastAsia="Cambria" w:cs="Arial"/>
                <w:color w:val="000000"/>
                <w:sz w:val="22"/>
              </w:rPr>
            </w:pPr>
            <w:r w:rsidRPr="002F6950">
              <w:rPr>
                <w:rFonts w:eastAsia="Cambria" w:cs="Arial"/>
                <w:color w:val="000000"/>
                <w:sz w:val="22"/>
              </w:rPr>
              <w:t>.773</w:t>
            </w:r>
          </w:p>
        </w:tc>
        <w:tc>
          <w:tcPr>
            <w:tcW w:w="1890" w:type="dxa"/>
            <w:shd w:val="clear" w:color="auto" w:fill="FFFFFF"/>
          </w:tcPr>
          <w:p w:rsidR="00CC5932" w:rsidRPr="002F6950" w:rsidRDefault="00CC5932" w:rsidP="00AC12B4">
            <w:pPr>
              <w:widowControl w:val="0"/>
              <w:autoSpaceDE w:val="0"/>
              <w:autoSpaceDN w:val="0"/>
              <w:adjustRightInd w:val="0"/>
              <w:ind w:left="60" w:right="60"/>
              <w:jc w:val="right"/>
              <w:rPr>
                <w:rFonts w:eastAsia="Cambria" w:cs="Arial"/>
                <w:color w:val="000000"/>
                <w:sz w:val="22"/>
              </w:rPr>
            </w:pPr>
            <w:r w:rsidRPr="002F6950">
              <w:rPr>
                <w:rFonts w:eastAsia="Cambria" w:cs="Arial"/>
                <w:color w:val="000000"/>
                <w:sz w:val="22"/>
              </w:rPr>
              <w:t>.597</w:t>
            </w:r>
          </w:p>
        </w:tc>
      </w:tr>
      <w:tr w:rsidR="00CC5932" w:rsidRPr="002F6950">
        <w:trPr>
          <w:cantSplit/>
        </w:trPr>
        <w:tc>
          <w:tcPr>
            <w:tcW w:w="6030" w:type="dxa"/>
            <w:shd w:val="clear" w:color="auto" w:fill="FFFFFF"/>
            <w:vAlign w:val="center"/>
          </w:tcPr>
          <w:p w:rsidR="00CC5932" w:rsidRPr="002F6950" w:rsidRDefault="00CC5932" w:rsidP="00AC12B4">
            <w:pPr>
              <w:widowControl w:val="0"/>
              <w:autoSpaceDE w:val="0"/>
              <w:autoSpaceDN w:val="0"/>
              <w:adjustRightInd w:val="0"/>
              <w:ind w:left="60" w:right="60"/>
              <w:rPr>
                <w:rFonts w:eastAsia="Cambria" w:cs="Arial"/>
                <w:color w:val="000000"/>
                <w:sz w:val="22"/>
              </w:rPr>
            </w:pPr>
            <w:r w:rsidRPr="002F6950">
              <w:rPr>
                <w:rFonts w:eastAsia="Cambria" w:cs="Arial"/>
                <w:color w:val="000000"/>
                <w:sz w:val="22"/>
              </w:rPr>
              <w:t xml:space="preserve">Installing and running </w:t>
            </w:r>
            <w:r>
              <w:rPr>
                <w:rFonts w:eastAsia="Cambria" w:cs="Arial"/>
                <w:color w:val="000000"/>
                <w:sz w:val="22"/>
              </w:rPr>
              <w:t>mother</w:t>
            </w:r>
          </w:p>
        </w:tc>
        <w:tc>
          <w:tcPr>
            <w:tcW w:w="1980" w:type="dxa"/>
            <w:shd w:val="clear" w:color="auto" w:fill="FFFFFF"/>
          </w:tcPr>
          <w:p w:rsidR="00CC5932" w:rsidRPr="002F6950" w:rsidRDefault="00CC5932" w:rsidP="00AC12B4">
            <w:pPr>
              <w:widowControl w:val="0"/>
              <w:autoSpaceDE w:val="0"/>
              <w:autoSpaceDN w:val="0"/>
              <w:adjustRightInd w:val="0"/>
              <w:ind w:left="60" w:right="60"/>
              <w:jc w:val="right"/>
              <w:rPr>
                <w:rFonts w:eastAsia="Cambria" w:cs="Arial"/>
                <w:color w:val="000000"/>
                <w:sz w:val="22"/>
              </w:rPr>
            </w:pPr>
            <w:r w:rsidRPr="002F6950">
              <w:rPr>
                <w:rFonts w:eastAsia="Cambria" w:cs="Arial"/>
                <w:color w:val="000000"/>
                <w:sz w:val="22"/>
              </w:rPr>
              <w:t>.639</w:t>
            </w:r>
          </w:p>
        </w:tc>
        <w:tc>
          <w:tcPr>
            <w:tcW w:w="1890" w:type="dxa"/>
            <w:shd w:val="clear" w:color="auto" w:fill="FFFFFF"/>
          </w:tcPr>
          <w:p w:rsidR="00CC5932" w:rsidRPr="002F6950" w:rsidRDefault="00CC5932" w:rsidP="00AC12B4">
            <w:pPr>
              <w:widowControl w:val="0"/>
              <w:autoSpaceDE w:val="0"/>
              <w:autoSpaceDN w:val="0"/>
              <w:adjustRightInd w:val="0"/>
              <w:ind w:left="60" w:right="60"/>
              <w:jc w:val="right"/>
              <w:rPr>
                <w:rFonts w:eastAsia="Cambria" w:cs="Arial"/>
                <w:color w:val="000000"/>
                <w:sz w:val="22"/>
              </w:rPr>
            </w:pPr>
            <w:r w:rsidRPr="002F6950">
              <w:rPr>
                <w:rFonts w:eastAsia="Cambria" w:cs="Arial"/>
                <w:color w:val="000000"/>
                <w:sz w:val="22"/>
              </w:rPr>
              <w:t>.409</w:t>
            </w:r>
          </w:p>
        </w:tc>
      </w:tr>
      <w:tr w:rsidR="00CC5932" w:rsidRPr="002F6950">
        <w:trPr>
          <w:cantSplit/>
        </w:trPr>
        <w:tc>
          <w:tcPr>
            <w:tcW w:w="6030" w:type="dxa"/>
            <w:shd w:val="clear" w:color="auto" w:fill="FFFFFF"/>
            <w:vAlign w:val="center"/>
          </w:tcPr>
          <w:p w:rsidR="00CC5932" w:rsidRPr="002F6950" w:rsidRDefault="00CC5932" w:rsidP="00AC12B4">
            <w:pPr>
              <w:widowControl w:val="0"/>
              <w:autoSpaceDE w:val="0"/>
              <w:autoSpaceDN w:val="0"/>
              <w:adjustRightInd w:val="0"/>
              <w:ind w:left="60" w:right="60"/>
              <w:rPr>
                <w:rFonts w:eastAsia="Cambria" w:cs="Arial"/>
                <w:color w:val="000000"/>
                <w:sz w:val="22"/>
              </w:rPr>
            </w:pPr>
            <w:r w:rsidRPr="002F6950">
              <w:rPr>
                <w:rFonts w:eastAsia="Cambria" w:cs="Arial"/>
                <w:color w:val="000000"/>
                <w:sz w:val="22"/>
              </w:rPr>
              <w:t>Executing R scripts</w:t>
            </w:r>
          </w:p>
        </w:tc>
        <w:tc>
          <w:tcPr>
            <w:tcW w:w="1980" w:type="dxa"/>
            <w:shd w:val="clear" w:color="auto" w:fill="FFFFFF"/>
          </w:tcPr>
          <w:p w:rsidR="00CC5932" w:rsidRPr="002F6950" w:rsidRDefault="00CC5932" w:rsidP="00AC12B4">
            <w:pPr>
              <w:widowControl w:val="0"/>
              <w:autoSpaceDE w:val="0"/>
              <w:autoSpaceDN w:val="0"/>
              <w:adjustRightInd w:val="0"/>
              <w:ind w:left="60" w:right="60"/>
              <w:jc w:val="right"/>
              <w:rPr>
                <w:rFonts w:eastAsia="Cambria" w:cs="Arial"/>
                <w:color w:val="000000"/>
                <w:sz w:val="22"/>
              </w:rPr>
            </w:pPr>
            <w:r w:rsidRPr="002F6950">
              <w:rPr>
                <w:rFonts w:eastAsia="Cambria" w:cs="Arial"/>
                <w:color w:val="000000"/>
                <w:sz w:val="22"/>
              </w:rPr>
              <w:t>.731</w:t>
            </w:r>
          </w:p>
        </w:tc>
        <w:tc>
          <w:tcPr>
            <w:tcW w:w="1890" w:type="dxa"/>
            <w:shd w:val="clear" w:color="auto" w:fill="FFFFFF"/>
          </w:tcPr>
          <w:p w:rsidR="00CC5932" w:rsidRPr="002F6950" w:rsidRDefault="00CC5932" w:rsidP="00AC12B4">
            <w:pPr>
              <w:widowControl w:val="0"/>
              <w:autoSpaceDE w:val="0"/>
              <w:autoSpaceDN w:val="0"/>
              <w:adjustRightInd w:val="0"/>
              <w:ind w:left="60" w:right="60"/>
              <w:jc w:val="right"/>
              <w:rPr>
                <w:rFonts w:eastAsia="Cambria" w:cs="Arial"/>
                <w:color w:val="000000"/>
                <w:sz w:val="22"/>
              </w:rPr>
            </w:pPr>
            <w:r w:rsidRPr="002F6950">
              <w:rPr>
                <w:rFonts w:eastAsia="Cambria" w:cs="Arial"/>
                <w:color w:val="000000"/>
                <w:sz w:val="22"/>
              </w:rPr>
              <w:t>.534</w:t>
            </w:r>
          </w:p>
        </w:tc>
      </w:tr>
    </w:tbl>
    <w:p w:rsidR="001A55C7" w:rsidRPr="00A24513" w:rsidRDefault="001A55C7" w:rsidP="00A24513">
      <w:pPr>
        <w:widowControl w:val="0"/>
      </w:pPr>
    </w:p>
    <w:p w:rsidR="00B22ABD" w:rsidRDefault="001A55C7" w:rsidP="001A55C7">
      <w:pPr>
        <w:widowControl w:val="0"/>
        <w:ind w:firstLine="360"/>
      </w:pPr>
      <w:r w:rsidRPr="008B2A3A">
        <w:rPr>
          <w:i/>
        </w:rPr>
        <w:t>Factor Analysis.</w:t>
      </w:r>
      <w:r w:rsidRPr="008B2A3A">
        <w:t xml:space="preserve"> </w:t>
      </w:r>
      <w:r>
        <w:t>Explora</w:t>
      </w:r>
      <w:r w:rsidRPr="008B2A3A">
        <w:t xml:space="preserve">tory factor analysis of </w:t>
      </w:r>
      <w:r w:rsidR="005C46CC">
        <w:t xml:space="preserve">pre-instruction </w:t>
      </w:r>
      <w:r w:rsidRPr="008B2A3A">
        <w:t>responses to Perceptions of Computational Ability</w:t>
      </w:r>
      <w:r>
        <w:t xml:space="preserve"> </w:t>
      </w:r>
      <w:r w:rsidRPr="008B2A3A">
        <w:t xml:space="preserve">items was undertaken to </w:t>
      </w:r>
      <w:r>
        <w:t>investigate the presence of one</w:t>
      </w:r>
      <w:r w:rsidRPr="008B2A3A">
        <w:t xml:space="preserve"> </w:t>
      </w:r>
      <w:r w:rsidR="002F6950">
        <w:t>or more</w:t>
      </w:r>
      <w:r w:rsidRPr="008B2A3A">
        <w:t xml:space="preserve"> scale</w:t>
      </w:r>
      <w:r w:rsidR="002F6950">
        <w:t>s</w:t>
      </w:r>
      <w:r w:rsidRPr="008B2A3A">
        <w:t xml:space="preserve">. </w:t>
      </w:r>
      <w:r w:rsidR="002F6950">
        <w:t>Of the nine items, five satisfactorily constituted a single factor, while the remaining four items were inconsistently correlated. The five-item scale was explored.</w:t>
      </w:r>
    </w:p>
    <w:p w:rsidR="00A24513" w:rsidRDefault="009650AE" w:rsidP="001A55C7">
      <w:pPr>
        <w:widowControl w:val="0"/>
        <w:ind w:firstLine="360"/>
      </w:pPr>
      <w:r w:rsidRPr="008B2A3A">
        <w:t>Note that this analysis is preliminary given the small sample size, although</w:t>
      </w:r>
      <w:r>
        <w:t xml:space="preserve"> t</w:t>
      </w:r>
      <w:r w:rsidR="001A55C7">
        <w:t>he</w:t>
      </w:r>
      <w:r w:rsidR="001A55C7" w:rsidRPr="008B2A3A">
        <w:t xml:space="preserve"> Kaiser-Meyer-Olkin measure of sampling adequacy</w:t>
      </w:r>
      <w:r w:rsidR="00CB11BB">
        <w:t xml:space="preserve"> for the </w:t>
      </w:r>
      <w:r w:rsidR="002F6950">
        <w:t xml:space="preserve">five </w:t>
      </w:r>
      <w:r w:rsidR="001A55C7">
        <w:t>item</w:t>
      </w:r>
      <w:r w:rsidR="002F6950">
        <w:t>s</w:t>
      </w:r>
      <w:r w:rsidR="001A55C7">
        <w:t xml:space="preserve"> was 0.</w:t>
      </w:r>
      <w:r w:rsidR="002F6950">
        <w:t>56</w:t>
      </w:r>
      <w:r w:rsidR="001A55C7" w:rsidRPr="008B2A3A">
        <w:t xml:space="preserve">, </w:t>
      </w:r>
      <w:r w:rsidR="002F6950">
        <w:t>close to</w:t>
      </w:r>
      <w:r w:rsidR="001A55C7" w:rsidRPr="008B2A3A">
        <w:t xml:space="preserve"> the 0.6 value recommended for factor analysis. The data set </w:t>
      </w:r>
      <w:r w:rsidR="001A55C7">
        <w:t xml:space="preserve">also </w:t>
      </w:r>
      <w:r w:rsidR="001A55C7" w:rsidRPr="008B2A3A">
        <w:t>met other minimum conditions necess</w:t>
      </w:r>
      <w:r w:rsidR="002F6950">
        <w:t>ary for factor analysis. First,</w:t>
      </w:r>
      <w:r w:rsidR="001A55C7" w:rsidRPr="008B2A3A">
        <w:t xml:space="preserve"> items correlated with at least one other item at a level over 0.3, indicating that a factor structure could be expected to emerge. The Bartlett’s Test of sphericity was significant (</w:t>
      </w:r>
      <w:r w:rsidR="001A55C7" w:rsidRPr="008B2A3A">
        <w:sym w:font="Symbol" w:char="F063"/>
      </w:r>
      <w:r w:rsidR="001A55C7" w:rsidRPr="008B2A3A">
        <w:rPr>
          <w:vertAlign w:val="superscript"/>
        </w:rPr>
        <w:t xml:space="preserve">2 </w:t>
      </w:r>
      <w:r w:rsidR="002F6950">
        <w:t>(10</w:t>
      </w:r>
      <w:r w:rsidR="001A55C7" w:rsidRPr="008B2A3A">
        <w:t xml:space="preserve">) = </w:t>
      </w:r>
      <w:r w:rsidR="002F6950">
        <w:t>33.48</w:t>
      </w:r>
      <w:r w:rsidR="001A55C7" w:rsidRPr="008B2A3A">
        <w:t xml:space="preserve">, </w:t>
      </w:r>
      <w:r w:rsidR="001A55C7" w:rsidRPr="008B2A3A">
        <w:rPr>
          <w:i/>
        </w:rPr>
        <w:t>p</w:t>
      </w:r>
      <w:r w:rsidR="001A55C7" w:rsidRPr="008B2A3A">
        <w:t xml:space="preserve">&lt;0.001). Communalities for </w:t>
      </w:r>
      <w:r w:rsidR="00B22ABD">
        <w:t>all</w:t>
      </w:r>
      <w:r w:rsidR="001A55C7" w:rsidRPr="008B2A3A">
        <w:t xml:space="preserve"> items were above 0.3, indicating shared variance with other items. A single scale explains </w:t>
      </w:r>
      <w:r w:rsidR="002F6950">
        <w:t>48.9</w:t>
      </w:r>
      <w:r w:rsidR="001A55C7" w:rsidRPr="008B2A3A">
        <w:t xml:space="preserve">% of the variance in the data and all items yielded factor loadings </w:t>
      </w:r>
      <w:r w:rsidR="00B22ABD">
        <w:t xml:space="preserve">well </w:t>
      </w:r>
      <w:r w:rsidR="001A55C7" w:rsidRPr="008B2A3A">
        <w:t>over 0.32, suggesting</w:t>
      </w:r>
      <w:r w:rsidR="00B22ABD">
        <w:t xml:space="preserve"> presence of a single scale (Table 1)</w:t>
      </w:r>
      <w:r w:rsidR="001A55C7">
        <w:t>.</w:t>
      </w:r>
    </w:p>
    <w:p w:rsidR="001A55C7" w:rsidRDefault="001A55C7" w:rsidP="00CC5932">
      <w:pPr>
        <w:widowControl w:val="0"/>
      </w:pPr>
    </w:p>
    <w:p w:rsidR="00380F6F" w:rsidRPr="008B2A3A" w:rsidRDefault="00380F6F" w:rsidP="00CF560A">
      <w:pPr>
        <w:widowControl w:val="0"/>
        <w:ind w:firstLine="360"/>
      </w:pPr>
      <w:r w:rsidRPr="008B2A3A">
        <w:rPr>
          <w:i/>
        </w:rPr>
        <w:t>Reliability analysis.</w:t>
      </w:r>
      <w:r w:rsidRPr="008B2A3A">
        <w:rPr>
          <w:b/>
          <w:i/>
        </w:rPr>
        <w:t xml:space="preserve"> </w:t>
      </w:r>
      <w:r w:rsidRPr="008B2A3A">
        <w:t>Cronbach’s alpha was calculated to establish internal consistency of items. The scale has high reliability, with a calculated alpha for the sample of 0.</w:t>
      </w:r>
      <w:r w:rsidR="00A24513">
        <w:t>729</w:t>
      </w:r>
      <w:r w:rsidRPr="008B2A3A">
        <w:t>.</w:t>
      </w:r>
      <w:r w:rsidR="00F80BF2" w:rsidRPr="008B2A3A">
        <w:t xml:space="preserve"> Despite the small sample, this is above the recommended minimum of 0.70 for analysis of individual scores.</w:t>
      </w:r>
    </w:p>
    <w:p w:rsidR="00380F6F" w:rsidRPr="008B2A3A" w:rsidRDefault="00380F6F" w:rsidP="00CF560A">
      <w:pPr>
        <w:widowControl w:val="0"/>
        <w:rPr>
          <w:b/>
          <w:i/>
        </w:rPr>
      </w:pPr>
    </w:p>
    <w:p w:rsidR="00321652" w:rsidRDefault="00380F6F" w:rsidP="009650AE">
      <w:pPr>
        <w:widowControl w:val="0"/>
        <w:ind w:firstLine="360"/>
        <w:rPr>
          <w:highlight w:val="yellow"/>
        </w:rPr>
      </w:pPr>
      <w:r w:rsidRPr="008B2A3A">
        <w:rPr>
          <w:i/>
        </w:rPr>
        <w:t>Results.</w:t>
      </w:r>
      <w:r w:rsidR="00F80BF2" w:rsidRPr="008B2A3A">
        <w:t xml:space="preserve"> Scores </w:t>
      </w:r>
      <w:r w:rsidR="0005796E" w:rsidRPr="008B2A3A">
        <w:t>on the Perception of Computational Ability</w:t>
      </w:r>
      <w:r w:rsidR="009650AE">
        <w:t xml:space="preserve"> </w:t>
      </w:r>
      <w:r w:rsidR="0005796E" w:rsidRPr="008B2A3A">
        <w:t xml:space="preserve">scale </w:t>
      </w:r>
      <w:r w:rsidR="00F80BF2" w:rsidRPr="008B2A3A">
        <w:t>were calculated for the pre-</w:t>
      </w:r>
      <w:r w:rsidR="001A55C7">
        <w:t xml:space="preserve"> and post-</w:t>
      </w:r>
      <w:r w:rsidR="00F80BF2" w:rsidRPr="008B2A3A">
        <w:t xml:space="preserve">workshop survey. Overall scale scores were calculated as averages across all </w:t>
      </w:r>
      <w:r w:rsidR="00A24513">
        <w:t xml:space="preserve">five </w:t>
      </w:r>
      <w:r w:rsidR="00F80BF2" w:rsidRPr="008B2A3A">
        <w:t>items</w:t>
      </w:r>
      <w:r w:rsidR="005C46CC">
        <w:t xml:space="preserve"> for all respondents</w:t>
      </w:r>
      <w:r w:rsidR="00F80BF2" w:rsidRPr="008B2A3A">
        <w:t xml:space="preserve">. </w:t>
      </w:r>
      <w:r w:rsidR="009650AE" w:rsidRPr="00350115">
        <w:t xml:space="preserve">Data </w:t>
      </w:r>
      <w:r w:rsidR="00321652" w:rsidRPr="00350115">
        <w:t>were in</w:t>
      </w:r>
      <w:r w:rsidR="009650AE" w:rsidRPr="00350115">
        <w:t xml:space="preserve">appropriate for parametric tests, so </w:t>
      </w:r>
      <w:r w:rsidR="00321652" w:rsidRPr="00350115">
        <w:t xml:space="preserve">related </w:t>
      </w:r>
      <w:r w:rsidR="009650AE" w:rsidRPr="00350115">
        <w:t xml:space="preserve">samples </w:t>
      </w:r>
      <w:r w:rsidR="00321652" w:rsidRPr="00350115">
        <w:t xml:space="preserve">nonparametric </w:t>
      </w:r>
      <w:r w:rsidR="009650AE" w:rsidRPr="00350115">
        <w:t>tests were run on matched data (n=</w:t>
      </w:r>
      <w:r w:rsidR="00B774C3">
        <w:t>20</w:t>
      </w:r>
      <w:r w:rsidR="009650AE" w:rsidRPr="00350115">
        <w:t xml:space="preserve">). </w:t>
      </w:r>
      <w:r w:rsidR="009650AE" w:rsidRPr="00817A99">
        <w:t xml:space="preserve">Results </w:t>
      </w:r>
      <w:r w:rsidR="00321652" w:rsidRPr="00817A99">
        <w:t xml:space="preserve">from the Wilcoxon Signed Ranks Test </w:t>
      </w:r>
      <w:r w:rsidR="009650AE" w:rsidRPr="00817A99">
        <w:t>indicate that pre- and post-workshop resul</w:t>
      </w:r>
      <w:r w:rsidR="00321652" w:rsidRPr="00817A99">
        <w:t>ts are statistically different (Z</w:t>
      </w:r>
      <w:r w:rsidR="00C57A3A" w:rsidRPr="00817A99">
        <w:t xml:space="preserve"> </w:t>
      </w:r>
      <w:r w:rsidR="00321652" w:rsidRPr="00817A99">
        <w:t>=</w:t>
      </w:r>
      <w:r w:rsidR="00C57A3A" w:rsidRPr="00817A99">
        <w:t xml:space="preserve"> </w:t>
      </w:r>
      <w:r w:rsidR="00321652" w:rsidRPr="00817A99">
        <w:t>-</w:t>
      </w:r>
      <w:r w:rsidR="00817A99" w:rsidRPr="00817A99">
        <w:t>3.933</w:t>
      </w:r>
      <w:r w:rsidR="00321652" w:rsidRPr="00817A99">
        <w:t>, p</w:t>
      </w:r>
      <w:r w:rsidR="00C57A3A" w:rsidRPr="00817A99">
        <w:t xml:space="preserve"> </w:t>
      </w:r>
      <w:r w:rsidR="00321652" w:rsidRPr="00817A99">
        <w:t>≤</w:t>
      </w:r>
      <w:r w:rsidR="00C57A3A" w:rsidRPr="00817A99">
        <w:t xml:space="preserve"> </w:t>
      </w:r>
      <w:r w:rsidR="00321652" w:rsidRPr="00817A99">
        <w:t>0.001)</w:t>
      </w:r>
      <w:r w:rsidR="00C57A3A" w:rsidRPr="00817A99">
        <w:t>.</w:t>
      </w:r>
      <w:r w:rsidR="00C57A3A" w:rsidRPr="005C46CC">
        <w:rPr>
          <w:color w:val="3366FF"/>
        </w:rPr>
        <w:t xml:space="preserve"> </w:t>
      </w:r>
      <w:r w:rsidR="00350115" w:rsidRPr="00350115">
        <w:t>Statistical significance and mean results (Table 2) indicate that perceptions of computational ability increas</w:t>
      </w:r>
      <w:r w:rsidR="005C46CC">
        <w:t>ed as a result of instruction, from Low/No Ability to Intermediate/High Ability.</w:t>
      </w:r>
    </w:p>
    <w:p w:rsidR="0005796E" w:rsidRPr="008B2A3A" w:rsidRDefault="0005796E" w:rsidP="00CF560A">
      <w:pPr>
        <w:widowControl w:val="0"/>
      </w:pPr>
    </w:p>
    <w:p w:rsidR="0005796E" w:rsidRPr="008B2A3A" w:rsidRDefault="0005796E" w:rsidP="00CC5932">
      <w:pPr>
        <w:widowControl w:val="0"/>
        <w:rPr>
          <w:b/>
          <w:sz w:val="22"/>
        </w:rPr>
      </w:pPr>
      <w:r w:rsidRPr="008B2A3A">
        <w:rPr>
          <w:b/>
          <w:sz w:val="22"/>
        </w:rPr>
        <w:t xml:space="preserve">Table </w:t>
      </w:r>
      <w:r w:rsidR="001A55C7">
        <w:rPr>
          <w:b/>
          <w:sz w:val="22"/>
        </w:rPr>
        <w:t>2</w:t>
      </w:r>
      <w:r w:rsidRPr="008B2A3A">
        <w:rPr>
          <w:b/>
          <w:sz w:val="22"/>
        </w:rPr>
        <w:t>. Pre and Post Workshop Scale Averages</w:t>
      </w:r>
    </w:p>
    <w:tbl>
      <w:tblPr>
        <w:tblW w:w="9360" w:type="dxa"/>
        <w:jc w:val="center"/>
        <w:tblInd w:w="5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8" w:type="dxa"/>
          <w:left w:w="58" w:type="dxa"/>
          <w:bottom w:w="58" w:type="dxa"/>
          <w:right w:w="58" w:type="dxa"/>
        </w:tblCellMar>
        <w:tblLook w:val="0000"/>
      </w:tblPr>
      <w:tblGrid>
        <w:gridCol w:w="3420"/>
        <w:gridCol w:w="2610"/>
        <w:gridCol w:w="3330"/>
      </w:tblGrid>
      <w:tr w:rsidR="0005796E" w:rsidRPr="008B2A3A" w:rsidTr="00CC5932">
        <w:trPr>
          <w:cantSplit/>
          <w:trHeight w:val="246"/>
          <w:jc w:val="center"/>
        </w:trPr>
        <w:tc>
          <w:tcPr>
            <w:tcW w:w="3420" w:type="dxa"/>
            <w:shd w:val="clear" w:color="auto" w:fill="FFFFFF"/>
            <w:vAlign w:val="center"/>
          </w:tcPr>
          <w:p w:rsidR="0005796E" w:rsidRPr="008B2A3A" w:rsidRDefault="0005796E" w:rsidP="00CC5932">
            <w:pPr>
              <w:widowControl w:val="0"/>
              <w:rPr>
                <w:b/>
                <w:sz w:val="22"/>
              </w:rPr>
            </w:pPr>
            <w:r w:rsidRPr="008B2A3A">
              <w:rPr>
                <w:b/>
                <w:sz w:val="22"/>
              </w:rPr>
              <w:t>Scale</w:t>
            </w:r>
          </w:p>
        </w:tc>
        <w:tc>
          <w:tcPr>
            <w:tcW w:w="2610" w:type="dxa"/>
            <w:shd w:val="clear" w:color="auto" w:fill="FFFFFF"/>
            <w:vAlign w:val="center"/>
          </w:tcPr>
          <w:p w:rsidR="0005796E" w:rsidRPr="008B2A3A" w:rsidRDefault="0005796E" w:rsidP="00CC5932">
            <w:pPr>
              <w:widowControl w:val="0"/>
              <w:jc w:val="center"/>
              <w:rPr>
                <w:b/>
                <w:sz w:val="22"/>
              </w:rPr>
            </w:pPr>
            <w:r w:rsidRPr="008B2A3A">
              <w:rPr>
                <w:b/>
                <w:sz w:val="22"/>
              </w:rPr>
              <w:t>Pre</w:t>
            </w:r>
          </w:p>
        </w:tc>
        <w:tc>
          <w:tcPr>
            <w:tcW w:w="3330" w:type="dxa"/>
            <w:shd w:val="clear" w:color="auto" w:fill="FFFFFF"/>
            <w:vAlign w:val="center"/>
          </w:tcPr>
          <w:p w:rsidR="0005796E" w:rsidRPr="008B2A3A" w:rsidRDefault="0005796E" w:rsidP="00CC5932">
            <w:pPr>
              <w:widowControl w:val="0"/>
              <w:jc w:val="center"/>
              <w:rPr>
                <w:b/>
                <w:sz w:val="22"/>
              </w:rPr>
            </w:pPr>
            <w:r w:rsidRPr="008B2A3A">
              <w:rPr>
                <w:b/>
                <w:sz w:val="22"/>
              </w:rPr>
              <w:t>Post</w:t>
            </w:r>
          </w:p>
        </w:tc>
      </w:tr>
      <w:tr w:rsidR="0005796E" w:rsidRPr="008B2A3A">
        <w:trPr>
          <w:cantSplit/>
          <w:trHeight w:val="246"/>
          <w:jc w:val="center"/>
        </w:trPr>
        <w:tc>
          <w:tcPr>
            <w:tcW w:w="3420" w:type="dxa"/>
            <w:shd w:val="clear" w:color="auto" w:fill="FFFFFF"/>
          </w:tcPr>
          <w:p w:rsidR="0005796E" w:rsidRPr="008B2A3A" w:rsidRDefault="0005796E" w:rsidP="00CC5932">
            <w:pPr>
              <w:widowControl w:val="0"/>
              <w:rPr>
                <w:sz w:val="22"/>
              </w:rPr>
            </w:pPr>
            <w:r w:rsidRPr="008B2A3A">
              <w:rPr>
                <w:sz w:val="22"/>
              </w:rPr>
              <w:t>Perception of Computational Ability</w:t>
            </w:r>
          </w:p>
        </w:tc>
        <w:tc>
          <w:tcPr>
            <w:tcW w:w="2610" w:type="dxa"/>
            <w:shd w:val="clear" w:color="auto" w:fill="FFFFFF"/>
            <w:vAlign w:val="center"/>
          </w:tcPr>
          <w:p w:rsidR="005C46CC" w:rsidRDefault="0005796E" w:rsidP="00CC5932">
            <w:pPr>
              <w:widowControl w:val="0"/>
              <w:autoSpaceDE w:val="0"/>
              <w:autoSpaceDN w:val="0"/>
              <w:adjustRightInd w:val="0"/>
              <w:ind w:left="60" w:right="60"/>
              <w:jc w:val="center"/>
              <w:rPr>
                <w:sz w:val="22"/>
              </w:rPr>
            </w:pPr>
            <w:r w:rsidRPr="008B2A3A">
              <w:rPr>
                <w:rFonts w:eastAsia="Cambria" w:cs="Arial"/>
                <w:color w:val="000000"/>
                <w:sz w:val="22"/>
              </w:rPr>
              <w:t>1.</w:t>
            </w:r>
            <w:r w:rsidR="005C46CC">
              <w:rPr>
                <w:rFonts w:eastAsia="Cambria" w:cs="Arial"/>
                <w:color w:val="000000"/>
                <w:sz w:val="22"/>
              </w:rPr>
              <w:t>97</w:t>
            </w:r>
            <w:r w:rsidRPr="008B2A3A">
              <w:rPr>
                <w:rFonts w:eastAsia="Cambria" w:cs="Arial"/>
                <w:color w:val="000000"/>
                <w:sz w:val="22"/>
              </w:rPr>
              <w:t xml:space="preserve"> </w:t>
            </w:r>
            <w:r w:rsidRPr="008B2A3A">
              <w:rPr>
                <w:sz w:val="22"/>
              </w:rPr>
              <w:t>± 0.</w:t>
            </w:r>
            <w:r w:rsidR="005C46CC">
              <w:rPr>
                <w:sz w:val="22"/>
              </w:rPr>
              <w:t xml:space="preserve">56 </w:t>
            </w:r>
          </w:p>
          <w:p w:rsidR="0005796E" w:rsidRPr="008B2A3A" w:rsidRDefault="005C46CC" w:rsidP="00CC5932">
            <w:pPr>
              <w:widowControl w:val="0"/>
              <w:autoSpaceDE w:val="0"/>
              <w:autoSpaceDN w:val="0"/>
              <w:adjustRightInd w:val="0"/>
              <w:ind w:left="60" w:right="60"/>
              <w:jc w:val="center"/>
              <w:rPr>
                <w:rFonts w:eastAsia="Cambria" w:cs="Arial"/>
                <w:color w:val="000000"/>
                <w:sz w:val="22"/>
              </w:rPr>
            </w:pPr>
            <w:r>
              <w:rPr>
                <w:sz w:val="22"/>
              </w:rPr>
              <w:t>(No to Low Ability)</w:t>
            </w:r>
          </w:p>
        </w:tc>
        <w:tc>
          <w:tcPr>
            <w:tcW w:w="3330" w:type="dxa"/>
            <w:shd w:val="clear" w:color="auto" w:fill="FFFFFF"/>
            <w:vAlign w:val="center"/>
          </w:tcPr>
          <w:p w:rsidR="005C46CC" w:rsidRDefault="005C46CC" w:rsidP="00CC5932">
            <w:pPr>
              <w:widowControl w:val="0"/>
              <w:autoSpaceDE w:val="0"/>
              <w:autoSpaceDN w:val="0"/>
              <w:adjustRightInd w:val="0"/>
              <w:ind w:left="60" w:right="60"/>
              <w:jc w:val="center"/>
              <w:rPr>
                <w:sz w:val="22"/>
              </w:rPr>
            </w:pPr>
            <w:r>
              <w:rPr>
                <w:rFonts w:eastAsia="Cambria" w:cs="Arial"/>
                <w:color w:val="000000"/>
                <w:sz w:val="22"/>
              </w:rPr>
              <w:t>3.18</w:t>
            </w:r>
            <w:r w:rsidR="00321652">
              <w:rPr>
                <w:rFonts w:eastAsia="Cambria" w:cs="Arial"/>
                <w:color w:val="000000"/>
                <w:sz w:val="22"/>
              </w:rPr>
              <w:t xml:space="preserve"> </w:t>
            </w:r>
            <w:r w:rsidR="00321652" w:rsidRPr="008B2A3A">
              <w:rPr>
                <w:sz w:val="22"/>
              </w:rPr>
              <w:t>±</w:t>
            </w:r>
            <w:r w:rsidR="00321652">
              <w:rPr>
                <w:sz w:val="22"/>
              </w:rPr>
              <w:t xml:space="preserve"> 0.</w:t>
            </w:r>
            <w:r>
              <w:rPr>
                <w:sz w:val="22"/>
              </w:rPr>
              <w:t>32</w:t>
            </w:r>
          </w:p>
          <w:p w:rsidR="0005796E" w:rsidRPr="008B2A3A" w:rsidRDefault="005C46CC" w:rsidP="00CC5932">
            <w:pPr>
              <w:widowControl w:val="0"/>
              <w:autoSpaceDE w:val="0"/>
              <w:autoSpaceDN w:val="0"/>
              <w:adjustRightInd w:val="0"/>
              <w:ind w:left="60" w:right="60"/>
              <w:jc w:val="center"/>
              <w:rPr>
                <w:rFonts w:eastAsia="Cambria" w:cs="Arial"/>
                <w:color w:val="000000"/>
                <w:sz w:val="22"/>
              </w:rPr>
            </w:pPr>
            <w:r>
              <w:rPr>
                <w:rFonts w:eastAsia="Cambria" w:cs="Arial"/>
                <w:color w:val="000000"/>
                <w:sz w:val="22"/>
              </w:rPr>
              <w:t>(Intermediate to High Ability)</w:t>
            </w:r>
          </w:p>
        </w:tc>
      </w:tr>
      <w:tr w:rsidR="0005796E" w:rsidRPr="008B2A3A">
        <w:trPr>
          <w:cantSplit/>
          <w:jc w:val="center"/>
        </w:trPr>
        <w:tc>
          <w:tcPr>
            <w:tcW w:w="3420" w:type="dxa"/>
            <w:shd w:val="clear" w:color="auto" w:fill="FFFFFF"/>
          </w:tcPr>
          <w:p w:rsidR="0005796E" w:rsidRPr="008B2A3A" w:rsidRDefault="0005796E" w:rsidP="00CC5932">
            <w:pPr>
              <w:widowControl w:val="0"/>
              <w:rPr>
                <w:sz w:val="22"/>
              </w:rPr>
            </w:pPr>
            <w:r w:rsidRPr="008B2A3A">
              <w:rPr>
                <w:sz w:val="22"/>
              </w:rPr>
              <w:t>Computational Understanding</w:t>
            </w:r>
          </w:p>
        </w:tc>
        <w:tc>
          <w:tcPr>
            <w:tcW w:w="2610" w:type="dxa"/>
            <w:shd w:val="clear" w:color="auto" w:fill="FFFFFF"/>
          </w:tcPr>
          <w:p w:rsidR="001E664A" w:rsidRPr="001E664A" w:rsidRDefault="00321652" w:rsidP="00CC5932">
            <w:pPr>
              <w:widowControl w:val="0"/>
              <w:jc w:val="center"/>
              <w:rPr>
                <w:sz w:val="22"/>
              </w:rPr>
            </w:pPr>
            <w:r w:rsidRPr="001E664A">
              <w:rPr>
                <w:rFonts w:eastAsia="Cambria" w:cs="Arial"/>
                <w:sz w:val="22"/>
              </w:rPr>
              <w:t>2.2</w:t>
            </w:r>
            <w:r w:rsidR="001E664A" w:rsidRPr="001E664A">
              <w:rPr>
                <w:rFonts w:eastAsia="Cambria" w:cs="Arial"/>
                <w:sz w:val="22"/>
              </w:rPr>
              <w:t>5</w:t>
            </w:r>
            <w:r w:rsidR="0005796E" w:rsidRPr="001E664A">
              <w:rPr>
                <w:rFonts w:eastAsia="Cambria" w:cs="Arial"/>
                <w:sz w:val="22"/>
              </w:rPr>
              <w:t xml:space="preserve"> </w:t>
            </w:r>
            <w:r w:rsidRPr="001E664A">
              <w:rPr>
                <w:sz w:val="22"/>
              </w:rPr>
              <w:t>± 0.</w:t>
            </w:r>
            <w:r w:rsidR="001E664A" w:rsidRPr="001E664A">
              <w:rPr>
                <w:sz w:val="22"/>
              </w:rPr>
              <w:t>47</w:t>
            </w:r>
          </w:p>
          <w:p w:rsidR="0005796E" w:rsidRPr="005C46CC" w:rsidRDefault="001E664A" w:rsidP="00CC5932">
            <w:pPr>
              <w:widowControl w:val="0"/>
              <w:jc w:val="center"/>
              <w:rPr>
                <w:color w:val="3366FF"/>
                <w:sz w:val="22"/>
              </w:rPr>
            </w:pPr>
            <w:r w:rsidRPr="001E664A">
              <w:rPr>
                <w:sz w:val="22"/>
              </w:rPr>
              <w:t>(Disagree to Agree)</w:t>
            </w:r>
          </w:p>
        </w:tc>
        <w:tc>
          <w:tcPr>
            <w:tcW w:w="3330" w:type="dxa"/>
            <w:shd w:val="clear" w:color="auto" w:fill="FFFFFF"/>
          </w:tcPr>
          <w:p w:rsidR="001E664A" w:rsidRDefault="00321652" w:rsidP="00CC5932">
            <w:pPr>
              <w:widowControl w:val="0"/>
              <w:jc w:val="center"/>
              <w:rPr>
                <w:sz w:val="22"/>
              </w:rPr>
            </w:pPr>
            <w:r w:rsidRPr="001E664A">
              <w:rPr>
                <w:rFonts w:eastAsia="Cambria" w:cs="Arial"/>
                <w:sz w:val="22"/>
              </w:rPr>
              <w:t>3.</w:t>
            </w:r>
            <w:r w:rsidR="001E664A" w:rsidRPr="001E664A">
              <w:rPr>
                <w:rFonts w:eastAsia="Cambria" w:cs="Arial"/>
                <w:sz w:val="22"/>
              </w:rPr>
              <w:t xml:space="preserve">37 </w:t>
            </w:r>
            <w:r w:rsidRPr="001E664A">
              <w:rPr>
                <w:sz w:val="22"/>
              </w:rPr>
              <w:t>± 0.</w:t>
            </w:r>
            <w:r w:rsidR="001E664A" w:rsidRPr="001E664A">
              <w:rPr>
                <w:sz w:val="22"/>
              </w:rPr>
              <w:t>33</w:t>
            </w:r>
          </w:p>
          <w:p w:rsidR="0005796E" w:rsidRPr="001E664A" w:rsidRDefault="001E664A" w:rsidP="00CC5932">
            <w:pPr>
              <w:widowControl w:val="0"/>
              <w:jc w:val="center"/>
              <w:rPr>
                <w:sz w:val="22"/>
              </w:rPr>
            </w:pPr>
            <w:r>
              <w:rPr>
                <w:sz w:val="22"/>
              </w:rPr>
              <w:t>(Agree to Strongly Agree)</w:t>
            </w:r>
          </w:p>
        </w:tc>
      </w:tr>
      <w:tr w:rsidR="0005796E" w:rsidRPr="008B2A3A" w:rsidTr="00CC5932">
        <w:trPr>
          <w:cantSplit/>
          <w:trHeight w:val="408"/>
          <w:jc w:val="center"/>
        </w:trPr>
        <w:tc>
          <w:tcPr>
            <w:tcW w:w="3420" w:type="dxa"/>
            <w:shd w:val="clear" w:color="auto" w:fill="FFFFFF"/>
          </w:tcPr>
          <w:p w:rsidR="0005796E" w:rsidRPr="008B2A3A" w:rsidRDefault="0005796E" w:rsidP="00CC5932">
            <w:pPr>
              <w:widowControl w:val="0"/>
              <w:rPr>
                <w:sz w:val="22"/>
              </w:rPr>
            </w:pPr>
            <w:r w:rsidRPr="008B2A3A">
              <w:rPr>
                <w:sz w:val="22"/>
              </w:rPr>
              <w:t>Coding</w:t>
            </w:r>
            <w:r w:rsidR="001F2010" w:rsidRPr="008B2A3A">
              <w:rPr>
                <w:sz w:val="22"/>
              </w:rPr>
              <w:t xml:space="preserve"> Ability</w:t>
            </w:r>
          </w:p>
        </w:tc>
        <w:tc>
          <w:tcPr>
            <w:tcW w:w="2610" w:type="dxa"/>
            <w:shd w:val="clear" w:color="auto" w:fill="FFFFFF"/>
          </w:tcPr>
          <w:p w:rsidR="00692304" w:rsidRDefault="00692304" w:rsidP="00CC5932">
            <w:pPr>
              <w:widowControl w:val="0"/>
              <w:jc w:val="center"/>
              <w:rPr>
                <w:sz w:val="22"/>
              </w:rPr>
            </w:pPr>
            <w:r w:rsidRPr="00692304">
              <w:rPr>
                <w:rFonts w:eastAsia="Cambria" w:cs="Arial"/>
                <w:sz w:val="22"/>
              </w:rPr>
              <w:t>2.30</w:t>
            </w:r>
            <w:r w:rsidR="0005796E" w:rsidRPr="00692304">
              <w:rPr>
                <w:rFonts w:eastAsia="Cambria" w:cs="Arial"/>
                <w:sz w:val="22"/>
              </w:rPr>
              <w:t xml:space="preserve"> </w:t>
            </w:r>
            <w:r w:rsidR="0005796E" w:rsidRPr="00692304">
              <w:rPr>
                <w:sz w:val="22"/>
              </w:rPr>
              <w:t>± 0.</w:t>
            </w:r>
            <w:r w:rsidRPr="00692304">
              <w:rPr>
                <w:sz w:val="22"/>
              </w:rPr>
              <w:t>44</w:t>
            </w:r>
          </w:p>
          <w:p w:rsidR="0005796E" w:rsidRPr="00692304" w:rsidRDefault="00692304" w:rsidP="00CC5932">
            <w:pPr>
              <w:widowControl w:val="0"/>
              <w:jc w:val="center"/>
              <w:rPr>
                <w:sz w:val="22"/>
              </w:rPr>
            </w:pPr>
            <w:r w:rsidRPr="001E664A">
              <w:rPr>
                <w:sz w:val="22"/>
              </w:rPr>
              <w:t>(Disagree to Agree)</w:t>
            </w:r>
          </w:p>
        </w:tc>
        <w:tc>
          <w:tcPr>
            <w:tcW w:w="3330" w:type="dxa"/>
            <w:shd w:val="clear" w:color="auto" w:fill="FFFFFF"/>
          </w:tcPr>
          <w:p w:rsidR="00692304" w:rsidRDefault="00321652" w:rsidP="00CC5932">
            <w:pPr>
              <w:widowControl w:val="0"/>
              <w:jc w:val="center"/>
              <w:rPr>
                <w:sz w:val="22"/>
              </w:rPr>
            </w:pPr>
            <w:r w:rsidRPr="00692304">
              <w:rPr>
                <w:rFonts w:eastAsia="Cambria" w:cs="Arial"/>
                <w:sz w:val="22"/>
              </w:rPr>
              <w:t>3.</w:t>
            </w:r>
            <w:r w:rsidR="00692304" w:rsidRPr="00692304">
              <w:rPr>
                <w:rFonts w:eastAsia="Cambria" w:cs="Arial"/>
                <w:sz w:val="22"/>
              </w:rPr>
              <w:t>32</w:t>
            </w:r>
            <w:r w:rsidR="0005796E" w:rsidRPr="00692304">
              <w:rPr>
                <w:rFonts w:eastAsia="Cambria" w:cs="Arial"/>
                <w:sz w:val="22"/>
              </w:rPr>
              <w:t xml:space="preserve"> </w:t>
            </w:r>
            <w:r w:rsidR="0005796E" w:rsidRPr="00692304">
              <w:rPr>
                <w:sz w:val="22"/>
              </w:rPr>
              <w:t>± 0.</w:t>
            </w:r>
            <w:r w:rsidR="00692304" w:rsidRPr="00692304">
              <w:rPr>
                <w:sz w:val="22"/>
              </w:rPr>
              <w:t>28</w:t>
            </w:r>
          </w:p>
          <w:p w:rsidR="0005796E" w:rsidRPr="00692304" w:rsidRDefault="00692304" w:rsidP="00CC5932">
            <w:pPr>
              <w:widowControl w:val="0"/>
              <w:jc w:val="center"/>
              <w:rPr>
                <w:sz w:val="22"/>
              </w:rPr>
            </w:pPr>
            <w:r>
              <w:rPr>
                <w:sz w:val="22"/>
              </w:rPr>
              <w:t>(Agree to Strongly Agree)</w:t>
            </w:r>
          </w:p>
        </w:tc>
      </w:tr>
    </w:tbl>
    <w:p w:rsidR="00380F6F" w:rsidRPr="008B2A3A" w:rsidRDefault="00380F6F" w:rsidP="00CF560A">
      <w:pPr>
        <w:widowControl w:val="0"/>
      </w:pPr>
    </w:p>
    <w:p w:rsidR="009D2285" w:rsidRPr="008B2A3A" w:rsidRDefault="009D2285" w:rsidP="00CF560A">
      <w:pPr>
        <w:widowControl w:val="0"/>
        <w:rPr>
          <w:b/>
          <w:i/>
        </w:rPr>
      </w:pPr>
      <w:r w:rsidRPr="008B2A3A">
        <w:rPr>
          <w:b/>
          <w:i/>
        </w:rPr>
        <w:t>Computational Understanding</w:t>
      </w:r>
    </w:p>
    <w:p w:rsidR="005C46CC" w:rsidRPr="008B2A3A" w:rsidRDefault="005C46CC" w:rsidP="005C46CC">
      <w:pPr>
        <w:widowControl w:val="0"/>
      </w:pPr>
      <w:r w:rsidRPr="008B2A3A">
        <w:t>Participants were asked to indicate the extent to which they understood specific concepts, with ratings of Strongly Disagree, Disagree, Agree, and Strongly Agree. A score of 1 implies low understandi</w:t>
      </w:r>
      <w:r w:rsidR="00CC5932">
        <w:t xml:space="preserve">ng (Strong Disagreement); </w:t>
      </w:r>
      <w:r w:rsidRPr="008B2A3A">
        <w:t>a score of 4 implies high understanding (Strong Agreement).</w:t>
      </w:r>
      <w:r>
        <w:t xml:space="preserve"> </w:t>
      </w:r>
    </w:p>
    <w:p w:rsidR="009D2285" w:rsidRPr="008B2A3A" w:rsidRDefault="009D2285" w:rsidP="00CF560A">
      <w:pPr>
        <w:widowControl w:val="0"/>
      </w:pPr>
    </w:p>
    <w:p w:rsidR="009D2285" w:rsidRPr="008B2A3A" w:rsidRDefault="009D2285" w:rsidP="005C46CC">
      <w:pPr>
        <w:widowControl w:val="0"/>
        <w:ind w:firstLine="360"/>
      </w:pPr>
      <w:r w:rsidRPr="008B2A3A">
        <w:rPr>
          <w:i/>
        </w:rPr>
        <w:t>Factor Analysis.</w:t>
      </w:r>
      <w:r w:rsidRPr="008B2A3A">
        <w:t xml:space="preserve"> </w:t>
      </w:r>
      <w:r w:rsidR="00CB11BB">
        <w:t>Explor</w:t>
      </w:r>
      <w:r w:rsidR="00CB11BB" w:rsidRPr="008B2A3A">
        <w:t xml:space="preserve">atory factor analysis of responses to </w:t>
      </w:r>
      <w:r w:rsidR="00CB11BB">
        <w:t>pre-workshop</w:t>
      </w:r>
      <w:r w:rsidR="00CB11BB" w:rsidRPr="008B2A3A">
        <w:t xml:space="preserve"> Conceptual Understanding items was undertaken to </w:t>
      </w:r>
      <w:r w:rsidR="00CB11BB">
        <w:t>evaluate the presence of one or more scales</w:t>
      </w:r>
      <w:r w:rsidR="00CB11BB" w:rsidRPr="008B2A3A">
        <w:t xml:space="preserve">. </w:t>
      </w:r>
      <w:r w:rsidR="005C46CC">
        <w:t>Five</w:t>
      </w:r>
      <w:r w:rsidR="00007D6A">
        <w:t xml:space="preserve"> factor</w:t>
      </w:r>
      <w:r w:rsidR="00CB11BB">
        <w:t>s emerged based on eigenva</w:t>
      </w:r>
      <w:r w:rsidR="00007D6A">
        <w:t>lue analysis, while one strong factor</w:t>
      </w:r>
      <w:r w:rsidR="00CB11BB">
        <w:t xml:space="preserve"> was suggested by scree plot analysis. Based on this, confirmatory analysis for one scale was conducted. </w:t>
      </w:r>
      <w:r w:rsidR="00CC5932">
        <w:t>T</w:t>
      </w:r>
      <w:r w:rsidRPr="008B2A3A">
        <w:t xml:space="preserve">his analysis is preliminary given the small sample size, </w:t>
      </w:r>
      <w:r w:rsidR="005C46CC">
        <w:t>with a</w:t>
      </w:r>
      <w:r w:rsidRPr="008B2A3A">
        <w:t xml:space="preserve"> Kaiser-Meyer-Olkin measure of sampling adequacy of 0.</w:t>
      </w:r>
      <w:r w:rsidR="005C46CC">
        <w:t>58</w:t>
      </w:r>
      <w:r w:rsidRPr="008B2A3A">
        <w:t xml:space="preserve">, </w:t>
      </w:r>
      <w:r w:rsidR="005C46CC">
        <w:t>just below</w:t>
      </w:r>
      <w:r w:rsidRPr="008B2A3A">
        <w:t xml:space="preserve"> the 0.6 value recommended for factor analysis. The data set met other minimum conditions necessary for factor analysis. First, the majority of items correlated with at least one other item at a level over 0.3, indicating that a factor structure could be expected to emerge. The Bartlett’s Test of sphericity was significant (</w:t>
      </w:r>
      <w:r w:rsidRPr="008B2A3A">
        <w:sym w:font="Symbol" w:char="F063"/>
      </w:r>
      <w:r w:rsidRPr="008B2A3A">
        <w:rPr>
          <w:vertAlign w:val="superscript"/>
        </w:rPr>
        <w:t xml:space="preserve">2 </w:t>
      </w:r>
      <w:r w:rsidRPr="008B2A3A">
        <w:t>(</w:t>
      </w:r>
      <w:r w:rsidR="005C46CC">
        <w:t>78</w:t>
      </w:r>
      <w:r w:rsidRPr="008B2A3A">
        <w:t xml:space="preserve">) = </w:t>
      </w:r>
      <w:r w:rsidR="005C46CC">
        <w:t>168.1</w:t>
      </w:r>
      <w:r w:rsidRPr="008B2A3A">
        <w:t xml:space="preserve">, </w:t>
      </w:r>
      <w:r w:rsidRPr="008B2A3A">
        <w:rPr>
          <w:i/>
        </w:rPr>
        <w:t>p</w:t>
      </w:r>
      <w:r w:rsidRPr="008B2A3A">
        <w:t xml:space="preserve">&lt;0.001). Communalities for many items were above 0.3, indicating shared variance with other items. Given these data, </w:t>
      </w:r>
      <w:r w:rsidR="009650AE">
        <w:t xml:space="preserve">confirmatory </w:t>
      </w:r>
      <w:r w:rsidRPr="008B2A3A">
        <w:t xml:space="preserve">factor analysis was performed on all </w:t>
      </w:r>
      <w:r w:rsidR="005C46CC">
        <w:t>sixteen</w:t>
      </w:r>
      <w:r w:rsidRPr="008B2A3A">
        <w:t xml:space="preserve"> items. </w:t>
      </w:r>
      <w:r w:rsidR="005C46CC">
        <w:t>Subsequent removal of three items for poor loading yielded one satisfactory scale. This</w:t>
      </w:r>
      <w:r w:rsidRPr="008B2A3A">
        <w:t xml:space="preserve"> single scale explains </w:t>
      </w:r>
      <w:r w:rsidR="005C46CC">
        <w:t>40.3</w:t>
      </w:r>
      <w:r w:rsidRPr="008B2A3A">
        <w:t xml:space="preserve">% of the variance in the data and all items yielded factor loadings over 0.32, </w:t>
      </w:r>
      <w:r w:rsidR="005C46CC">
        <w:t xml:space="preserve">again </w:t>
      </w:r>
      <w:r w:rsidRPr="008B2A3A">
        <w:t>suggesting the presence of a single scale</w:t>
      </w:r>
      <w:r w:rsidR="00D3089D">
        <w:t xml:space="preserve"> (Table 3)</w:t>
      </w:r>
      <w:r w:rsidRPr="008B2A3A">
        <w:t xml:space="preserve">. </w:t>
      </w:r>
    </w:p>
    <w:p w:rsidR="009D2285" w:rsidRPr="008B2A3A" w:rsidRDefault="009D2285" w:rsidP="00CF560A">
      <w:pPr>
        <w:widowControl w:val="0"/>
        <w:rPr>
          <w:b/>
          <w:sz w:val="22"/>
        </w:rPr>
      </w:pPr>
      <w:r w:rsidRPr="008B2A3A">
        <w:rPr>
          <w:b/>
          <w:sz w:val="22"/>
        </w:rPr>
        <w:t xml:space="preserve">Table </w:t>
      </w:r>
      <w:r w:rsidR="00D3089D">
        <w:rPr>
          <w:b/>
          <w:sz w:val="22"/>
        </w:rPr>
        <w:t>3</w:t>
      </w:r>
      <w:r w:rsidRPr="008B2A3A">
        <w:rPr>
          <w:b/>
          <w:sz w:val="22"/>
        </w:rPr>
        <w:t xml:space="preserve">. Factor loadings and communalities for Computational Understanding Scale </w:t>
      </w:r>
    </w:p>
    <w:tbl>
      <w:tblPr>
        <w:tblW w:w="9360" w:type="dxa"/>
        <w:jc w:val="center"/>
        <w:tblInd w:w="5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8" w:type="dxa"/>
          <w:left w:w="58" w:type="dxa"/>
          <w:bottom w:w="58" w:type="dxa"/>
          <w:right w:w="58" w:type="dxa"/>
        </w:tblCellMar>
        <w:tblLook w:val="0000"/>
      </w:tblPr>
      <w:tblGrid>
        <w:gridCol w:w="5940"/>
        <w:gridCol w:w="1710"/>
        <w:gridCol w:w="1710"/>
      </w:tblGrid>
      <w:tr w:rsidR="009D2285" w:rsidRPr="009650AE" w:rsidTr="00CC5932">
        <w:trPr>
          <w:cantSplit/>
          <w:trHeight w:val="291"/>
          <w:jc w:val="center"/>
        </w:trPr>
        <w:tc>
          <w:tcPr>
            <w:tcW w:w="5940" w:type="dxa"/>
            <w:shd w:val="clear" w:color="auto" w:fill="FFFFFF"/>
            <w:vAlign w:val="center"/>
          </w:tcPr>
          <w:p w:rsidR="009D2285" w:rsidRPr="00DA1840" w:rsidRDefault="009D2285" w:rsidP="00AC12B4">
            <w:pPr>
              <w:widowControl w:val="0"/>
              <w:rPr>
                <w:b/>
                <w:sz w:val="22"/>
              </w:rPr>
            </w:pPr>
            <w:r w:rsidRPr="00DA1840">
              <w:rPr>
                <w:b/>
                <w:sz w:val="22"/>
              </w:rPr>
              <w:t>Items</w:t>
            </w:r>
          </w:p>
        </w:tc>
        <w:tc>
          <w:tcPr>
            <w:tcW w:w="1710" w:type="dxa"/>
            <w:shd w:val="clear" w:color="auto" w:fill="FFFFFF"/>
            <w:vAlign w:val="center"/>
          </w:tcPr>
          <w:p w:rsidR="009D2285" w:rsidRPr="00DA1840" w:rsidRDefault="009D2285" w:rsidP="00AC12B4">
            <w:pPr>
              <w:widowControl w:val="0"/>
              <w:jc w:val="center"/>
              <w:rPr>
                <w:b/>
                <w:sz w:val="22"/>
              </w:rPr>
            </w:pPr>
            <w:r w:rsidRPr="00DA1840">
              <w:rPr>
                <w:b/>
                <w:sz w:val="22"/>
              </w:rPr>
              <w:t>Factor Loadings</w:t>
            </w:r>
          </w:p>
        </w:tc>
        <w:tc>
          <w:tcPr>
            <w:tcW w:w="1710" w:type="dxa"/>
            <w:shd w:val="clear" w:color="auto" w:fill="FFFFFF"/>
            <w:vAlign w:val="center"/>
          </w:tcPr>
          <w:p w:rsidR="009D2285" w:rsidRPr="00DA1840" w:rsidRDefault="009D2285" w:rsidP="00AC12B4">
            <w:pPr>
              <w:widowControl w:val="0"/>
              <w:jc w:val="center"/>
              <w:rPr>
                <w:b/>
                <w:sz w:val="22"/>
              </w:rPr>
            </w:pPr>
            <w:r w:rsidRPr="00DA1840">
              <w:rPr>
                <w:b/>
                <w:sz w:val="22"/>
              </w:rPr>
              <w:t>Communalities</w:t>
            </w:r>
          </w:p>
        </w:tc>
      </w:tr>
      <w:tr w:rsidR="00DA1840" w:rsidRPr="009650AE">
        <w:trPr>
          <w:cantSplit/>
          <w:trHeight w:val="174"/>
          <w:jc w:val="center"/>
        </w:trPr>
        <w:tc>
          <w:tcPr>
            <w:tcW w:w="5940" w:type="dxa"/>
            <w:shd w:val="clear" w:color="auto" w:fill="FFFFFF"/>
            <w:vAlign w:val="center"/>
          </w:tcPr>
          <w:p w:rsidR="00DA1840" w:rsidRPr="00DA1840" w:rsidRDefault="00DA1840" w:rsidP="00AC12B4">
            <w:pPr>
              <w:widowControl w:val="0"/>
              <w:autoSpaceDE w:val="0"/>
              <w:autoSpaceDN w:val="0"/>
              <w:adjustRightInd w:val="0"/>
              <w:ind w:left="60" w:right="60"/>
              <w:rPr>
                <w:rFonts w:eastAsia="Cambria" w:cs="Arial"/>
                <w:color w:val="000000"/>
                <w:sz w:val="22"/>
              </w:rPr>
            </w:pPr>
            <w:r w:rsidRPr="00DA1840">
              <w:rPr>
                <w:rFonts w:eastAsia="Cambria" w:cs="Arial"/>
                <w:color w:val="000000"/>
                <w:sz w:val="22"/>
              </w:rPr>
              <w:t>I</w:t>
            </w:r>
            <w:r>
              <w:rPr>
                <w:rFonts w:eastAsia="Cambria" w:cs="Arial"/>
                <w:color w:val="000000"/>
                <w:sz w:val="22"/>
              </w:rPr>
              <w:t xml:space="preserve"> </w:t>
            </w:r>
            <w:r w:rsidRPr="00DA1840">
              <w:rPr>
                <w:rFonts w:eastAsia="Cambria" w:cs="Arial"/>
                <w:color w:val="000000"/>
                <w:sz w:val="22"/>
              </w:rPr>
              <w:t>know</w:t>
            </w:r>
            <w:r>
              <w:rPr>
                <w:rFonts w:eastAsia="Cambria" w:cs="Arial"/>
                <w:color w:val="000000"/>
                <w:sz w:val="22"/>
              </w:rPr>
              <w:t xml:space="preserve"> </w:t>
            </w:r>
            <w:r w:rsidRPr="00DA1840">
              <w:rPr>
                <w:rFonts w:eastAsia="Cambria" w:cs="Arial"/>
                <w:color w:val="000000"/>
                <w:sz w:val="22"/>
              </w:rPr>
              <w:t>how</w:t>
            </w:r>
            <w:r>
              <w:rPr>
                <w:rFonts w:eastAsia="Cambria" w:cs="Arial"/>
                <w:color w:val="000000"/>
                <w:sz w:val="22"/>
              </w:rPr>
              <w:t xml:space="preserve"> </w:t>
            </w:r>
            <w:r w:rsidRPr="00DA1840">
              <w:rPr>
                <w:rFonts w:eastAsia="Cambria" w:cs="Arial"/>
                <w:color w:val="000000"/>
                <w:sz w:val="22"/>
              </w:rPr>
              <w:t>to</w:t>
            </w:r>
            <w:r>
              <w:rPr>
                <w:rFonts w:eastAsia="Cambria" w:cs="Arial"/>
                <w:color w:val="000000"/>
                <w:sz w:val="22"/>
              </w:rPr>
              <w:t xml:space="preserve"> </w:t>
            </w:r>
            <w:r w:rsidRPr="00DA1840">
              <w:rPr>
                <w:rFonts w:eastAsia="Cambria" w:cs="Arial"/>
                <w:color w:val="000000"/>
                <w:sz w:val="22"/>
              </w:rPr>
              <w:t>process</w:t>
            </w:r>
            <w:r>
              <w:rPr>
                <w:rFonts w:eastAsia="Cambria" w:cs="Arial"/>
                <w:color w:val="000000"/>
                <w:sz w:val="22"/>
              </w:rPr>
              <w:t xml:space="preserve"> </w:t>
            </w:r>
            <w:r w:rsidRPr="00DA1840">
              <w:rPr>
                <w:rFonts w:eastAsia="Cambria" w:cs="Arial"/>
                <w:color w:val="000000"/>
                <w:sz w:val="22"/>
              </w:rPr>
              <w:t>Illumina</w:t>
            </w:r>
            <w:r>
              <w:rPr>
                <w:rFonts w:eastAsia="Cambria" w:cs="Arial"/>
                <w:color w:val="000000"/>
                <w:sz w:val="22"/>
              </w:rPr>
              <w:t xml:space="preserve"> </w:t>
            </w:r>
            <w:r w:rsidRPr="00DA1840">
              <w:rPr>
                <w:rFonts w:eastAsia="Cambria" w:cs="Arial"/>
                <w:color w:val="000000"/>
                <w:sz w:val="22"/>
              </w:rPr>
              <w:t>data</w:t>
            </w:r>
          </w:p>
        </w:tc>
        <w:tc>
          <w:tcPr>
            <w:tcW w:w="1710" w:type="dxa"/>
            <w:shd w:val="clear" w:color="auto" w:fill="FFFFFF"/>
          </w:tcPr>
          <w:p w:rsidR="00DA1840" w:rsidRPr="00DA1840" w:rsidRDefault="00DA1840" w:rsidP="00AC12B4">
            <w:pPr>
              <w:widowControl w:val="0"/>
              <w:autoSpaceDE w:val="0"/>
              <w:autoSpaceDN w:val="0"/>
              <w:adjustRightInd w:val="0"/>
              <w:ind w:left="60" w:right="60"/>
              <w:jc w:val="right"/>
              <w:rPr>
                <w:rFonts w:eastAsia="Cambria" w:cs="Arial"/>
                <w:color w:val="000000"/>
                <w:sz w:val="22"/>
              </w:rPr>
            </w:pPr>
            <w:r w:rsidRPr="00DA1840">
              <w:rPr>
                <w:rFonts w:eastAsia="Cambria" w:cs="Arial"/>
                <w:color w:val="000000"/>
                <w:sz w:val="22"/>
              </w:rPr>
              <w:t>.364</w:t>
            </w:r>
          </w:p>
        </w:tc>
        <w:tc>
          <w:tcPr>
            <w:tcW w:w="1710" w:type="dxa"/>
            <w:shd w:val="clear" w:color="auto" w:fill="FFFFFF"/>
          </w:tcPr>
          <w:p w:rsidR="00DA1840" w:rsidRPr="00DA1840" w:rsidRDefault="00DA1840" w:rsidP="00AC12B4">
            <w:pPr>
              <w:widowControl w:val="0"/>
              <w:autoSpaceDE w:val="0"/>
              <w:autoSpaceDN w:val="0"/>
              <w:adjustRightInd w:val="0"/>
              <w:ind w:left="60" w:right="60"/>
              <w:jc w:val="right"/>
              <w:rPr>
                <w:rFonts w:eastAsia="Cambria" w:cs="Arial"/>
                <w:color w:val="000000"/>
                <w:sz w:val="22"/>
              </w:rPr>
            </w:pPr>
            <w:r w:rsidRPr="00DA1840">
              <w:rPr>
                <w:rFonts w:eastAsia="Cambria" w:cs="Arial"/>
                <w:color w:val="000000"/>
                <w:sz w:val="22"/>
              </w:rPr>
              <w:t>.132</w:t>
            </w:r>
          </w:p>
        </w:tc>
      </w:tr>
      <w:tr w:rsidR="00DA1840" w:rsidRPr="009650AE">
        <w:trPr>
          <w:cantSplit/>
          <w:jc w:val="center"/>
        </w:trPr>
        <w:tc>
          <w:tcPr>
            <w:tcW w:w="5940" w:type="dxa"/>
            <w:shd w:val="clear" w:color="auto" w:fill="FFFFFF"/>
            <w:vAlign w:val="center"/>
          </w:tcPr>
          <w:p w:rsidR="00DA1840" w:rsidRPr="00DA1840" w:rsidRDefault="00DA1840" w:rsidP="00AC12B4">
            <w:pPr>
              <w:widowControl w:val="0"/>
              <w:autoSpaceDE w:val="0"/>
              <w:autoSpaceDN w:val="0"/>
              <w:adjustRightInd w:val="0"/>
              <w:ind w:left="60" w:right="60"/>
              <w:rPr>
                <w:rFonts w:eastAsia="Cambria" w:cs="Arial"/>
                <w:color w:val="000000"/>
                <w:sz w:val="22"/>
              </w:rPr>
            </w:pPr>
            <w:r w:rsidRPr="00DA1840">
              <w:rPr>
                <w:rFonts w:eastAsia="Cambria" w:cs="Arial"/>
                <w:color w:val="000000"/>
                <w:sz w:val="22"/>
              </w:rPr>
              <w:t>I</w:t>
            </w:r>
            <w:r>
              <w:rPr>
                <w:rFonts w:eastAsia="Cambria" w:cs="Arial"/>
                <w:color w:val="000000"/>
                <w:sz w:val="22"/>
              </w:rPr>
              <w:t xml:space="preserve"> </w:t>
            </w:r>
            <w:r w:rsidRPr="00DA1840">
              <w:rPr>
                <w:rFonts w:eastAsia="Cambria" w:cs="Arial"/>
                <w:color w:val="000000"/>
                <w:sz w:val="22"/>
              </w:rPr>
              <w:t>understand</w:t>
            </w:r>
            <w:r>
              <w:rPr>
                <w:rFonts w:eastAsia="Cambria" w:cs="Arial"/>
                <w:color w:val="000000"/>
                <w:sz w:val="22"/>
              </w:rPr>
              <w:t xml:space="preserve"> </w:t>
            </w:r>
            <w:r w:rsidRPr="00DA1840">
              <w:rPr>
                <w:rFonts w:eastAsia="Cambria" w:cs="Arial"/>
                <w:color w:val="000000"/>
                <w:sz w:val="22"/>
              </w:rPr>
              <w:t>whatper_library_statspy</w:t>
            </w:r>
            <w:r>
              <w:rPr>
                <w:rFonts w:eastAsia="Cambria" w:cs="Arial"/>
                <w:color w:val="000000"/>
                <w:sz w:val="22"/>
              </w:rPr>
              <w:t xml:space="preserve"> </w:t>
            </w:r>
            <w:r w:rsidRPr="00DA1840">
              <w:rPr>
                <w:rFonts w:eastAsia="Cambria" w:cs="Arial"/>
                <w:color w:val="000000"/>
                <w:sz w:val="22"/>
              </w:rPr>
              <w:t>does</w:t>
            </w:r>
          </w:p>
        </w:tc>
        <w:tc>
          <w:tcPr>
            <w:tcW w:w="1710" w:type="dxa"/>
            <w:shd w:val="clear" w:color="auto" w:fill="FFFFFF"/>
          </w:tcPr>
          <w:p w:rsidR="00DA1840" w:rsidRPr="00DA1840" w:rsidRDefault="00DA1840" w:rsidP="00AC12B4">
            <w:pPr>
              <w:widowControl w:val="0"/>
              <w:autoSpaceDE w:val="0"/>
              <w:autoSpaceDN w:val="0"/>
              <w:adjustRightInd w:val="0"/>
              <w:ind w:left="60" w:right="60"/>
              <w:jc w:val="right"/>
              <w:rPr>
                <w:rFonts w:eastAsia="Cambria" w:cs="Arial"/>
                <w:color w:val="000000"/>
                <w:sz w:val="22"/>
              </w:rPr>
            </w:pPr>
            <w:r w:rsidRPr="00DA1840">
              <w:rPr>
                <w:rFonts w:eastAsia="Cambria" w:cs="Arial"/>
                <w:color w:val="000000"/>
                <w:sz w:val="22"/>
              </w:rPr>
              <w:t>.502</w:t>
            </w:r>
          </w:p>
        </w:tc>
        <w:tc>
          <w:tcPr>
            <w:tcW w:w="1710" w:type="dxa"/>
            <w:shd w:val="clear" w:color="auto" w:fill="FFFFFF"/>
          </w:tcPr>
          <w:p w:rsidR="00DA1840" w:rsidRPr="00DA1840" w:rsidRDefault="00DA1840" w:rsidP="00AC12B4">
            <w:pPr>
              <w:widowControl w:val="0"/>
              <w:autoSpaceDE w:val="0"/>
              <w:autoSpaceDN w:val="0"/>
              <w:adjustRightInd w:val="0"/>
              <w:ind w:left="60" w:right="60"/>
              <w:jc w:val="right"/>
              <w:rPr>
                <w:rFonts w:eastAsia="Cambria" w:cs="Arial"/>
                <w:color w:val="000000"/>
                <w:sz w:val="22"/>
              </w:rPr>
            </w:pPr>
            <w:r w:rsidRPr="00DA1840">
              <w:rPr>
                <w:rFonts w:eastAsia="Cambria" w:cs="Arial"/>
                <w:color w:val="000000"/>
                <w:sz w:val="22"/>
              </w:rPr>
              <w:t>.252</w:t>
            </w:r>
          </w:p>
        </w:tc>
      </w:tr>
      <w:tr w:rsidR="00DA1840" w:rsidRPr="009650AE">
        <w:trPr>
          <w:cantSplit/>
          <w:jc w:val="center"/>
        </w:trPr>
        <w:tc>
          <w:tcPr>
            <w:tcW w:w="5940" w:type="dxa"/>
            <w:shd w:val="clear" w:color="auto" w:fill="FFFFFF"/>
            <w:vAlign w:val="center"/>
          </w:tcPr>
          <w:p w:rsidR="00DA1840" w:rsidRPr="00DA1840" w:rsidRDefault="00DA1840" w:rsidP="00AC12B4">
            <w:pPr>
              <w:widowControl w:val="0"/>
              <w:autoSpaceDE w:val="0"/>
              <w:autoSpaceDN w:val="0"/>
              <w:adjustRightInd w:val="0"/>
              <w:ind w:left="60" w:right="60"/>
              <w:rPr>
                <w:rFonts w:eastAsia="Cambria" w:cs="Arial"/>
                <w:color w:val="000000"/>
                <w:sz w:val="22"/>
              </w:rPr>
            </w:pPr>
            <w:r w:rsidRPr="00DA1840">
              <w:rPr>
                <w:rFonts w:eastAsia="Cambria" w:cs="Arial"/>
                <w:color w:val="000000"/>
                <w:sz w:val="22"/>
              </w:rPr>
              <w:t>I</w:t>
            </w:r>
            <w:r>
              <w:rPr>
                <w:rFonts w:eastAsia="Cambria" w:cs="Arial"/>
                <w:color w:val="000000"/>
                <w:sz w:val="22"/>
              </w:rPr>
              <w:t xml:space="preserve"> </w:t>
            </w:r>
            <w:r w:rsidRPr="00DA1840">
              <w:rPr>
                <w:rFonts w:eastAsia="Cambria" w:cs="Arial"/>
                <w:color w:val="000000"/>
                <w:sz w:val="22"/>
              </w:rPr>
              <w:t>know</w:t>
            </w:r>
            <w:r>
              <w:rPr>
                <w:rFonts w:eastAsia="Cambria" w:cs="Arial"/>
                <w:color w:val="000000"/>
                <w:sz w:val="22"/>
              </w:rPr>
              <w:t xml:space="preserve"> </w:t>
            </w:r>
            <w:r w:rsidRPr="00DA1840">
              <w:rPr>
                <w:rFonts w:eastAsia="Cambria" w:cs="Arial"/>
                <w:color w:val="000000"/>
                <w:sz w:val="22"/>
              </w:rPr>
              <w:t>how</w:t>
            </w:r>
            <w:r>
              <w:rPr>
                <w:rFonts w:eastAsia="Cambria" w:cs="Arial"/>
                <w:color w:val="000000"/>
                <w:sz w:val="22"/>
              </w:rPr>
              <w:t xml:space="preserve"> </w:t>
            </w:r>
            <w:r w:rsidRPr="00DA1840">
              <w:rPr>
                <w:rFonts w:eastAsia="Cambria" w:cs="Arial"/>
                <w:color w:val="000000"/>
                <w:sz w:val="22"/>
              </w:rPr>
              <w:t>to</w:t>
            </w:r>
            <w:r>
              <w:rPr>
                <w:rFonts w:eastAsia="Cambria" w:cs="Arial"/>
                <w:color w:val="000000"/>
                <w:sz w:val="22"/>
              </w:rPr>
              <w:t xml:space="preserve"> </w:t>
            </w:r>
            <w:r w:rsidRPr="00DA1840">
              <w:rPr>
                <w:rFonts w:eastAsia="Cambria" w:cs="Arial"/>
                <w:color w:val="000000"/>
                <w:sz w:val="22"/>
              </w:rPr>
              <w:t>run</w:t>
            </w:r>
            <w:r>
              <w:rPr>
                <w:rFonts w:eastAsia="Cambria" w:cs="Arial"/>
                <w:color w:val="000000"/>
                <w:sz w:val="22"/>
              </w:rPr>
              <w:t xml:space="preserve"> </w:t>
            </w:r>
            <w:r w:rsidRPr="00DA1840">
              <w:rPr>
                <w:rFonts w:eastAsia="Cambria" w:cs="Arial"/>
                <w:color w:val="000000"/>
                <w:sz w:val="22"/>
              </w:rPr>
              <w:t>R</w:t>
            </w:r>
          </w:p>
        </w:tc>
        <w:tc>
          <w:tcPr>
            <w:tcW w:w="1710" w:type="dxa"/>
            <w:shd w:val="clear" w:color="auto" w:fill="FFFFFF"/>
          </w:tcPr>
          <w:p w:rsidR="00DA1840" w:rsidRPr="00DA1840" w:rsidRDefault="00DA1840" w:rsidP="00AC12B4">
            <w:pPr>
              <w:widowControl w:val="0"/>
              <w:autoSpaceDE w:val="0"/>
              <w:autoSpaceDN w:val="0"/>
              <w:adjustRightInd w:val="0"/>
              <w:ind w:left="60" w:right="60"/>
              <w:jc w:val="right"/>
              <w:rPr>
                <w:rFonts w:eastAsia="Cambria" w:cs="Arial"/>
                <w:color w:val="000000"/>
                <w:sz w:val="22"/>
              </w:rPr>
            </w:pPr>
            <w:r w:rsidRPr="00DA1840">
              <w:rPr>
                <w:rFonts w:eastAsia="Cambria" w:cs="Arial"/>
                <w:color w:val="000000"/>
                <w:sz w:val="22"/>
              </w:rPr>
              <w:t>.450</w:t>
            </w:r>
          </w:p>
        </w:tc>
        <w:tc>
          <w:tcPr>
            <w:tcW w:w="1710" w:type="dxa"/>
            <w:shd w:val="clear" w:color="auto" w:fill="FFFFFF"/>
          </w:tcPr>
          <w:p w:rsidR="00DA1840" w:rsidRPr="00DA1840" w:rsidRDefault="00DA1840" w:rsidP="00AC12B4">
            <w:pPr>
              <w:widowControl w:val="0"/>
              <w:autoSpaceDE w:val="0"/>
              <w:autoSpaceDN w:val="0"/>
              <w:adjustRightInd w:val="0"/>
              <w:ind w:left="60" w:right="60"/>
              <w:jc w:val="right"/>
              <w:rPr>
                <w:rFonts w:eastAsia="Cambria" w:cs="Arial"/>
                <w:color w:val="000000"/>
                <w:sz w:val="22"/>
              </w:rPr>
            </w:pPr>
            <w:r w:rsidRPr="00DA1840">
              <w:rPr>
                <w:rFonts w:eastAsia="Cambria" w:cs="Arial"/>
                <w:color w:val="000000"/>
                <w:sz w:val="22"/>
              </w:rPr>
              <w:t>.203</w:t>
            </w:r>
          </w:p>
        </w:tc>
      </w:tr>
      <w:tr w:rsidR="00DA1840" w:rsidRPr="009650AE">
        <w:trPr>
          <w:cantSplit/>
          <w:jc w:val="center"/>
        </w:trPr>
        <w:tc>
          <w:tcPr>
            <w:tcW w:w="5940" w:type="dxa"/>
            <w:shd w:val="clear" w:color="auto" w:fill="FFFFFF"/>
            <w:vAlign w:val="center"/>
          </w:tcPr>
          <w:p w:rsidR="00DA1840" w:rsidRPr="00DA1840" w:rsidRDefault="00DA1840" w:rsidP="00AC12B4">
            <w:pPr>
              <w:widowControl w:val="0"/>
              <w:autoSpaceDE w:val="0"/>
              <w:autoSpaceDN w:val="0"/>
              <w:adjustRightInd w:val="0"/>
              <w:ind w:left="60" w:right="60"/>
              <w:rPr>
                <w:rFonts w:eastAsia="Cambria" w:cs="Arial"/>
                <w:color w:val="000000"/>
                <w:sz w:val="22"/>
              </w:rPr>
            </w:pPr>
            <w:r w:rsidRPr="00DA1840">
              <w:rPr>
                <w:rFonts w:eastAsia="Cambria" w:cs="Arial"/>
                <w:color w:val="000000"/>
                <w:sz w:val="22"/>
              </w:rPr>
              <w:t>I</w:t>
            </w:r>
            <w:r>
              <w:rPr>
                <w:rFonts w:eastAsia="Cambria" w:cs="Arial"/>
                <w:color w:val="000000"/>
                <w:sz w:val="22"/>
              </w:rPr>
              <w:t xml:space="preserve"> </w:t>
            </w:r>
            <w:r w:rsidRPr="00DA1840">
              <w:rPr>
                <w:rFonts w:eastAsia="Cambria" w:cs="Arial"/>
                <w:color w:val="000000"/>
                <w:sz w:val="22"/>
              </w:rPr>
              <w:t>know</w:t>
            </w:r>
            <w:r>
              <w:rPr>
                <w:rFonts w:eastAsia="Cambria" w:cs="Arial"/>
                <w:color w:val="000000"/>
                <w:sz w:val="22"/>
              </w:rPr>
              <w:t xml:space="preserve"> </w:t>
            </w:r>
            <w:r w:rsidRPr="00DA1840">
              <w:rPr>
                <w:rFonts w:eastAsia="Cambria" w:cs="Arial"/>
                <w:color w:val="000000"/>
                <w:sz w:val="22"/>
              </w:rPr>
              <w:t>the</w:t>
            </w:r>
            <w:r>
              <w:rPr>
                <w:rFonts w:eastAsia="Cambria" w:cs="Arial"/>
                <w:color w:val="000000"/>
                <w:sz w:val="22"/>
              </w:rPr>
              <w:t xml:space="preserve"> </w:t>
            </w:r>
            <w:r w:rsidRPr="00DA1840">
              <w:rPr>
                <w:rFonts w:eastAsia="Cambria" w:cs="Arial"/>
                <w:color w:val="000000"/>
                <w:sz w:val="22"/>
              </w:rPr>
              <w:t>main</w:t>
            </w:r>
            <w:r>
              <w:rPr>
                <w:rFonts w:eastAsia="Cambria" w:cs="Arial"/>
                <w:color w:val="000000"/>
                <w:sz w:val="22"/>
              </w:rPr>
              <w:t xml:space="preserve"> </w:t>
            </w:r>
            <w:r w:rsidRPr="00DA1840">
              <w:rPr>
                <w:rFonts w:eastAsia="Cambria" w:cs="Arial"/>
                <w:color w:val="000000"/>
                <w:sz w:val="22"/>
              </w:rPr>
              <w:t>differences</w:t>
            </w:r>
            <w:r>
              <w:rPr>
                <w:rFonts w:eastAsia="Cambria" w:cs="Arial"/>
                <w:color w:val="000000"/>
                <w:sz w:val="22"/>
              </w:rPr>
              <w:t xml:space="preserve"> </w:t>
            </w:r>
            <w:r w:rsidRPr="00DA1840">
              <w:rPr>
                <w:rFonts w:eastAsia="Cambria" w:cs="Arial"/>
                <w:color w:val="000000"/>
                <w:sz w:val="22"/>
              </w:rPr>
              <w:t>in</w:t>
            </w:r>
            <w:r>
              <w:rPr>
                <w:rFonts w:eastAsia="Cambria" w:cs="Arial"/>
                <w:color w:val="000000"/>
                <w:sz w:val="22"/>
              </w:rPr>
              <w:t xml:space="preserve"> </w:t>
            </w:r>
            <w:r w:rsidRPr="00DA1840">
              <w:rPr>
                <w:rFonts w:eastAsia="Cambria" w:cs="Arial"/>
                <w:color w:val="000000"/>
                <w:sz w:val="22"/>
              </w:rPr>
              <w:t>analyses</w:t>
            </w:r>
            <w:r>
              <w:rPr>
                <w:rFonts w:eastAsia="Cambria" w:cs="Arial"/>
                <w:color w:val="000000"/>
                <w:sz w:val="22"/>
              </w:rPr>
              <w:t xml:space="preserve"> </w:t>
            </w:r>
            <w:r w:rsidRPr="00DA1840">
              <w:rPr>
                <w:rFonts w:eastAsia="Cambria" w:cs="Arial"/>
                <w:color w:val="000000"/>
                <w:sz w:val="22"/>
              </w:rPr>
              <w:t>offered</w:t>
            </w:r>
            <w:r>
              <w:rPr>
                <w:rFonts w:eastAsia="Cambria" w:cs="Arial"/>
                <w:color w:val="000000"/>
                <w:sz w:val="22"/>
              </w:rPr>
              <w:t xml:space="preserve"> </w:t>
            </w:r>
            <w:r w:rsidRPr="00DA1840">
              <w:rPr>
                <w:rFonts w:eastAsia="Cambria" w:cs="Arial"/>
                <w:color w:val="000000"/>
                <w:sz w:val="22"/>
              </w:rPr>
              <w:t>by</w:t>
            </w:r>
            <w:r>
              <w:rPr>
                <w:rFonts w:eastAsia="Cambria" w:cs="Arial"/>
                <w:color w:val="000000"/>
                <w:sz w:val="22"/>
              </w:rPr>
              <w:t xml:space="preserve"> </w:t>
            </w:r>
            <w:r w:rsidRPr="00DA1840">
              <w:rPr>
                <w:rFonts w:eastAsia="Cambria" w:cs="Arial"/>
                <w:color w:val="000000"/>
                <w:sz w:val="22"/>
              </w:rPr>
              <w:t>QIIME</w:t>
            </w:r>
            <w:r>
              <w:rPr>
                <w:rFonts w:eastAsia="Cambria" w:cs="Arial"/>
                <w:color w:val="000000"/>
                <w:sz w:val="22"/>
              </w:rPr>
              <w:t xml:space="preserve"> </w:t>
            </w:r>
            <w:r w:rsidRPr="00DA1840">
              <w:rPr>
                <w:rFonts w:eastAsia="Cambria" w:cs="Arial"/>
                <w:color w:val="000000"/>
                <w:sz w:val="22"/>
              </w:rPr>
              <w:t>and</w:t>
            </w:r>
            <w:r>
              <w:rPr>
                <w:rFonts w:eastAsia="Cambria" w:cs="Arial"/>
                <w:color w:val="000000"/>
                <w:sz w:val="22"/>
              </w:rPr>
              <w:t xml:space="preserve"> </w:t>
            </w:r>
            <w:r w:rsidRPr="00DA1840">
              <w:rPr>
                <w:rFonts w:eastAsia="Cambria" w:cs="Arial"/>
                <w:color w:val="000000"/>
                <w:sz w:val="22"/>
              </w:rPr>
              <w:t>mot</w:t>
            </w:r>
          </w:p>
        </w:tc>
        <w:tc>
          <w:tcPr>
            <w:tcW w:w="1710" w:type="dxa"/>
            <w:shd w:val="clear" w:color="auto" w:fill="FFFFFF"/>
          </w:tcPr>
          <w:p w:rsidR="00DA1840" w:rsidRPr="00DA1840" w:rsidRDefault="00DA1840" w:rsidP="00AC12B4">
            <w:pPr>
              <w:widowControl w:val="0"/>
              <w:autoSpaceDE w:val="0"/>
              <w:autoSpaceDN w:val="0"/>
              <w:adjustRightInd w:val="0"/>
              <w:ind w:left="60" w:right="60"/>
              <w:jc w:val="right"/>
              <w:rPr>
                <w:rFonts w:eastAsia="Cambria" w:cs="Arial"/>
                <w:color w:val="000000"/>
                <w:sz w:val="22"/>
              </w:rPr>
            </w:pPr>
            <w:r w:rsidRPr="00DA1840">
              <w:rPr>
                <w:rFonts w:eastAsia="Cambria" w:cs="Arial"/>
                <w:color w:val="000000"/>
                <w:sz w:val="22"/>
              </w:rPr>
              <w:t>.785</w:t>
            </w:r>
          </w:p>
        </w:tc>
        <w:tc>
          <w:tcPr>
            <w:tcW w:w="1710" w:type="dxa"/>
            <w:shd w:val="clear" w:color="auto" w:fill="FFFFFF"/>
          </w:tcPr>
          <w:p w:rsidR="00DA1840" w:rsidRPr="00DA1840" w:rsidRDefault="00DA1840" w:rsidP="00AC12B4">
            <w:pPr>
              <w:widowControl w:val="0"/>
              <w:autoSpaceDE w:val="0"/>
              <w:autoSpaceDN w:val="0"/>
              <w:adjustRightInd w:val="0"/>
              <w:ind w:left="60" w:right="60"/>
              <w:jc w:val="right"/>
              <w:rPr>
                <w:rFonts w:eastAsia="Cambria" w:cs="Arial"/>
                <w:color w:val="000000"/>
                <w:sz w:val="22"/>
              </w:rPr>
            </w:pPr>
            <w:r w:rsidRPr="00DA1840">
              <w:rPr>
                <w:rFonts w:eastAsia="Cambria" w:cs="Arial"/>
                <w:color w:val="000000"/>
                <w:sz w:val="22"/>
              </w:rPr>
              <w:t>.616</w:t>
            </w:r>
          </w:p>
        </w:tc>
      </w:tr>
      <w:tr w:rsidR="00DA1840" w:rsidRPr="009650AE">
        <w:trPr>
          <w:cantSplit/>
          <w:jc w:val="center"/>
        </w:trPr>
        <w:tc>
          <w:tcPr>
            <w:tcW w:w="5940" w:type="dxa"/>
            <w:shd w:val="clear" w:color="auto" w:fill="FFFFFF"/>
            <w:vAlign w:val="center"/>
          </w:tcPr>
          <w:p w:rsidR="00DA1840" w:rsidRPr="00DA1840" w:rsidRDefault="00DA1840" w:rsidP="00AC12B4">
            <w:pPr>
              <w:widowControl w:val="0"/>
              <w:autoSpaceDE w:val="0"/>
              <w:autoSpaceDN w:val="0"/>
              <w:adjustRightInd w:val="0"/>
              <w:ind w:left="60" w:right="60"/>
              <w:rPr>
                <w:rFonts w:eastAsia="Cambria" w:cs="Arial"/>
                <w:color w:val="000000"/>
                <w:sz w:val="22"/>
              </w:rPr>
            </w:pPr>
            <w:r w:rsidRPr="00DA1840">
              <w:rPr>
                <w:rFonts w:eastAsia="Cambria" w:cs="Arial"/>
                <w:color w:val="000000"/>
                <w:sz w:val="22"/>
              </w:rPr>
              <w:t>I</w:t>
            </w:r>
            <w:r>
              <w:rPr>
                <w:rFonts w:eastAsia="Cambria" w:cs="Arial"/>
                <w:color w:val="000000"/>
                <w:sz w:val="22"/>
              </w:rPr>
              <w:t xml:space="preserve"> </w:t>
            </w:r>
            <w:r w:rsidRPr="00DA1840">
              <w:rPr>
                <w:rFonts w:eastAsia="Cambria" w:cs="Arial"/>
                <w:color w:val="000000"/>
                <w:sz w:val="22"/>
              </w:rPr>
              <w:t>am</w:t>
            </w:r>
            <w:r>
              <w:rPr>
                <w:rFonts w:eastAsia="Cambria" w:cs="Arial"/>
                <w:color w:val="000000"/>
                <w:sz w:val="22"/>
              </w:rPr>
              <w:t xml:space="preserve"> </w:t>
            </w:r>
            <w:r w:rsidRPr="00DA1840">
              <w:rPr>
                <w:rFonts w:eastAsia="Cambria" w:cs="Arial"/>
                <w:color w:val="000000"/>
                <w:sz w:val="22"/>
              </w:rPr>
              <w:t>familiar</w:t>
            </w:r>
            <w:r>
              <w:rPr>
                <w:rFonts w:eastAsia="Cambria" w:cs="Arial"/>
                <w:color w:val="000000"/>
                <w:sz w:val="22"/>
              </w:rPr>
              <w:t xml:space="preserve"> </w:t>
            </w:r>
            <w:r w:rsidRPr="00DA1840">
              <w:rPr>
                <w:rFonts w:eastAsia="Cambria" w:cs="Arial"/>
                <w:color w:val="000000"/>
                <w:sz w:val="22"/>
              </w:rPr>
              <w:t>with</w:t>
            </w:r>
            <w:r>
              <w:rPr>
                <w:rFonts w:eastAsia="Cambria" w:cs="Arial"/>
                <w:color w:val="000000"/>
                <w:sz w:val="22"/>
              </w:rPr>
              <w:t xml:space="preserve"> </w:t>
            </w:r>
            <w:r w:rsidRPr="00DA1840">
              <w:rPr>
                <w:rFonts w:eastAsia="Cambria" w:cs="Arial"/>
                <w:color w:val="000000"/>
                <w:sz w:val="22"/>
              </w:rPr>
              <w:t>biom</w:t>
            </w:r>
            <w:r>
              <w:rPr>
                <w:rFonts w:eastAsia="Cambria" w:cs="Arial"/>
                <w:color w:val="000000"/>
                <w:sz w:val="22"/>
              </w:rPr>
              <w:t xml:space="preserve"> </w:t>
            </w:r>
            <w:r w:rsidRPr="00DA1840">
              <w:rPr>
                <w:rFonts w:eastAsia="Cambria" w:cs="Arial"/>
                <w:color w:val="000000"/>
                <w:sz w:val="22"/>
              </w:rPr>
              <w:t>formatted</w:t>
            </w:r>
            <w:r>
              <w:rPr>
                <w:rFonts w:eastAsia="Cambria" w:cs="Arial"/>
                <w:color w:val="000000"/>
                <w:sz w:val="22"/>
              </w:rPr>
              <w:t xml:space="preserve"> </w:t>
            </w:r>
            <w:r w:rsidRPr="00DA1840">
              <w:rPr>
                <w:rFonts w:eastAsia="Cambria" w:cs="Arial"/>
                <w:color w:val="000000"/>
                <w:sz w:val="22"/>
              </w:rPr>
              <w:t>files</w:t>
            </w:r>
          </w:p>
        </w:tc>
        <w:tc>
          <w:tcPr>
            <w:tcW w:w="1710" w:type="dxa"/>
            <w:shd w:val="clear" w:color="auto" w:fill="FFFFFF"/>
          </w:tcPr>
          <w:p w:rsidR="00DA1840" w:rsidRPr="00DA1840" w:rsidRDefault="00DA1840" w:rsidP="00AC12B4">
            <w:pPr>
              <w:widowControl w:val="0"/>
              <w:autoSpaceDE w:val="0"/>
              <w:autoSpaceDN w:val="0"/>
              <w:adjustRightInd w:val="0"/>
              <w:ind w:left="60" w:right="60"/>
              <w:jc w:val="right"/>
              <w:rPr>
                <w:rFonts w:eastAsia="Cambria" w:cs="Arial"/>
                <w:color w:val="000000"/>
                <w:sz w:val="22"/>
              </w:rPr>
            </w:pPr>
            <w:r w:rsidRPr="00DA1840">
              <w:rPr>
                <w:rFonts w:eastAsia="Cambria" w:cs="Arial"/>
                <w:color w:val="000000"/>
                <w:sz w:val="22"/>
              </w:rPr>
              <w:t>.639</w:t>
            </w:r>
          </w:p>
        </w:tc>
        <w:tc>
          <w:tcPr>
            <w:tcW w:w="1710" w:type="dxa"/>
            <w:shd w:val="clear" w:color="auto" w:fill="FFFFFF"/>
          </w:tcPr>
          <w:p w:rsidR="00DA1840" w:rsidRPr="00DA1840" w:rsidRDefault="00DA1840" w:rsidP="00AC12B4">
            <w:pPr>
              <w:widowControl w:val="0"/>
              <w:autoSpaceDE w:val="0"/>
              <w:autoSpaceDN w:val="0"/>
              <w:adjustRightInd w:val="0"/>
              <w:ind w:left="60" w:right="60"/>
              <w:jc w:val="right"/>
              <w:rPr>
                <w:rFonts w:eastAsia="Cambria" w:cs="Arial"/>
                <w:color w:val="000000"/>
                <w:sz w:val="22"/>
              </w:rPr>
            </w:pPr>
            <w:r w:rsidRPr="00DA1840">
              <w:rPr>
                <w:rFonts w:eastAsia="Cambria" w:cs="Arial"/>
                <w:color w:val="000000"/>
                <w:sz w:val="22"/>
              </w:rPr>
              <w:t>.408</w:t>
            </w:r>
          </w:p>
        </w:tc>
      </w:tr>
      <w:tr w:rsidR="00DA1840" w:rsidRPr="009650AE">
        <w:trPr>
          <w:cantSplit/>
          <w:jc w:val="center"/>
        </w:trPr>
        <w:tc>
          <w:tcPr>
            <w:tcW w:w="5940" w:type="dxa"/>
            <w:shd w:val="clear" w:color="auto" w:fill="FFFFFF"/>
            <w:vAlign w:val="center"/>
          </w:tcPr>
          <w:p w:rsidR="00DA1840" w:rsidRPr="00DA1840" w:rsidRDefault="00DA1840" w:rsidP="00AC12B4">
            <w:pPr>
              <w:widowControl w:val="0"/>
              <w:autoSpaceDE w:val="0"/>
              <w:autoSpaceDN w:val="0"/>
              <w:adjustRightInd w:val="0"/>
              <w:ind w:left="60" w:right="60"/>
              <w:rPr>
                <w:rFonts w:eastAsia="Cambria" w:cs="Arial"/>
                <w:color w:val="000000"/>
                <w:sz w:val="22"/>
              </w:rPr>
            </w:pPr>
            <w:r w:rsidRPr="00DA1840">
              <w:rPr>
                <w:rFonts w:eastAsia="Cambria" w:cs="Arial"/>
                <w:color w:val="000000"/>
                <w:sz w:val="22"/>
              </w:rPr>
              <w:t>I</w:t>
            </w:r>
            <w:r>
              <w:rPr>
                <w:rFonts w:eastAsia="Cambria" w:cs="Arial"/>
                <w:color w:val="000000"/>
                <w:sz w:val="22"/>
              </w:rPr>
              <w:t xml:space="preserve"> </w:t>
            </w:r>
            <w:r w:rsidRPr="00DA1840">
              <w:rPr>
                <w:rFonts w:eastAsia="Cambria" w:cs="Arial"/>
                <w:color w:val="000000"/>
                <w:sz w:val="22"/>
              </w:rPr>
              <w:t>can</w:t>
            </w:r>
            <w:r>
              <w:rPr>
                <w:rFonts w:eastAsia="Cambria" w:cs="Arial"/>
                <w:color w:val="000000"/>
                <w:sz w:val="22"/>
              </w:rPr>
              <w:t xml:space="preserve"> </w:t>
            </w:r>
            <w:r w:rsidRPr="00DA1840">
              <w:rPr>
                <w:rFonts w:eastAsia="Cambria" w:cs="Arial"/>
                <w:color w:val="000000"/>
                <w:sz w:val="22"/>
              </w:rPr>
              <w:t>name</w:t>
            </w:r>
            <w:r>
              <w:rPr>
                <w:rFonts w:eastAsia="Cambria" w:cs="Arial"/>
                <w:color w:val="000000"/>
                <w:sz w:val="22"/>
              </w:rPr>
              <w:t xml:space="preserve"> </w:t>
            </w:r>
            <w:r w:rsidRPr="00DA1840">
              <w:rPr>
                <w:rFonts w:eastAsia="Cambria" w:cs="Arial"/>
                <w:color w:val="000000"/>
                <w:sz w:val="22"/>
              </w:rPr>
              <w:t>at</w:t>
            </w:r>
            <w:r>
              <w:rPr>
                <w:rFonts w:eastAsia="Cambria" w:cs="Arial"/>
                <w:color w:val="000000"/>
                <w:sz w:val="22"/>
              </w:rPr>
              <w:t xml:space="preserve"> </w:t>
            </w:r>
            <w:r w:rsidRPr="00DA1840">
              <w:rPr>
                <w:rFonts w:eastAsia="Cambria" w:cs="Arial"/>
                <w:color w:val="000000"/>
                <w:sz w:val="22"/>
              </w:rPr>
              <w:t>least</w:t>
            </w:r>
            <w:r>
              <w:rPr>
                <w:rFonts w:eastAsia="Cambria" w:cs="Arial"/>
                <w:color w:val="000000"/>
                <w:sz w:val="22"/>
              </w:rPr>
              <w:t xml:space="preserve"> </w:t>
            </w:r>
            <w:r w:rsidRPr="00DA1840">
              <w:rPr>
                <w:rFonts w:eastAsia="Cambria" w:cs="Arial"/>
                <w:color w:val="000000"/>
                <w:sz w:val="22"/>
              </w:rPr>
              <w:t>two</w:t>
            </w:r>
            <w:r>
              <w:rPr>
                <w:rFonts w:eastAsia="Cambria" w:cs="Arial"/>
                <w:color w:val="000000"/>
                <w:sz w:val="22"/>
              </w:rPr>
              <w:t xml:space="preserve"> </w:t>
            </w:r>
            <w:r w:rsidRPr="00DA1840">
              <w:rPr>
                <w:rFonts w:eastAsia="Cambria" w:cs="Arial"/>
                <w:color w:val="000000"/>
                <w:sz w:val="22"/>
              </w:rPr>
              <w:t>different</w:t>
            </w:r>
            <w:r>
              <w:rPr>
                <w:rFonts w:eastAsia="Cambria" w:cs="Arial"/>
                <w:color w:val="000000"/>
                <w:sz w:val="22"/>
              </w:rPr>
              <w:t xml:space="preserve"> </w:t>
            </w:r>
            <w:r w:rsidRPr="00DA1840">
              <w:rPr>
                <w:rFonts w:eastAsia="Cambria" w:cs="Arial"/>
                <w:color w:val="000000"/>
                <w:sz w:val="22"/>
              </w:rPr>
              <w:t>microbial</w:t>
            </w:r>
            <w:r>
              <w:rPr>
                <w:rFonts w:eastAsia="Cambria" w:cs="Arial"/>
                <w:color w:val="000000"/>
                <w:sz w:val="22"/>
              </w:rPr>
              <w:t xml:space="preserve"> </w:t>
            </w:r>
            <w:r w:rsidRPr="00DA1840">
              <w:rPr>
                <w:rFonts w:eastAsia="Cambria" w:cs="Arial"/>
                <w:color w:val="000000"/>
                <w:sz w:val="22"/>
              </w:rPr>
              <w:t>metagenomic</w:t>
            </w:r>
            <w:r>
              <w:rPr>
                <w:rFonts w:eastAsia="Cambria" w:cs="Arial"/>
                <w:color w:val="000000"/>
                <w:sz w:val="22"/>
              </w:rPr>
              <w:t xml:space="preserve"> </w:t>
            </w:r>
            <w:r w:rsidRPr="00DA1840">
              <w:rPr>
                <w:rFonts w:eastAsia="Cambria" w:cs="Arial"/>
                <w:color w:val="000000"/>
                <w:sz w:val="22"/>
              </w:rPr>
              <w:t>database</w:t>
            </w:r>
            <w:r>
              <w:rPr>
                <w:rFonts w:eastAsia="Cambria" w:cs="Arial"/>
                <w:color w:val="000000"/>
                <w:sz w:val="22"/>
              </w:rPr>
              <w:t>s</w:t>
            </w:r>
          </w:p>
        </w:tc>
        <w:tc>
          <w:tcPr>
            <w:tcW w:w="1710" w:type="dxa"/>
            <w:shd w:val="clear" w:color="auto" w:fill="FFFFFF"/>
          </w:tcPr>
          <w:p w:rsidR="00DA1840" w:rsidRPr="00DA1840" w:rsidRDefault="00DA1840" w:rsidP="00AC12B4">
            <w:pPr>
              <w:widowControl w:val="0"/>
              <w:autoSpaceDE w:val="0"/>
              <w:autoSpaceDN w:val="0"/>
              <w:adjustRightInd w:val="0"/>
              <w:ind w:left="60" w:right="60"/>
              <w:jc w:val="right"/>
              <w:rPr>
                <w:rFonts w:eastAsia="Cambria" w:cs="Arial"/>
                <w:color w:val="000000"/>
                <w:sz w:val="22"/>
              </w:rPr>
            </w:pPr>
            <w:r w:rsidRPr="00DA1840">
              <w:rPr>
                <w:rFonts w:eastAsia="Cambria" w:cs="Arial"/>
                <w:color w:val="000000"/>
                <w:sz w:val="22"/>
              </w:rPr>
              <w:t>.842</w:t>
            </w:r>
          </w:p>
        </w:tc>
        <w:tc>
          <w:tcPr>
            <w:tcW w:w="1710" w:type="dxa"/>
            <w:shd w:val="clear" w:color="auto" w:fill="FFFFFF"/>
          </w:tcPr>
          <w:p w:rsidR="00DA1840" w:rsidRPr="00DA1840" w:rsidRDefault="00DA1840" w:rsidP="00AC12B4">
            <w:pPr>
              <w:widowControl w:val="0"/>
              <w:autoSpaceDE w:val="0"/>
              <w:autoSpaceDN w:val="0"/>
              <w:adjustRightInd w:val="0"/>
              <w:ind w:left="60" w:right="60"/>
              <w:jc w:val="right"/>
              <w:rPr>
                <w:rFonts w:eastAsia="Cambria" w:cs="Arial"/>
                <w:color w:val="000000"/>
                <w:sz w:val="22"/>
              </w:rPr>
            </w:pPr>
            <w:r w:rsidRPr="00DA1840">
              <w:rPr>
                <w:rFonts w:eastAsia="Cambria" w:cs="Arial"/>
                <w:color w:val="000000"/>
                <w:sz w:val="22"/>
              </w:rPr>
              <w:t>.709</w:t>
            </w:r>
          </w:p>
        </w:tc>
      </w:tr>
      <w:tr w:rsidR="00DA1840" w:rsidRPr="009650AE">
        <w:trPr>
          <w:cantSplit/>
          <w:jc w:val="center"/>
        </w:trPr>
        <w:tc>
          <w:tcPr>
            <w:tcW w:w="594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DA1840" w:rsidRPr="00DA1840" w:rsidRDefault="00DA1840" w:rsidP="00AC12B4">
            <w:pPr>
              <w:widowControl w:val="0"/>
              <w:autoSpaceDE w:val="0"/>
              <w:autoSpaceDN w:val="0"/>
              <w:adjustRightInd w:val="0"/>
              <w:ind w:left="60" w:right="60"/>
              <w:rPr>
                <w:rFonts w:eastAsia="Cambria" w:cs="Arial"/>
                <w:color w:val="000000"/>
                <w:sz w:val="22"/>
              </w:rPr>
            </w:pPr>
            <w:r w:rsidRPr="00DA1840">
              <w:rPr>
                <w:rFonts w:eastAsia="Cambria" w:cs="Arial"/>
                <w:color w:val="000000"/>
                <w:sz w:val="22"/>
              </w:rPr>
              <w:t>I</w:t>
            </w:r>
            <w:r>
              <w:rPr>
                <w:rFonts w:eastAsia="Cambria" w:cs="Arial"/>
                <w:color w:val="000000"/>
                <w:sz w:val="22"/>
              </w:rPr>
              <w:t xml:space="preserve"> </w:t>
            </w:r>
            <w:r w:rsidRPr="00DA1840">
              <w:rPr>
                <w:rFonts w:eastAsia="Cambria" w:cs="Arial"/>
                <w:color w:val="000000"/>
                <w:sz w:val="22"/>
              </w:rPr>
              <w:t>know</w:t>
            </w:r>
            <w:r>
              <w:rPr>
                <w:rFonts w:eastAsia="Cambria" w:cs="Arial"/>
                <w:color w:val="000000"/>
                <w:sz w:val="22"/>
              </w:rPr>
              <w:t xml:space="preserve"> </w:t>
            </w:r>
            <w:r w:rsidRPr="00DA1840">
              <w:rPr>
                <w:rFonts w:eastAsia="Cambria" w:cs="Arial"/>
                <w:color w:val="000000"/>
                <w:sz w:val="22"/>
              </w:rPr>
              <w:t>what</w:t>
            </w:r>
            <w:r>
              <w:rPr>
                <w:rFonts w:eastAsia="Cambria" w:cs="Arial"/>
                <w:color w:val="000000"/>
                <w:sz w:val="22"/>
              </w:rPr>
              <w:t xml:space="preserve"> </w:t>
            </w:r>
            <w:r w:rsidRPr="00DA1840">
              <w:rPr>
                <w:rFonts w:eastAsia="Cambria" w:cs="Arial"/>
                <w:color w:val="000000"/>
                <w:sz w:val="22"/>
              </w:rPr>
              <w:t>an</w:t>
            </w:r>
            <w:r>
              <w:rPr>
                <w:rFonts w:eastAsia="Cambria" w:cs="Arial"/>
                <w:color w:val="000000"/>
                <w:sz w:val="22"/>
              </w:rPr>
              <w:t xml:space="preserve"> </w:t>
            </w:r>
            <w:r w:rsidRPr="00DA1840">
              <w:rPr>
                <w:rFonts w:eastAsia="Cambria" w:cs="Arial"/>
                <w:color w:val="000000"/>
                <w:sz w:val="22"/>
              </w:rPr>
              <w:t>R</w:t>
            </w:r>
            <w:r>
              <w:rPr>
                <w:rFonts w:eastAsia="Cambria" w:cs="Arial"/>
                <w:color w:val="000000"/>
                <w:sz w:val="22"/>
              </w:rPr>
              <w:t xml:space="preserve"> </w:t>
            </w:r>
            <w:r w:rsidRPr="00DA1840">
              <w:rPr>
                <w:rFonts w:eastAsia="Cambria" w:cs="Arial"/>
                <w:color w:val="000000"/>
                <w:sz w:val="22"/>
              </w:rPr>
              <w:t>package</w:t>
            </w:r>
            <w:r>
              <w:rPr>
                <w:rFonts w:eastAsia="Cambria" w:cs="Arial"/>
                <w:color w:val="000000"/>
                <w:sz w:val="22"/>
              </w:rPr>
              <w:t xml:space="preserve"> </w:t>
            </w:r>
            <w:r w:rsidRPr="00DA1840">
              <w:rPr>
                <w:rFonts w:eastAsia="Cambria" w:cs="Arial"/>
                <w:color w:val="000000"/>
                <w:sz w:val="22"/>
              </w:rPr>
              <w:t>is</w:t>
            </w:r>
          </w:p>
        </w:tc>
        <w:tc>
          <w:tcPr>
            <w:tcW w:w="1710" w:type="dxa"/>
            <w:tcBorders>
              <w:top w:val="single" w:sz="8" w:space="0" w:color="000000"/>
              <w:left w:val="single" w:sz="8" w:space="0" w:color="000000"/>
              <w:bottom w:val="single" w:sz="8" w:space="0" w:color="000000"/>
              <w:right w:val="single" w:sz="8" w:space="0" w:color="000000"/>
            </w:tcBorders>
            <w:shd w:val="clear" w:color="auto" w:fill="FFFFFF"/>
          </w:tcPr>
          <w:p w:rsidR="00DA1840" w:rsidRPr="00DA1840" w:rsidRDefault="00DA1840" w:rsidP="00AC12B4">
            <w:pPr>
              <w:widowControl w:val="0"/>
              <w:autoSpaceDE w:val="0"/>
              <w:autoSpaceDN w:val="0"/>
              <w:adjustRightInd w:val="0"/>
              <w:ind w:left="60" w:right="60"/>
              <w:jc w:val="right"/>
              <w:rPr>
                <w:rFonts w:eastAsia="Cambria" w:cs="Arial"/>
                <w:color w:val="000000"/>
                <w:sz w:val="22"/>
              </w:rPr>
            </w:pPr>
            <w:r w:rsidRPr="00DA1840">
              <w:rPr>
                <w:rFonts w:eastAsia="Cambria" w:cs="Arial"/>
                <w:color w:val="000000"/>
                <w:sz w:val="22"/>
              </w:rPr>
              <w:t>.485</w:t>
            </w:r>
          </w:p>
        </w:tc>
        <w:tc>
          <w:tcPr>
            <w:tcW w:w="1710" w:type="dxa"/>
            <w:tcBorders>
              <w:top w:val="single" w:sz="8" w:space="0" w:color="000000"/>
              <w:left w:val="single" w:sz="8" w:space="0" w:color="000000"/>
              <w:bottom w:val="single" w:sz="8" w:space="0" w:color="000000"/>
              <w:right w:val="single" w:sz="8" w:space="0" w:color="000000"/>
            </w:tcBorders>
            <w:shd w:val="clear" w:color="auto" w:fill="FFFFFF"/>
          </w:tcPr>
          <w:p w:rsidR="00DA1840" w:rsidRPr="00DA1840" w:rsidRDefault="00DA1840" w:rsidP="00AC12B4">
            <w:pPr>
              <w:widowControl w:val="0"/>
              <w:autoSpaceDE w:val="0"/>
              <w:autoSpaceDN w:val="0"/>
              <w:adjustRightInd w:val="0"/>
              <w:ind w:left="60" w:right="60"/>
              <w:jc w:val="right"/>
              <w:rPr>
                <w:rFonts w:eastAsia="Cambria" w:cs="Arial"/>
                <w:color w:val="000000"/>
                <w:sz w:val="22"/>
              </w:rPr>
            </w:pPr>
            <w:r w:rsidRPr="00DA1840">
              <w:rPr>
                <w:rFonts w:eastAsia="Cambria" w:cs="Arial"/>
                <w:color w:val="000000"/>
                <w:sz w:val="22"/>
              </w:rPr>
              <w:t>.236</w:t>
            </w:r>
          </w:p>
        </w:tc>
      </w:tr>
      <w:tr w:rsidR="00DA1840" w:rsidRPr="009650AE">
        <w:trPr>
          <w:cantSplit/>
          <w:jc w:val="center"/>
        </w:trPr>
        <w:tc>
          <w:tcPr>
            <w:tcW w:w="594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DA1840" w:rsidRPr="00DA1840" w:rsidRDefault="00DA1840" w:rsidP="00AC12B4">
            <w:pPr>
              <w:widowControl w:val="0"/>
              <w:autoSpaceDE w:val="0"/>
              <w:autoSpaceDN w:val="0"/>
              <w:adjustRightInd w:val="0"/>
              <w:ind w:left="60" w:right="60"/>
              <w:rPr>
                <w:rFonts w:eastAsia="Cambria" w:cs="Arial"/>
                <w:color w:val="000000"/>
                <w:sz w:val="22"/>
              </w:rPr>
            </w:pPr>
            <w:r w:rsidRPr="00DA1840">
              <w:rPr>
                <w:rFonts w:eastAsia="Cambria" w:cs="Arial"/>
                <w:color w:val="000000"/>
                <w:sz w:val="22"/>
              </w:rPr>
              <w:t>I</w:t>
            </w:r>
            <w:r>
              <w:rPr>
                <w:rFonts w:eastAsia="Cambria" w:cs="Arial"/>
                <w:color w:val="000000"/>
                <w:sz w:val="22"/>
              </w:rPr>
              <w:t xml:space="preserve"> </w:t>
            </w:r>
            <w:r w:rsidRPr="00DA1840">
              <w:rPr>
                <w:rFonts w:eastAsia="Cambria" w:cs="Arial"/>
                <w:color w:val="000000"/>
                <w:sz w:val="22"/>
              </w:rPr>
              <w:t>understand</w:t>
            </w:r>
            <w:r>
              <w:rPr>
                <w:rFonts w:eastAsia="Cambria" w:cs="Arial"/>
                <w:color w:val="000000"/>
                <w:sz w:val="22"/>
              </w:rPr>
              <w:t xml:space="preserve"> </w:t>
            </w:r>
            <w:r w:rsidRPr="00DA1840">
              <w:rPr>
                <w:rFonts w:eastAsia="Cambria" w:cs="Arial"/>
                <w:color w:val="000000"/>
                <w:sz w:val="22"/>
              </w:rPr>
              <w:t>the</w:t>
            </w:r>
            <w:r>
              <w:rPr>
                <w:rFonts w:eastAsia="Cambria" w:cs="Arial"/>
                <w:color w:val="000000"/>
                <w:sz w:val="22"/>
              </w:rPr>
              <w:t xml:space="preserve"> </w:t>
            </w:r>
            <w:r w:rsidRPr="00DA1840">
              <w:rPr>
                <w:rFonts w:eastAsia="Cambria" w:cs="Arial"/>
                <w:color w:val="000000"/>
                <w:sz w:val="22"/>
              </w:rPr>
              <w:t>structure</w:t>
            </w:r>
            <w:r>
              <w:rPr>
                <w:rFonts w:eastAsia="Cambria" w:cs="Arial"/>
                <w:color w:val="000000"/>
                <w:sz w:val="22"/>
              </w:rPr>
              <w:t xml:space="preserve"> </w:t>
            </w:r>
            <w:r w:rsidRPr="00DA1840">
              <w:rPr>
                <w:rFonts w:eastAsia="Cambria" w:cs="Arial"/>
                <w:color w:val="000000"/>
                <w:sz w:val="22"/>
              </w:rPr>
              <w:t>of</w:t>
            </w:r>
            <w:r>
              <w:rPr>
                <w:rFonts w:eastAsia="Cambria" w:cs="Arial"/>
                <w:color w:val="000000"/>
                <w:sz w:val="22"/>
              </w:rPr>
              <w:t xml:space="preserve"> </w:t>
            </w:r>
            <w:r w:rsidRPr="00DA1840">
              <w:rPr>
                <w:rFonts w:eastAsia="Cambria" w:cs="Arial"/>
                <w:color w:val="000000"/>
                <w:sz w:val="22"/>
              </w:rPr>
              <w:t>an</w:t>
            </w:r>
            <w:r>
              <w:rPr>
                <w:rFonts w:eastAsia="Cambria" w:cs="Arial"/>
                <w:color w:val="000000"/>
                <w:sz w:val="22"/>
              </w:rPr>
              <w:t xml:space="preserve"> OUT </w:t>
            </w:r>
            <w:r w:rsidRPr="00DA1840">
              <w:rPr>
                <w:rFonts w:eastAsia="Cambria" w:cs="Arial"/>
                <w:color w:val="000000"/>
                <w:sz w:val="22"/>
              </w:rPr>
              <w:t>table</w:t>
            </w:r>
          </w:p>
        </w:tc>
        <w:tc>
          <w:tcPr>
            <w:tcW w:w="1710" w:type="dxa"/>
            <w:tcBorders>
              <w:top w:val="single" w:sz="8" w:space="0" w:color="000000"/>
              <w:left w:val="single" w:sz="8" w:space="0" w:color="000000"/>
              <w:bottom w:val="single" w:sz="8" w:space="0" w:color="000000"/>
              <w:right w:val="single" w:sz="8" w:space="0" w:color="000000"/>
            </w:tcBorders>
            <w:shd w:val="clear" w:color="auto" w:fill="FFFFFF"/>
          </w:tcPr>
          <w:p w:rsidR="00DA1840" w:rsidRPr="00DA1840" w:rsidRDefault="00DA1840" w:rsidP="00AC12B4">
            <w:pPr>
              <w:widowControl w:val="0"/>
              <w:autoSpaceDE w:val="0"/>
              <w:autoSpaceDN w:val="0"/>
              <w:adjustRightInd w:val="0"/>
              <w:ind w:left="60" w:right="60"/>
              <w:jc w:val="right"/>
              <w:rPr>
                <w:rFonts w:eastAsia="Cambria" w:cs="Arial"/>
                <w:color w:val="000000"/>
                <w:sz w:val="22"/>
              </w:rPr>
            </w:pPr>
            <w:r w:rsidRPr="00DA1840">
              <w:rPr>
                <w:rFonts w:eastAsia="Cambria" w:cs="Arial"/>
                <w:color w:val="000000"/>
                <w:sz w:val="22"/>
              </w:rPr>
              <w:t>.735</w:t>
            </w:r>
          </w:p>
        </w:tc>
        <w:tc>
          <w:tcPr>
            <w:tcW w:w="1710" w:type="dxa"/>
            <w:tcBorders>
              <w:top w:val="single" w:sz="8" w:space="0" w:color="000000"/>
              <w:left w:val="single" w:sz="8" w:space="0" w:color="000000"/>
              <w:bottom w:val="single" w:sz="8" w:space="0" w:color="000000"/>
              <w:right w:val="single" w:sz="8" w:space="0" w:color="000000"/>
            </w:tcBorders>
            <w:shd w:val="clear" w:color="auto" w:fill="FFFFFF"/>
          </w:tcPr>
          <w:p w:rsidR="00DA1840" w:rsidRPr="00DA1840" w:rsidRDefault="00DA1840" w:rsidP="00AC12B4">
            <w:pPr>
              <w:widowControl w:val="0"/>
              <w:autoSpaceDE w:val="0"/>
              <w:autoSpaceDN w:val="0"/>
              <w:adjustRightInd w:val="0"/>
              <w:ind w:left="60" w:right="60"/>
              <w:jc w:val="right"/>
              <w:rPr>
                <w:rFonts w:eastAsia="Cambria" w:cs="Arial"/>
                <w:color w:val="000000"/>
                <w:sz w:val="22"/>
              </w:rPr>
            </w:pPr>
            <w:r w:rsidRPr="00DA1840">
              <w:rPr>
                <w:rFonts w:eastAsia="Cambria" w:cs="Arial"/>
                <w:color w:val="000000"/>
                <w:sz w:val="22"/>
              </w:rPr>
              <w:t>.540</w:t>
            </w:r>
          </w:p>
        </w:tc>
      </w:tr>
      <w:tr w:rsidR="00DA1840" w:rsidRPr="009650AE">
        <w:trPr>
          <w:cantSplit/>
          <w:jc w:val="center"/>
        </w:trPr>
        <w:tc>
          <w:tcPr>
            <w:tcW w:w="594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DA1840" w:rsidRPr="00DA1840" w:rsidRDefault="00DA1840" w:rsidP="00AC12B4">
            <w:pPr>
              <w:widowControl w:val="0"/>
              <w:autoSpaceDE w:val="0"/>
              <w:autoSpaceDN w:val="0"/>
              <w:adjustRightInd w:val="0"/>
              <w:ind w:left="60" w:right="60"/>
              <w:rPr>
                <w:rFonts w:eastAsia="Cambria" w:cs="Arial"/>
                <w:color w:val="000000"/>
                <w:sz w:val="22"/>
              </w:rPr>
            </w:pPr>
            <w:r w:rsidRPr="00DA1840">
              <w:rPr>
                <w:rFonts w:eastAsia="Cambria" w:cs="Arial"/>
                <w:color w:val="000000"/>
                <w:sz w:val="22"/>
              </w:rPr>
              <w:t>I</w:t>
            </w:r>
            <w:r>
              <w:rPr>
                <w:rFonts w:eastAsia="Cambria" w:cs="Arial"/>
                <w:color w:val="000000"/>
                <w:sz w:val="22"/>
              </w:rPr>
              <w:t xml:space="preserve"> </w:t>
            </w:r>
            <w:r w:rsidRPr="00DA1840">
              <w:rPr>
                <w:rFonts w:eastAsia="Cambria" w:cs="Arial"/>
                <w:color w:val="000000"/>
                <w:sz w:val="22"/>
              </w:rPr>
              <w:t>know</w:t>
            </w:r>
            <w:r>
              <w:rPr>
                <w:rFonts w:eastAsia="Cambria" w:cs="Arial"/>
                <w:color w:val="000000"/>
                <w:sz w:val="22"/>
              </w:rPr>
              <w:t xml:space="preserve"> </w:t>
            </w:r>
            <w:r w:rsidRPr="00DA1840">
              <w:rPr>
                <w:rFonts w:eastAsia="Cambria" w:cs="Arial"/>
                <w:color w:val="000000"/>
                <w:sz w:val="22"/>
              </w:rPr>
              <w:t>what</w:t>
            </w:r>
            <w:r>
              <w:rPr>
                <w:rFonts w:eastAsia="Cambria" w:cs="Arial"/>
                <w:color w:val="000000"/>
                <w:sz w:val="22"/>
              </w:rPr>
              <w:t xml:space="preserve"> </w:t>
            </w:r>
            <w:r w:rsidRPr="00DA1840">
              <w:rPr>
                <w:rFonts w:eastAsia="Cambria" w:cs="Arial"/>
                <w:color w:val="000000"/>
                <w:sz w:val="22"/>
              </w:rPr>
              <w:t>a</w:t>
            </w:r>
            <w:r>
              <w:rPr>
                <w:rFonts w:eastAsia="Cambria" w:cs="Arial"/>
                <w:color w:val="000000"/>
                <w:sz w:val="22"/>
              </w:rPr>
              <w:t xml:space="preserve"> </w:t>
            </w:r>
            <w:r w:rsidRPr="00DA1840">
              <w:rPr>
                <w:rFonts w:eastAsia="Cambria" w:cs="Arial"/>
                <w:color w:val="000000"/>
                <w:sz w:val="22"/>
              </w:rPr>
              <w:t>kmer</w:t>
            </w:r>
            <w:r>
              <w:rPr>
                <w:rFonts w:eastAsia="Cambria" w:cs="Arial"/>
                <w:color w:val="000000"/>
                <w:sz w:val="22"/>
              </w:rPr>
              <w:t xml:space="preserve"> </w:t>
            </w:r>
            <w:r w:rsidRPr="00DA1840">
              <w:rPr>
                <w:rFonts w:eastAsia="Cambria" w:cs="Arial"/>
                <w:color w:val="000000"/>
                <w:sz w:val="22"/>
              </w:rPr>
              <w:t>is</w:t>
            </w:r>
          </w:p>
        </w:tc>
        <w:tc>
          <w:tcPr>
            <w:tcW w:w="1710" w:type="dxa"/>
            <w:tcBorders>
              <w:top w:val="single" w:sz="8" w:space="0" w:color="000000"/>
              <w:left w:val="single" w:sz="8" w:space="0" w:color="000000"/>
              <w:bottom w:val="single" w:sz="8" w:space="0" w:color="000000"/>
              <w:right w:val="single" w:sz="8" w:space="0" w:color="000000"/>
            </w:tcBorders>
            <w:shd w:val="clear" w:color="auto" w:fill="FFFFFF"/>
          </w:tcPr>
          <w:p w:rsidR="00DA1840" w:rsidRPr="00DA1840" w:rsidRDefault="00DA1840" w:rsidP="00AC12B4">
            <w:pPr>
              <w:widowControl w:val="0"/>
              <w:autoSpaceDE w:val="0"/>
              <w:autoSpaceDN w:val="0"/>
              <w:adjustRightInd w:val="0"/>
              <w:ind w:left="60" w:right="60"/>
              <w:jc w:val="right"/>
              <w:rPr>
                <w:rFonts w:eastAsia="Cambria" w:cs="Arial"/>
                <w:color w:val="000000"/>
                <w:sz w:val="22"/>
              </w:rPr>
            </w:pPr>
            <w:r w:rsidRPr="00DA1840">
              <w:rPr>
                <w:rFonts w:eastAsia="Cambria" w:cs="Arial"/>
                <w:color w:val="000000"/>
                <w:sz w:val="22"/>
              </w:rPr>
              <w:t>.629</w:t>
            </w:r>
          </w:p>
        </w:tc>
        <w:tc>
          <w:tcPr>
            <w:tcW w:w="1710" w:type="dxa"/>
            <w:tcBorders>
              <w:top w:val="single" w:sz="8" w:space="0" w:color="000000"/>
              <w:left w:val="single" w:sz="8" w:space="0" w:color="000000"/>
              <w:bottom w:val="single" w:sz="8" w:space="0" w:color="000000"/>
              <w:right w:val="single" w:sz="8" w:space="0" w:color="000000"/>
            </w:tcBorders>
            <w:shd w:val="clear" w:color="auto" w:fill="FFFFFF"/>
          </w:tcPr>
          <w:p w:rsidR="00DA1840" w:rsidRPr="00DA1840" w:rsidRDefault="00DA1840" w:rsidP="00AC12B4">
            <w:pPr>
              <w:widowControl w:val="0"/>
              <w:autoSpaceDE w:val="0"/>
              <w:autoSpaceDN w:val="0"/>
              <w:adjustRightInd w:val="0"/>
              <w:ind w:left="60" w:right="60"/>
              <w:jc w:val="right"/>
              <w:rPr>
                <w:rFonts w:eastAsia="Cambria" w:cs="Arial"/>
                <w:color w:val="000000"/>
                <w:sz w:val="22"/>
              </w:rPr>
            </w:pPr>
            <w:r w:rsidRPr="00DA1840">
              <w:rPr>
                <w:rFonts w:eastAsia="Cambria" w:cs="Arial"/>
                <w:color w:val="000000"/>
                <w:sz w:val="22"/>
              </w:rPr>
              <w:t>.396</w:t>
            </w:r>
          </w:p>
        </w:tc>
      </w:tr>
      <w:tr w:rsidR="00DA1840" w:rsidRPr="009650AE">
        <w:trPr>
          <w:cantSplit/>
          <w:jc w:val="center"/>
        </w:trPr>
        <w:tc>
          <w:tcPr>
            <w:tcW w:w="594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DA1840" w:rsidRPr="00DA1840" w:rsidRDefault="00DA1840" w:rsidP="00AC12B4">
            <w:pPr>
              <w:widowControl w:val="0"/>
              <w:autoSpaceDE w:val="0"/>
              <w:autoSpaceDN w:val="0"/>
              <w:adjustRightInd w:val="0"/>
              <w:ind w:left="60" w:right="60"/>
              <w:rPr>
                <w:rFonts w:eastAsia="Cambria" w:cs="Arial"/>
                <w:color w:val="000000"/>
                <w:sz w:val="22"/>
              </w:rPr>
            </w:pPr>
            <w:r w:rsidRPr="00DA1840">
              <w:rPr>
                <w:rFonts w:eastAsia="Cambria" w:cs="Arial"/>
                <w:color w:val="000000"/>
                <w:sz w:val="22"/>
              </w:rPr>
              <w:t>I</w:t>
            </w:r>
            <w:r>
              <w:rPr>
                <w:rFonts w:eastAsia="Cambria" w:cs="Arial"/>
                <w:color w:val="000000"/>
                <w:sz w:val="22"/>
              </w:rPr>
              <w:t xml:space="preserve"> </w:t>
            </w:r>
            <w:r w:rsidRPr="00DA1840">
              <w:rPr>
                <w:rFonts w:eastAsia="Cambria" w:cs="Arial"/>
                <w:color w:val="000000"/>
                <w:sz w:val="22"/>
              </w:rPr>
              <w:t>know</w:t>
            </w:r>
            <w:r>
              <w:rPr>
                <w:rFonts w:eastAsia="Cambria" w:cs="Arial"/>
                <w:color w:val="000000"/>
                <w:sz w:val="22"/>
              </w:rPr>
              <w:t xml:space="preserve"> </w:t>
            </w:r>
            <w:r w:rsidRPr="00DA1840">
              <w:rPr>
                <w:rFonts w:eastAsia="Cambria" w:cs="Arial"/>
                <w:color w:val="000000"/>
                <w:sz w:val="22"/>
              </w:rPr>
              <w:t>the</w:t>
            </w:r>
            <w:r>
              <w:rPr>
                <w:rFonts w:eastAsia="Cambria" w:cs="Arial"/>
                <w:color w:val="000000"/>
                <w:sz w:val="22"/>
              </w:rPr>
              <w:t xml:space="preserve"> </w:t>
            </w:r>
            <w:r w:rsidRPr="00DA1840">
              <w:rPr>
                <w:rFonts w:eastAsia="Cambria" w:cs="Arial"/>
                <w:color w:val="000000"/>
                <w:sz w:val="22"/>
              </w:rPr>
              <w:t>difference</w:t>
            </w:r>
            <w:r>
              <w:rPr>
                <w:rFonts w:eastAsia="Cambria" w:cs="Arial"/>
                <w:color w:val="000000"/>
                <w:sz w:val="22"/>
              </w:rPr>
              <w:t xml:space="preserve"> </w:t>
            </w:r>
            <w:r w:rsidRPr="00DA1840">
              <w:rPr>
                <w:rFonts w:eastAsia="Cambria" w:cs="Arial"/>
                <w:color w:val="000000"/>
                <w:sz w:val="22"/>
              </w:rPr>
              <w:t>between</w:t>
            </w:r>
            <w:r>
              <w:rPr>
                <w:rFonts w:eastAsia="Cambria" w:cs="Arial"/>
                <w:color w:val="000000"/>
                <w:sz w:val="22"/>
              </w:rPr>
              <w:t xml:space="preserve"> </w:t>
            </w:r>
            <w:r w:rsidRPr="00DA1840">
              <w:rPr>
                <w:rFonts w:eastAsia="Cambria" w:cs="Arial"/>
                <w:color w:val="000000"/>
                <w:sz w:val="22"/>
              </w:rPr>
              <w:t>alpha</w:t>
            </w:r>
            <w:r>
              <w:rPr>
                <w:rFonts w:eastAsia="Cambria" w:cs="Arial"/>
                <w:color w:val="000000"/>
                <w:sz w:val="22"/>
              </w:rPr>
              <w:t xml:space="preserve"> </w:t>
            </w:r>
            <w:r w:rsidRPr="00DA1840">
              <w:rPr>
                <w:rFonts w:eastAsia="Cambria" w:cs="Arial"/>
                <w:color w:val="000000"/>
                <w:sz w:val="22"/>
              </w:rPr>
              <w:t>and</w:t>
            </w:r>
            <w:r>
              <w:rPr>
                <w:rFonts w:eastAsia="Cambria" w:cs="Arial"/>
                <w:color w:val="000000"/>
                <w:sz w:val="22"/>
              </w:rPr>
              <w:t xml:space="preserve"> </w:t>
            </w:r>
            <w:r w:rsidRPr="00DA1840">
              <w:rPr>
                <w:rFonts w:eastAsia="Cambria" w:cs="Arial"/>
                <w:color w:val="000000"/>
                <w:sz w:val="22"/>
              </w:rPr>
              <w:t>beta</w:t>
            </w:r>
            <w:r>
              <w:rPr>
                <w:rFonts w:eastAsia="Cambria" w:cs="Arial"/>
                <w:color w:val="000000"/>
                <w:sz w:val="22"/>
              </w:rPr>
              <w:t xml:space="preserve"> </w:t>
            </w:r>
            <w:r w:rsidRPr="00DA1840">
              <w:rPr>
                <w:rFonts w:eastAsia="Cambria" w:cs="Arial"/>
                <w:color w:val="000000"/>
                <w:sz w:val="22"/>
              </w:rPr>
              <w:t>diversity</w:t>
            </w:r>
          </w:p>
        </w:tc>
        <w:tc>
          <w:tcPr>
            <w:tcW w:w="1710" w:type="dxa"/>
            <w:tcBorders>
              <w:top w:val="single" w:sz="8" w:space="0" w:color="000000"/>
              <w:left w:val="single" w:sz="8" w:space="0" w:color="000000"/>
              <w:bottom w:val="single" w:sz="8" w:space="0" w:color="000000"/>
              <w:right w:val="single" w:sz="8" w:space="0" w:color="000000"/>
            </w:tcBorders>
            <w:shd w:val="clear" w:color="auto" w:fill="FFFFFF"/>
          </w:tcPr>
          <w:p w:rsidR="00DA1840" w:rsidRPr="00DA1840" w:rsidRDefault="00DA1840" w:rsidP="00AC12B4">
            <w:pPr>
              <w:widowControl w:val="0"/>
              <w:autoSpaceDE w:val="0"/>
              <w:autoSpaceDN w:val="0"/>
              <w:adjustRightInd w:val="0"/>
              <w:ind w:left="60" w:right="60"/>
              <w:jc w:val="right"/>
              <w:rPr>
                <w:rFonts w:eastAsia="Cambria" w:cs="Arial"/>
                <w:color w:val="000000"/>
                <w:sz w:val="22"/>
              </w:rPr>
            </w:pPr>
            <w:r w:rsidRPr="00DA1840">
              <w:rPr>
                <w:rFonts w:eastAsia="Cambria" w:cs="Arial"/>
                <w:color w:val="000000"/>
                <w:sz w:val="22"/>
              </w:rPr>
              <w:t>.639</w:t>
            </w:r>
          </w:p>
        </w:tc>
        <w:tc>
          <w:tcPr>
            <w:tcW w:w="1710" w:type="dxa"/>
            <w:tcBorders>
              <w:top w:val="single" w:sz="8" w:space="0" w:color="000000"/>
              <w:left w:val="single" w:sz="8" w:space="0" w:color="000000"/>
              <w:bottom w:val="single" w:sz="8" w:space="0" w:color="000000"/>
              <w:right w:val="single" w:sz="8" w:space="0" w:color="000000"/>
            </w:tcBorders>
            <w:shd w:val="clear" w:color="auto" w:fill="FFFFFF"/>
          </w:tcPr>
          <w:p w:rsidR="00DA1840" w:rsidRPr="00DA1840" w:rsidRDefault="00DA1840" w:rsidP="00AC12B4">
            <w:pPr>
              <w:widowControl w:val="0"/>
              <w:autoSpaceDE w:val="0"/>
              <w:autoSpaceDN w:val="0"/>
              <w:adjustRightInd w:val="0"/>
              <w:ind w:left="60" w:right="60"/>
              <w:jc w:val="right"/>
              <w:rPr>
                <w:rFonts w:eastAsia="Cambria" w:cs="Arial"/>
                <w:color w:val="000000"/>
                <w:sz w:val="22"/>
              </w:rPr>
            </w:pPr>
            <w:r w:rsidRPr="00DA1840">
              <w:rPr>
                <w:rFonts w:eastAsia="Cambria" w:cs="Arial"/>
                <w:color w:val="000000"/>
                <w:sz w:val="22"/>
              </w:rPr>
              <w:t>.409</w:t>
            </w:r>
          </w:p>
        </w:tc>
      </w:tr>
      <w:tr w:rsidR="00DA1840" w:rsidRPr="009650AE">
        <w:trPr>
          <w:cantSplit/>
          <w:jc w:val="center"/>
        </w:trPr>
        <w:tc>
          <w:tcPr>
            <w:tcW w:w="594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DA1840" w:rsidRPr="00DA1840" w:rsidRDefault="00DA1840" w:rsidP="00AC12B4">
            <w:pPr>
              <w:widowControl w:val="0"/>
              <w:autoSpaceDE w:val="0"/>
              <w:autoSpaceDN w:val="0"/>
              <w:adjustRightInd w:val="0"/>
              <w:ind w:left="60" w:right="60"/>
              <w:rPr>
                <w:rFonts w:eastAsia="Cambria" w:cs="Arial"/>
                <w:color w:val="000000"/>
                <w:sz w:val="22"/>
              </w:rPr>
            </w:pPr>
            <w:r w:rsidRPr="00DA1840">
              <w:rPr>
                <w:rFonts w:eastAsia="Cambria" w:cs="Arial"/>
                <w:color w:val="000000"/>
                <w:sz w:val="22"/>
              </w:rPr>
              <w:t>I</w:t>
            </w:r>
            <w:r>
              <w:rPr>
                <w:rFonts w:eastAsia="Cambria" w:cs="Arial"/>
                <w:color w:val="000000"/>
                <w:sz w:val="22"/>
              </w:rPr>
              <w:t xml:space="preserve"> </w:t>
            </w:r>
            <w:r w:rsidRPr="00DA1840">
              <w:rPr>
                <w:rFonts w:eastAsia="Cambria" w:cs="Arial"/>
                <w:color w:val="000000"/>
                <w:sz w:val="22"/>
              </w:rPr>
              <w:t>know</w:t>
            </w:r>
            <w:r>
              <w:rPr>
                <w:rFonts w:eastAsia="Cambria" w:cs="Arial"/>
                <w:color w:val="000000"/>
                <w:sz w:val="22"/>
              </w:rPr>
              <w:t xml:space="preserve"> </w:t>
            </w:r>
            <w:r w:rsidRPr="00DA1840">
              <w:rPr>
                <w:rFonts w:eastAsia="Cambria" w:cs="Arial"/>
                <w:color w:val="000000"/>
                <w:sz w:val="22"/>
              </w:rPr>
              <w:t>how</w:t>
            </w:r>
            <w:r>
              <w:rPr>
                <w:rFonts w:eastAsia="Cambria" w:cs="Arial"/>
                <w:color w:val="000000"/>
                <w:sz w:val="22"/>
              </w:rPr>
              <w:t xml:space="preserve"> </w:t>
            </w:r>
            <w:r w:rsidRPr="00DA1840">
              <w:rPr>
                <w:rFonts w:eastAsia="Cambria" w:cs="Arial"/>
                <w:color w:val="000000"/>
                <w:sz w:val="22"/>
              </w:rPr>
              <w:t>to</w:t>
            </w:r>
            <w:r>
              <w:rPr>
                <w:rFonts w:eastAsia="Cambria" w:cs="Arial"/>
                <w:color w:val="000000"/>
                <w:sz w:val="22"/>
              </w:rPr>
              <w:t xml:space="preserve"> </w:t>
            </w:r>
            <w:r w:rsidRPr="00DA1840">
              <w:rPr>
                <w:rFonts w:eastAsia="Cambria" w:cs="Arial"/>
                <w:color w:val="000000"/>
                <w:sz w:val="22"/>
              </w:rPr>
              <w:t>visualize</w:t>
            </w:r>
            <w:r>
              <w:rPr>
                <w:rFonts w:eastAsia="Cambria" w:cs="Arial"/>
                <w:color w:val="000000"/>
                <w:sz w:val="22"/>
              </w:rPr>
              <w:t xml:space="preserve"> </w:t>
            </w:r>
            <w:r w:rsidRPr="00DA1840">
              <w:rPr>
                <w:rFonts w:eastAsia="Cambria" w:cs="Arial"/>
                <w:color w:val="000000"/>
                <w:sz w:val="22"/>
              </w:rPr>
              <w:t>microbial</w:t>
            </w:r>
            <w:r>
              <w:rPr>
                <w:rFonts w:eastAsia="Cambria" w:cs="Arial"/>
                <w:color w:val="000000"/>
                <w:sz w:val="22"/>
              </w:rPr>
              <w:t xml:space="preserve"> </w:t>
            </w:r>
            <w:r w:rsidRPr="00DA1840">
              <w:rPr>
                <w:rFonts w:eastAsia="Cambria" w:cs="Arial"/>
                <w:color w:val="000000"/>
                <w:sz w:val="22"/>
              </w:rPr>
              <w:t>metagenomic</w:t>
            </w:r>
            <w:r>
              <w:rPr>
                <w:rFonts w:eastAsia="Cambria" w:cs="Arial"/>
                <w:color w:val="000000"/>
                <w:sz w:val="22"/>
              </w:rPr>
              <w:t xml:space="preserve"> </w:t>
            </w:r>
            <w:r w:rsidRPr="00DA1840">
              <w:rPr>
                <w:rFonts w:eastAsia="Cambria" w:cs="Arial"/>
                <w:color w:val="000000"/>
                <w:sz w:val="22"/>
              </w:rPr>
              <w:t>data</w:t>
            </w:r>
          </w:p>
        </w:tc>
        <w:tc>
          <w:tcPr>
            <w:tcW w:w="1710" w:type="dxa"/>
            <w:tcBorders>
              <w:top w:val="single" w:sz="8" w:space="0" w:color="000000"/>
              <w:left w:val="single" w:sz="8" w:space="0" w:color="000000"/>
              <w:bottom w:val="single" w:sz="8" w:space="0" w:color="000000"/>
              <w:right w:val="single" w:sz="8" w:space="0" w:color="000000"/>
            </w:tcBorders>
            <w:shd w:val="clear" w:color="auto" w:fill="FFFFFF"/>
          </w:tcPr>
          <w:p w:rsidR="00DA1840" w:rsidRPr="00DA1840" w:rsidRDefault="00DA1840" w:rsidP="00AC12B4">
            <w:pPr>
              <w:widowControl w:val="0"/>
              <w:autoSpaceDE w:val="0"/>
              <w:autoSpaceDN w:val="0"/>
              <w:adjustRightInd w:val="0"/>
              <w:ind w:left="60" w:right="60"/>
              <w:jc w:val="right"/>
              <w:rPr>
                <w:rFonts w:eastAsia="Cambria" w:cs="Arial"/>
                <w:color w:val="000000"/>
                <w:sz w:val="22"/>
              </w:rPr>
            </w:pPr>
            <w:r w:rsidRPr="00DA1840">
              <w:rPr>
                <w:rFonts w:eastAsia="Cambria" w:cs="Arial"/>
                <w:color w:val="000000"/>
                <w:sz w:val="22"/>
              </w:rPr>
              <w:t>.686</w:t>
            </w:r>
          </w:p>
        </w:tc>
        <w:tc>
          <w:tcPr>
            <w:tcW w:w="1710" w:type="dxa"/>
            <w:tcBorders>
              <w:top w:val="single" w:sz="8" w:space="0" w:color="000000"/>
              <w:left w:val="single" w:sz="8" w:space="0" w:color="000000"/>
              <w:bottom w:val="single" w:sz="8" w:space="0" w:color="000000"/>
              <w:right w:val="single" w:sz="8" w:space="0" w:color="000000"/>
            </w:tcBorders>
            <w:shd w:val="clear" w:color="auto" w:fill="FFFFFF"/>
          </w:tcPr>
          <w:p w:rsidR="00DA1840" w:rsidRPr="00DA1840" w:rsidRDefault="00DA1840" w:rsidP="00AC12B4">
            <w:pPr>
              <w:widowControl w:val="0"/>
              <w:autoSpaceDE w:val="0"/>
              <w:autoSpaceDN w:val="0"/>
              <w:adjustRightInd w:val="0"/>
              <w:ind w:left="60" w:right="60"/>
              <w:jc w:val="right"/>
              <w:rPr>
                <w:rFonts w:eastAsia="Cambria" w:cs="Arial"/>
                <w:color w:val="000000"/>
                <w:sz w:val="22"/>
              </w:rPr>
            </w:pPr>
            <w:r w:rsidRPr="00DA1840">
              <w:rPr>
                <w:rFonts w:eastAsia="Cambria" w:cs="Arial"/>
                <w:color w:val="000000"/>
                <w:sz w:val="22"/>
              </w:rPr>
              <w:t>.471</w:t>
            </w:r>
          </w:p>
        </w:tc>
      </w:tr>
      <w:tr w:rsidR="00DA1840" w:rsidRPr="009650AE">
        <w:trPr>
          <w:cantSplit/>
          <w:jc w:val="center"/>
        </w:trPr>
        <w:tc>
          <w:tcPr>
            <w:tcW w:w="594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DA1840" w:rsidRPr="00DA1840" w:rsidRDefault="00DA1840" w:rsidP="00AC12B4">
            <w:pPr>
              <w:widowControl w:val="0"/>
              <w:autoSpaceDE w:val="0"/>
              <w:autoSpaceDN w:val="0"/>
              <w:adjustRightInd w:val="0"/>
              <w:ind w:left="60" w:right="60"/>
              <w:rPr>
                <w:rFonts w:eastAsia="Cambria" w:cs="Arial"/>
                <w:color w:val="000000"/>
                <w:sz w:val="22"/>
              </w:rPr>
            </w:pPr>
            <w:r w:rsidRPr="00DA1840">
              <w:rPr>
                <w:rFonts w:eastAsia="Cambria" w:cs="Arial"/>
                <w:color w:val="000000"/>
                <w:sz w:val="22"/>
              </w:rPr>
              <w:t>I</w:t>
            </w:r>
            <w:r>
              <w:rPr>
                <w:rFonts w:eastAsia="Cambria" w:cs="Arial"/>
                <w:color w:val="000000"/>
                <w:sz w:val="22"/>
              </w:rPr>
              <w:t xml:space="preserve"> </w:t>
            </w:r>
            <w:r w:rsidRPr="00DA1840">
              <w:rPr>
                <w:rFonts w:eastAsia="Cambria" w:cs="Arial"/>
                <w:color w:val="000000"/>
                <w:sz w:val="22"/>
              </w:rPr>
              <w:t>know</w:t>
            </w:r>
            <w:r>
              <w:rPr>
                <w:rFonts w:eastAsia="Cambria" w:cs="Arial"/>
                <w:color w:val="000000"/>
                <w:sz w:val="22"/>
              </w:rPr>
              <w:t xml:space="preserve"> </w:t>
            </w:r>
            <w:r w:rsidRPr="00DA1840">
              <w:rPr>
                <w:rFonts w:eastAsia="Cambria" w:cs="Arial"/>
                <w:color w:val="000000"/>
                <w:sz w:val="22"/>
              </w:rPr>
              <w:t>how</w:t>
            </w:r>
            <w:r>
              <w:rPr>
                <w:rFonts w:eastAsia="Cambria" w:cs="Arial"/>
                <w:color w:val="000000"/>
                <w:sz w:val="22"/>
              </w:rPr>
              <w:t xml:space="preserve"> </w:t>
            </w:r>
            <w:r w:rsidRPr="00DA1840">
              <w:rPr>
                <w:rFonts w:eastAsia="Cambria" w:cs="Arial"/>
                <w:color w:val="000000"/>
                <w:sz w:val="22"/>
              </w:rPr>
              <w:t>to</w:t>
            </w:r>
            <w:r>
              <w:rPr>
                <w:rFonts w:eastAsia="Cambria" w:cs="Arial"/>
                <w:color w:val="000000"/>
                <w:sz w:val="22"/>
              </w:rPr>
              <w:t xml:space="preserve"> </w:t>
            </w:r>
            <w:r w:rsidRPr="00DA1840">
              <w:rPr>
                <w:rFonts w:eastAsia="Cambria" w:cs="Arial"/>
                <w:color w:val="000000"/>
                <w:sz w:val="22"/>
              </w:rPr>
              <w:t>use</w:t>
            </w:r>
            <w:r>
              <w:rPr>
                <w:rFonts w:eastAsia="Cambria" w:cs="Arial"/>
                <w:color w:val="000000"/>
                <w:sz w:val="22"/>
              </w:rPr>
              <w:t xml:space="preserve"> </w:t>
            </w:r>
            <w:r w:rsidRPr="00DA1840">
              <w:rPr>
                <w:rFonts w:eastAsia="Cambria" w:cs="Arial"/>
                <w:color w:val="000000"/>
                <w:sz w:val="22"/>
              </w:rPr>
              <w:t>metadata</w:t>
            </w:r>
            <w:r>
              <w:rPr>
                <w:rFonts w:eastAsia="Cambria" w:cs="Arial"/>
                <w:color w:val="000000"/>
                <w:sz w:val="22"/>
              </w:rPr>
              <w:t xml:space="preserve"> </w:t>
            </w:r>
            <w:r w:rsidRPr="00DA1840">
              <w:rPr>
                <w:rFonts w:eastAsia="Cambria" w:cs="Arial"/>
                <w:color w:val="000000"/>
                <w:sz w:val="22"/>
              </w:rPr>
              <w:t>to</w:t>
            </w:r>
            <w:r>
              <w:rPr>
                <w:rFonts w:eastAsia="Cambria" w:cs="Arial"/>
                <w:color w:val="000000"/>
                <w:sz w:val="22"/>
              </w:rPr>
              <w:t xml:space="preserve"> </w:t>
            </w:r>
            <w:r w:rsidRPr="00DA1840">
              <w:rPr>
                <w:rFonts w:eastAsia="Cambria" w:cs="Arial"/>
                <w:color w:val="000000"/>
                <w:sz w:val="22"/>
              </w:rPr>
              <w:t>guide</w:t>
            </w:r>
            <w:r>
              <w:rPr>
                <w:rFonts w:eastAsia="Cambria" w:cs="Arial"/>
                <w:color w:val="000000"/>
                <w:sz w:val="22"/>
              </w:rPr>
              <w:t xml:space="preserve"> </w:t>
            </w:r>
            <w:r w:rsidRPr="00DA1840">
              <w:rPr>
                <w:rFonts w:eastAsia="Cambria" w:cs="Arial"/>
                <w:color w:val="000000"/>
                <w:sz w:val="22"/>
              </w:rPr>
              <w:t>community</w:t>
            </w:r>
            <w:r>
              <w:rPr>
                <w:rFonts w:eastAsia="Cambria" w:cs="Arial"/>
                <w:color w:val="000000"/>
                <w:sz w:val="22"/>
              </w:rPr>
              <w:t xml:space="preserve"> </w:t>
            </w:r>
            <w:r w:rsidRPr="00DA1840">
              <w:rPr>
                <w:rFonts w:eastAsia="Cambria" w:cs="Arial"/>
                <w:color w:val="000000"/>
                <w:sz w:val="22"/>
              </w:rPr>
              <w:t>analyses</w:t>
            </w:r>
          </w:p>
        </w:tc>
        <w:tc>
          <w:tcPr>
            <w:tcW w:w="1710" w:type="dxa"/>
            <w:tcBorders>
              <w:top w:val="single" w:sz="8" w:space="0" w:color="000000"/>
              <w:left w:val="single" w:sz="8" w:space="0" w:color="000000"/>
              <w:bottom w:val="single" w:sz="8" w:space="0" w:color="000000"/>
              <w:right w:val="single" w:sz="8" w:space="0" w:color="000000"/>
            </w:tcBorders>
            <w:shd w:val="clear" w:color="auto" w:fill="FFFFFF"/>
          </w:tcPr>
          <w:p w:rsidR="00DA1840" w:rsidRPr="00DA1840" w:rsidRDefault="00DA1840" w:rsidP="00AC12B4">
            <w:pPr>
              <w:widowControl w:val="0"/>
              <w:autoSpaceDE w:val="0"/>
              <w:autoSpaceDN w:val="0"/>
              <w:adjustRightInd w:val="0"/>
              <w:ind w:left="60" w:right="60"/>
              <w:jc w:val="right"/>
              <w:rPr>
                <w:rFonts w:eastAsia="Cambria" w:cs="Arial"/>
                <w:color w:val="000000"/>
                <w:sz w:val="22"/>
              </w:rPr>
            </w:pPr>
            <w:r w:rsidRPr="00DA1840">
              <w:rPr>
                <w:rFonts w:eastAsia="Cambria" w:cs="Arial"/>
                <w:color w:val="000000"/>
                <w:sz w:val="22"/>
              </w:rPr>
              <w:t>.847</w:t>
            </w:r>
          </w:p>
        </w:tc>
        <w:tc>
          <w:tcPr>
            <w:tcW w:w="1710" w:type="dxa"/>
            <w:tcBorders>
              <w:top w:val="single" w:sz="8" w:space="0" w:color="000000"/>
              <w:left w:val="single" w:sz="8" w:space="0" w:color="000000"/>
              <w:bottom w:val="single" w:sz="8" w:space="0" w:color="000000"/>
              <w:right w:val="single" w:sz="8" w:space="0" w:color="000000"/>
            </w:tcBorders>
            <w:shd w:val="clear" w:color="auto" w:fill="FFFFFF"/>
          </w:tcPr>
          <w:p w:rsidR="00DA1840" w:rsidRPr="00DA1840" w:rsidRDefault="00DA1840" w:rsidP="00AC12B4">
            <w:pPr>
              <w:widowControl w:val="0"/>
              <w:autoSpaceDE w:val="0"/>
              <w:autoSpaceDN w:val="0"/>
              <w:adjustRightInd w:val="0"/>
              <w:ind w:left="60" w:right="60"/>
              <w:jc w:val="right"/>
              <w:rPr>
                <w:rFonts w:eastAsia="Cambria" w:cs="Arial"/>
                <w:color w:val="000000"/>
                <w:sz w:val="22"/>
              </w:rPr>
            </w:pPr>
            <w:r w:rsidRPr="00DA1840">
              <w:rPr>
                <w:rFonts w:eastAsia="Cambria" w:cs="Arial"/>
                <w:color w:val="000000"/>
                <w:sz w:val="22"/>
              </w:rPr>
              <w:t>.717</w:t>
            </w:r>
          </w:p>
        </w:tc>
      </w:tr>
      <w:tr w:rsidR="00DA1840" w:rsidRPr="009650AE">
        <w:trPr>
          <w:cantSplit/>
          <w:jc w:val="center"/>
        </w:trPr>
        <w:tc>
          <w:tcPr>
            <w:tcW w:w="594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DA1840" w:rsidRPr="00DA1840" w:rsidRDefault="00DA1840" w:rsidP="00AC12B4">
            <w:pPr>
              <w:widowControl w:val="0"/>
              <w:autoSpaceDE w:val="0"/>
              <w:autoSpaceDN w:val="0"/>
              <w:adjustRightInd w:val="0"/>
              <w:ind w:left="60" w:right="60"/>
              <w:rPr>
                <w:rFonts w:eastAsia="Cambria" w:cs="Arial"/>
                <w:color w:val="000000"/>
                <w:sz w:val="22"/>
              </w:rPr>
            </w:pPr>
            <w:r w:rsidRPr="00DA1840">
              <w:rPr>
                <w:rFonts w:eastAsia="Cambria" w:cs="Arial"/>
                <w:color w:val="000000"/>
                <w:sz w:val="22"/>
              </w:rPr>
              <w:t>I</w:t>
            </w:r>
            <w:r>
              <w:rPr>
                <w:rFonts w:eastAsia="Cambria" w:cs="Arial"/>
                <w:color w:val="000000"/>
                <w:sz w:val="22"/>
              </w:rPr>
              <w:t xml:space="preserve"> </w:t>
            </w:r>
            <w:r w:rsidRPr="00DA1840">
              <w:rPr>
                <w:rFonts w:eastAsia="Cambria" w:cs="Arial"/>
                <w:color w:val="000000"/>
                <w:sz w:val="22"/>
              </w:rPr>
              <w:t>know</w:t>
            </w:r>
            <w:r>
              <w:rPr>
                <w:rFonts w:eastAsia="Cambria" w:cs="Arial"/>
                <w:color w:val="000000"/>
                <w:sz w:val="22"/>
              </w:rPr>
              <w:t xml:space="preserve"> </w:t>
            </w:r>
            <w:r w:rsidRPr="00DA1840">
              <w:rPr>
                <w:rFonts w:eastAsia="Cambria" w:cs="Arial"/>
                <w:color w:val="000000"/>
                <w:sz w:val="22"/>
              </w:rPr>
              <w:t>how</w:t>
            </w:r>
            <w:r>
              <w:rPr>
                <w:rFonts w:eastAsia="Cambria" w:cs="Arial"/>
                <w:color w:val="000000"/>
                <w:sz w:val="22"/>
              </w:rPr>
              <w:t xml:space="preserve"> </w:t>
            </w:r>
            <w:r w:rsidRPr="00DA1840">
              <w:rPr>
                <w:rFonts w:eastAsia="Cambria" w:cs="Arial"/>
                <w:color w:val="000000"/>
                <w:sz w:val="22"/>
              </w:rPr>
              <w:t>to</w:t>
            </w:r>
            <w:r>
              <w:rPr>
                <w:rFonts w:eastAsia="Cambria" w:cs="Arial"/>
                <w:color w:val="000000"/>
                <w:sz w:val="22"/>
              </w:rPr>
              <w:t xml:space="preserve"> </w:t>
            </w:r>
            <w:r w:rsidRPr="00DA1840">
              <w:rPr>
                <w:rFonts w:eastAsia="Cambria" w:cs="Arial"/>
                <w:color w:val="000000"/>
                <w:sz w:val="22"/>
              </w:rPr>
              <w:t>assemble</w:t>
            </w:r>
            <w:r>
              <w:rPr>
                <w:rFonts w:eastAsia="Cambria" w:cs="Arial"/>
                <w:color w:val="000000"/>
                <w:sz w:val="22"/>
              </w:rPr>
              <w:t xml:space="preserve"> </w:t>
            </w:r>
            <w:r w:rsidRPr="00DA1840">
              <w:rPr>
                <w:rFonts w:eastAsia="Cambria" w:cs="Arial"/>
                <w:color w:val="000000"/>
                <w:sz w:val="22"/>
              </w:rPr>
              <w:t>shotgun</w:t>
            </w:r>
            <w:r>
              <w:rPr>
                <w:rFonts w:eastAsia="Cambria" w:cs="Arial"/>
                <w:color w:val="000000"/>
                <w:sz w:val="22"/>
              </w:rPr>
              <w:t xml:space="preserve"> </w:t>
            </w:r>
            <w:r w:rsidRPr="00DA1840">
              <w:rPr>
                <w:rFonts w:eastAsia="Cambria" w:cs="Arial"/>
                <w:color w:val="000000"/>
                <w:sz w:val="22"/>
              </w:rPr>
              <w:t>metagenomic</w:t>
            </w:r>
            <w:r>
              <w:rPr>
                <w:rFonts w:eastAsia="Cambria" w:cs="Arial"/>
                <w:color w:val="000000"/>
                <w:sz w:val="22"/>
              </w:rPr>
              <w:t xml:space="preserve"> </w:t>
            </w:r>
            <w:r w:rsidRPr="00DA1840">
              <w:rPr>
                <w:rFonts w:eastAsia="Cambria" w:cs="Arial"/>
                <w:color w:val="000000"/>
                <w:sz w:val="22"/>
              </w:rPr>
              <w:t>data</w:t>
            </w:r>
          </w:p>
        </w:tc>
        <w:tc>
          <w:tcPr>
            <w:tcW w:w="1710" w:type="dxa"/>
            <w:tcBorders>
              <w:top w:val="single" w:sz="8" w:space="0" w:color="000000"/>
              <w:left w:val="single" w:sz="8" w:space="0" w:color="000000"/>
              <w:bottom w:val="single" w:sz="8" w:space="0" w:color="000000"/>
              <w:right w:val="single" w:sz="8" w:space="0" w:color="000000"/>
            </w:tcBorders>
            <w:shd w:val="clear" w:color="auto" w:fill="FFFFFF"/>
          </w:tcPr>
          <w:p w:rsidR="00DA1840" w:rsidRPr="00DA1840" w:rsidRDefault="00DA1840" w:rsidP="00AC12B4">
            <w:pPr>
              <w:widowControl w:val="0"/>
              <w:autoSpaceDE w:val="0"/>
              <w:autoSpaceDN w:val="0"/>
              <w:adjustRightInd w:val="0"/>
              <w:ind w:left="60" w:right="60"/>
              <w:jc w:val="right"/>
              <w:rPr>
                <w:rFonts w:eastAsia="Cambria" w:cs="Arial"/>
                <w:color w:val="000000"/>
                <w:sz w:val="22"/>
              </w:rPr>
            </w:pPr>
            <w:r w:rsidRPr="00DA1840">
              <w:rPr>
                <w:rFonts w:eastAsia="Cambria" w:cs="Arial"/>
                <w:color w:val="000000"/>
                <w:sz w:val="22"/>
              </w:rPr>
              <w:t>.388</w:t>
            </w:r>
          </w:p>
        </w:tc>
        <w:tc>
          <w:tcPr>
            <w:tcW w:w="1710" w:type="dxa"/>
            <w:tcBorders>
              <w:top w:val="single" w:sz="8" w:space="0" w:color="000000"/>
              <w:left w:val="single" w:sz="8" w:space="0" w:color="000000"/>
              <w:bottom w:val="single" w:sz="8" w:space="0" w:color="000000"/>
              <w:right w:val="single" w:sz="8" w:space="0" w:color="000000"/>
            </w:tcBorders>
            <w:shd w:val="clear" w:color="auto" w:fill="FFFFFF"/>
          </w:tcPr>
          <w:p w:rsidR="00DA1840" w:rsidRPr="00DA1840" w:rsidRDefault="00DA1840" w:rsidP="00AC12B4">
            <w:pPr>
              <w:widowControl w:val="0"/>
              <w:autoSpaceDE w:val="0"/>
              <w:autoSpaceDN w:val="0"/>
              <w:adjustRightInd w:val="0"/>
              <w:ind w:left="60" w:right="60"/>
              <w:jc w:val="right"/>
              <w:rPr>
                <w:rFonts w:eastAsia="Cambria" w:cs="Arial"/>
                <w:color w:val="000000"/>
                <w:sz w:val="22"/>
              </w:rPr>
            </w:pPr>
            <w:r w:rsidRPr="00DA1840">
              <w:rPr>
                <w:rFonts w:eastAsia="Cambria" w:cs="Arial"/>
                <w:color w:val="000000"/>
                <w:sz w:val="22"/>
              </w:rPr>
              <w:t>.151</w:t>
            </w:r>
          </w:p>
        </w:tc>
      </w:tr>
      <w:tr w:rsidR="00DA1840" w:rsidRPr="009650AE">
        <w:trPr>
          <w:cantSplit/>
          <w:jc w:val="center"/>
        </w:trPr>
        <w:tc>
          <w:tcPr>
            <w:tcW w:w="594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DA1840" w:rsidRPr="00DA1840" w:rsidRDefault="00DA1840" w:rsidP="00AC12B4">
            <w:pPr>
              <w:widowControl w:val="0"/>
              <w:autoSpaceDE w:val="0"/>
              <w:autoSpaceDN w:val="0"/>
              <w:adjustRightInd w:val="0"/>
              <w:ind w:left="60" w:right="60"/>
              <w:rPr>
                <w:rFonts w:eastAsia="Cambria" w:cs="Arial"/>
                <w:color w:val="000000"/>
                <w:sz w:val="22"/>
              </w:rPr>
            </w:pPr>
            <w:r w:rsidRPr="00DA1840">
              <w:rPr>
                <w:rFonts w:eastAsia="Cambria" w:cs="Arial"/>
                <w:color w:val="000000"/>
                <w:sz w:val="22"/>
              </w:rPr>
              <w:t>I</w:t>
            </w:r>
            <w:r>
              <w:rPr>
                <w:rFonts w:eastAsia="Cambria" w:cs="Arial"/>
                <w:color w:val="000000"/>
                <w:sz w:val="22"/>
              </w:rPr>
              <w:t xml:space="preserve"> </w:t>
            </w:r>
            <w:r w:rsidRPr="00DA1840">
              <w:rPr>
                <w:rFonts w:eastAsia="Cambria" w:cs="Arial"/>
                <w:color w:val="000000"/>
                <w:sz w:val="22"/>
              </w:rPr>
              <w:t>know</w:t>
            </w:r>
            <w:r>
              <w:rPr>
                <w:rFonts w:eastAsia="Cambria" w:cs="Arial"/>
                <w:color w:val="000000"/>
                <w:sz w:val="22"/>
              </w:rPr>
              <w:t xml:space="preserve"> </w:t>
            </w:r>
            <w:r w:rsidRPr="00DA1840">
              <w:rPr>
                <w:rFonts w:eastAsia="Cambria" w:cs="Arial"/>
                <w:color w:val="000000"/>
                <w:sz w:val="22"/>
              </w:rPr>
              <w:t>how</w:t>
            </w:r>
            <w:r>
              <w:rPr>
                <w:rFonts w:eastAsia="Cambria" w:cs="Arial"/>
                <w:color w:val="000000"/>
                <w:sz w:val="22"/>
              </w:rPr>
              <w:t xml:space="preserve"> </w:t>
            </w:r>
            <w:r w:rsidRPr="00DA1840">
              <w:rPr>
                <w:rFonts w:eastAsia="Cambria" w:cs="Arial"/>
                <w:color w:val="000000"/>
                <w:sz w:val="22"/>
              </w:rPr>
              <w:t>to</w:t>
            </w:r>
            <w:r>
              <w:rPr>
                <w:rFonts w:eastAsia="Cambria" w:cs="Arial"/>
                <w:color w:val="000000"/>
                <w:sz w:val="22"/>
              </w:rPr>
              <w:t xml:space="preserve"> </w:t>
            </w:r>
            <w:r w:rsidRPr="00DA1840">
              <w:rPr>
                <w:rFonts w:eastAsia="Cambria" w:cs="Arial"/>
                <w:color w:val="000000"/>
                <w:sz w:val="22"/>
              </w:rPr>
              <w:t>process</w:t>
            </w:r>
            <w:r>
              <w:rPr>
                <w:rFonts w:eastAsia="Cambria" w:cs="Arial"/>
                <w:color w:val="000000"/>
                <w:sz w:val="22"/>
              </w:rPr>
              <w:t xml:space="preserve"> </w:t>
            </w:r>
            <w:r w:rsidRPr="00DA1840">
              <w:rPr>
                <w:rFonts w:eastAsia="Cambria" w:cs="Arial"/>
                <w:color w:val="000000"/>
                <w:sz w:val="22"/>
              </w:rPr>
              <w:t>Illumina</w:t>
            </w:r>
            <w:r>
              <w:rPr>
                <w:rFonts w:eastAsia="Cambria" w:cs="Arial"/>
                <w:color w:val="000000"/>
                <w:sz w:val="22"/>
              </w:rPr>
              <w:t xml:space="preserve"> </w:t>
            </w:r>
            <w:r w:rsidRPr="00DA1840">
              <w:rPr>
                <w:rFonts w:eastAsia="Cambria" w:cs="Arial"/>
                <w:color w:val="000000"/>
                <w:sz w:val="22"/>
              </w:rPr>
              <w:t>data</w:t>
            </w:r>
          </w:p>
        </w:tc>
        <w:tc>
          <w:tcPr>
            <w:tcW w:w="1710" w:type="dxa"/>
            <w:tcBorders>
              <w:top w:val="single" w:sz="8" w:space="0" w:color="000000"/>
              <w:left w:val="single" w:sz="8" w:space="0" w:color="000000"/>
              <w:bottom w:val="single" w:sz="8" w:space="0" w:color="000000"/>
              <w:right w:val="single" w:sz="8" w:space="0" w:color="000000"/>
            </w:tcBorders>
            <w:shd w:val="clear" w:color="auto" w:fill="FFFFFF"/>
          </w:tcPr>
          <w:p w:rsidR="00DA1840" w:rsidRPr="00DA1840" w:rsidRDefault="00DA1840" w:rsidP="00AC12B4">
            <w:pPr>
              <w:widowControl w:val="0"/>
              <w:autoSpaceDE w:val="0"/>
              <w:autoSpaceDN w:val="0"/>
              <w:adjustRightInd w:val="0"/>
              <w:ind w:left="60" w:right="60"/>
              <w:jc w:val="right"/>
              <w:rPr>
                <w:rFonts w:eastAsia="Cambria" w:cs="Arial"/>
                <w:color w:val="000000"/>
                <w:sz w:val="22"/>
              </w:rPr>
            </w:pPr>
            <w:r w:rsidRPr="00DA1840">
              <w:rPr>
                <w:rFonts w:eastAsia="Cambria" w:cs="Arial"/>
                <w:color w:val="000000"/>
                <w:sz w:val="22"/>
              </w:rPr>
              <w:t>.364</w:t>
            </w:r>
          </w:p>
        </w:tc>
        <w:tc>
          <w:tcPr>
            <w:tcW w:w="1710" w:type="dxa"/>
            <w:tcBorders>
              <w:top w:val="single" w:sz="8" w:space="0" w:color="000000"/>
              <w:left w:val="single" w:sz="8" w:space="0" w:color="000000"/>
              <w:bottom w:val="single" w:sz="8" w:space="0" w:color="000000"/>
              <w:right w:val="single" w:sz="8" w:space="0" w:color="000000"/>
            </w:tcBorders>
            <w:shd w:val="clear" w:color="auto" w:fill="FFFFFF"/>
          </w:tcPr>
          <w:p w:rsidR="00DA1840" w:rsidRPr="00DA1840" w:rsidRDefault="00DA1840" w:rsidP="00AC12B4">
            <w:pPr>
              <w:widowControl w:val="0"/>
              <w:autoSpaceDE w:val="0"/>
              <w:autoSpaceDN w:val="0"/>
              <w:adjustRightInd w:val="0"/>
              <w:ind w:left="60" w:right="60"/>
              <w:jc w:val="right"/>
              <w:rPr>
                <w:rFonts w:eastAsia="Cambria" w:cs="Arial"/>
                <w:color w:val="000000"/>
                <w:sz w:val="22"/>
              </w:rPr>
            </w:pPr>
            <w:r w:rsidRPr="00DA1840">
              <w:rPr>
                <w:rFonts w:eastAsia="Cambria" w:cs="Arial"/>
                <w:color w:val="000000"/>
                <w:sz w:val="22"/>
              </w:rPr>
              <w:t>.132</w:t>
            </w:r>
          </w:p>
        </w:tc>
      </w:tr>
    </w:tbl>
    <w:p w:rsidR="00CF560A" w:rsidRPr="008B2A3A" w:rsidRDefault="00CF560A" w:rsidP="00CF560A">
      <w:pPr>
        <w:widowControl w:val="0"/>
        <w:rPr>
          <w:rFonts w:eastAsia="Cambria" w:cs="DejaVu Sans"/>
        </w:rPr>
      </w:pPr>
    </w:p>
    <w:p w:rsidR="009D2285" w:rsidRPr="008B2A3A" w:rsidRDefault="009D2285" w:rsidP="00CF560A">
      <w:pPr>
        <w:widowControl w:val="0"/>
        <w:ind w:firstLine="360"/>
      </w:pPr>
      <w:r w:rsidRPr="008B2A3A">
        <w:rPr>
          <w:i/>
        </w:rPr>
        <w:t>Reliability analysis.</w:t>
      </w:r>
      <w:r w:rsidRPr="008B2A3A">
        <w:rPr>
          <w:b/>
          <w:i/>
        </w:rPr>
        <w:t xml:space="preserve"> </w:t>
      </w:r>
      <w:r w:rsidRPr="008B2A3A">
        <w:t>Cronbach’s alpha was calculated to establish internal consistency of items. The scale has high reliability, with a calculated alpha for the sample of 0.</w:t>
      </w:r>
      <w:r w:rsidR="0005796E" w:rsidRPr="008B2A3A">
        <w:t>8</w:t>
      </w:r>
      <w:r w:rsidR="00CB11BB">
        <w:t>6</w:t>
      </w:r>
      <w:r w:rsidR="00BD2841">
        <w:t>8</w:t>
      </w:r>
      <w:r w:rsidRPr="008B2A3A">
        <w:t>. Despite the small sample, this is above the recommended minimum of 0.70 for analysis of individual scores.</w:t>
      </w:r>
    </w:p>
    <w:p w:rsidR="009D2285" w:rsidRPr="008B2A3A" w:rsidRDefault="009D2285" w:rsidP="00CF560A">
      <w:pPr>
        <w:widowControl w:val="0"/>
        <w:rPr>
          <w:b/>
          <w:i/>
        </w:rPr>
      </w:pPr>
    </w:p>
    <w:p w:rsidR="00350115" w:rsidRDefault="009D2285" w:rsidP="00350115">
      <w:pPr>
        <w:widowControl w:val="0"/>
        <w:ind w:firstLine="360"/>
      </w:pPr>
      <w:r w:rsidRPr="00350115">
        <w:rPr>
          <w:i/>
        </w:rPr>
        <w:t>Results.</w:t>
      </w:r>
      <w:r w:rsidRPr="00350115">
        <w:t xml:space="preserve"> Scores </w:t>
      </w:r>
      <w:r w:rsidR="0005796E" w:rsidRPr="00350115">
        <w:t xml:space="preserve">on the Computational Understanding scale </w:t>
      </w:r>
      <w:r w:rsidRPr="00350115">
        <w:t xml:space="preserve">were calculated for </w:t>
      </w:r>
      <w:r w:rsidR="0005796E" w:rsidRPr="00350115">
        <w:t xml:space="preserve">both </w:t>
      </w:r>
      <w:r w:rsidRPr="00350115">
        <w:t>the pre-</w:t>
      </w:r>
      <w:r w:rsidR="0005796E" w:rsidRPr="00350115">
        <w:t xml:space="preserve"> and post-</w:t>
      </w:r>
      <w:r w:rsidRPr="00350115">
        <w:t>workshop survey</w:t>
      </w:r>
      <w:r w:rsidR="0005796E" w:rsidRPr="00350115">
        <w:t>s</w:t>
      </w:r>
      <w:r w:rsidRPr="00350115">
        <w:t xml:space="preserve">. </w:t>
      </w:r>
      <w:r w:rsidR="00350115" w:rsidRPr="00350115">
        <w:t>Overall scale scores were calculated as averages across all 1</w:t>
      </w:r>
      <w:r w:rsidR="00BD2841">
        <w:t>3</w:t>
      </w:r>
      <w:r w:rsidR="00350115" w:rsidRPr="00350115">
        <w:t xml:space="preserve"> items</w:t>
      </w:r>
      <w:r w:rsidR="00BD2841">
        <w:t xml:space="preserve"> for all respondents</w:t>
      </w:r>
      <w:r w:rsidR="00350115" w:rsidRPr="00350115">
        <w:t>. Data were inappropriate for parametric tests, so related samples nonparametric tests were run on matched data (n=</w:t>
      </w:r>
      <w:r w:rsidR="00B774C3">
        <w:t>20</w:t>
      </w:r>
      <w:r w:rsidR="00350115" w:rsidRPr="00350115">
        <w:t xml:space="preserve">). </w:t>
      </w:r>
      <w:r w:rsidR="00350115" w:rsidRPr="00817A99">
        <w:t>Results from the Wilcoxon Signed Ranks Test indicate that pre- and post-workshop results are statistically different (Z = -</w:t>
      </w:r>
      <w:r w:rsidR="00817A99" w:rsidRPr="00817A99">
        <w:t>3.925</w:t>
      </w:r>
      <w:r w:rsidR="00350115" w:rsidRPr="00817A99">
        <w:t xml:space="preserve">, p ≤ 0.001). </w:t>
      </w:r>
      <w:r w:rsidR="00350115" w:rsidRPr="00350115">
        <w:t xml:space="preserve">Statistical significance and mean results (Table 2) indicate that </w:t>
      </w:r>
      <w:r w:rsidR="00350115">
        <w:t>computational understanding</w:t>
      </w:r>
      <w:r w:rsidR="00350115" w:rsidRPr="00350115">
        <w:t xml:space="preserve"> increased as a result of instruction.</w:t>
      </w:r>
    </w:p>
    <w:p w:rsidR="00600FFE" w:rsidRPr="008B2A3A" w:rsidRDefault="00600FFE" w:rsidP="00CF560A">
      <w:pPr>
        <w:widowControl w:val="0"/>
      </w:pPr>
    </w:p>
    <w:p w:rsidR="001F2010" w:rsidRPr="008B2A3A" w:rsidRDefault="001F2010" w:rsidP="00CF560A">
      <w:pPr>
        <w:widowControl w:val="0"/>
        <w:rPr>
          <w:b/>
          <w:i/>
        </w:rPr>
      </w:pPr>
      <w:r w:rsidRPr="008B2A3A">
        <w:rPr>
          <w:b/>
          <w:i/>
        </w:rPr>
        <w:t xml:space="preserve">Coding </w:t>
      </w:r>
      <w:r w:rsidR="001F1959">
        <w:rPr>
          <w:b/>
          <w:i/>
        </w:rPr>
        <w:t>Ability</w:t>
      </w:r>
    </w:p>
    <w:p w:rsidR="001F2010" w:rsidRPr="008B2A3A" w:rsidRDefault="001F2010" w:rsidP="00AE19AF">
      <w:pPr>
        <w:widowControl w:val="0"/>
      </w:pPr>
      <w:r w:rsidRPr="008B2A3A">
        <w:t xml:space="preserve">A </w:t>
      </w:r>
      <w:r w:rsidR="00FF4749">
        <w:t>s</w:t>
      </w:r>
      <w:r w:rsidRPr="008B2A3A">
        <w:t xml:space="preserve">cale measuring </w:t>
      </w:r>
      <w:r w:rsidR="00FF4749">
        <w:t>coding ability</w:t>
      </w:r>
      <w:r w:rsidRPr="008B2A3A">
        <w:t xml:space="preserve"> </w:t>
      </w:r>
      <w:r w:rsidR="00E8429F" w:rsidRPr="008B2A3A">
        <w:t>was modifie</w:t>
      </w:r>
      <w:r w:rsidR="00BD2841">
        <w:t xml:space="preserve">d from Python-related </w:t>
      </w:r>
      <w:r w:rsidR="00E8429F" w:rsidRPr="008B2A3A">
        <w:t>scale</w:t>
      </w:r>
      <w:r w:rsidR="00BD2841">
        <w:t>s</w:t>
      </w:r>
      <w:r w:rsidR="00E8429F" w:rsidRPr="008B2A3A">
        <w:t xml:space="preserve"> </w:t>
      </w:r>
      <w:r w:rsidR="00FF4749">
        <w:t xml:space="preserve">used in prior evaluations, itself modified from </w:t>
      </w:r>
      <w:r w:rsidR="00E8429F" w:rsidRPr="008B2A3A">
        <w:t>Askar and Davenport (2009)</w:t>
      </w:r>
      <w:r w:rsidR="00FF4749">
        <w:t>,</w:t>
      </w:r>
      <w:r w:rsidRPr="008B2A3A">
        <w:t xml:space="preserve"> to </w:t>
      </w:r>
      <w:r w:rsidR="00E8429F" w:rsidRPr="008B2A3A">
        <w:t xml:space="preserve">focus on </w:t>
      </w:r>
      <w:r w:rsidR="00BD2841">
        <w:t>concepts taught in the EDAMAME</w:t>
      </w:r>
      <w:r w:rsidR="00E8429F" w:rsidRPr="008B2A3A">
        <w:t xml:space="preserve"> </w:t>
      </w:r>
      <w:r w:rsidRPr="008B2A3A">
        <w:t xml:space="preserve">workshop. </w:t>
      </w:r>
      <w:r w:rsidR="00BD2841">
        <w:t xml:space="preserve">A set of 27 items were developed. </w:t>
      </w:r>
      <w:r w:rsidRPr="008B2A3A">
        <w:t xml:space="preserve">Participants were asked to indicate the extent to which they </w:t>
      </w:r>
      <w:r w:rsidR="00E8429F" w:rsidRPr="008B2A3A">
        <w:t>agre</w:t>
      </w:r>
      <w:r w:rsidR="007C1EBF">
        <w:t>ed with statements about their</w:t>
      </w:r>
      <w:r w:rsidR="00E8429F" w:rsidRPr="008B2A3A">
        <w:t xml:space="preserve"> coding ability</w:t>
      </w:r>
      <w:r w:rsidRPr="008B2A3A">
        <w:t xml:space="preserve">, with ratings of Strongly Disagree, Disagree, Agree, and Strongly Agree. A score of 1 implies </w:t>
      </w:r>
      <w:r w:rsidR="001757E0" w:rsidRPr="008B2A3A">
        <w:t>low ability</w:t>
      </w:r>
      <w:r w:rsidRPr="008B2A3A">
        <w:t xml:space="preserve"> (Strong Disagreement), while a score of 4 implies high </w:t>
      </w:r>
      <w:r w:rsidR="001757E0" w:rsidRPr="008B2A3A">
        <w:t>ability</w:t>
      </w:r>
      <w:r w:rsidRPr="008B2A3A">
        <w:t xml:space="preserve"> (Strong Agreement).</w:t>
      </w:r>
      <w:r w:rsidR="001E664A">
        <w:t xml:space="preserve"> Inversely worded items, those containing the word CANNOT, were reverse coded before reliability analysis.</w:t>
      </w:r>
    </w:p>
    <w:p w:rsidR="001F2010" w:rsidRPr="008B2A3A" w:rsidRDefault="001F2010" w:rsidP="00CF560A">
      <w:pPr>
        <w:widowControl w:val="0"/>
      </w:pPr>
    </w:p>
    <w:p w:rsidR="001F1959" w:rsidRDefault="001F2010" w:rsidP="001F1959">
      <w:pPr>
        <w:widowControl w:val="0"/>
        <w:ind w:firstLine="360"/>
      </w:pPr>
      <w:r w:rsidRPr="008B2A3A">
        <w:rPr>
          <w:i/>
        </w:rPr>
        <w:t>Factor Analysis.</w:t>
      </w:r>
      <w:r w:rsidRPr="008B2A3A">
        <w:t xml:space="preserve"> </w:t>
      </w:r>
      <w:r w:rsidR="001F1959">
        <w:t xml:space="preserve">Iterative removal of poorly loading items resulted in identification of one scale consisting of </w:t>
      </w:r>
      <w:r w:rsidR="001F1211">
        <w:t>17</w:t>
      </w:r>
      <w:r w:rsidR="001F1959">
        <w:t xml:space="preserve"> items. </w:t>
      </w:r>
      <w:r w:rsidR="00FF4749">
        <w:t xml:space="preserve">Scree plot </w:t>
      </w:r>
      <w:r w:rsidR="001F1959">
        <w:t xml:space="preserve">and eigenvalue </w:t>
      </w:r>
      <w:r w:rsidR="00FF4749">
        <w:t xml:space="preserve">analysis suggests the presence of </w:t>
      </w:r>
      <w:r w:rsidR="001F1959">
        <w:t>one dominant</w:t>
      </w:r>
      <w:r w:rsidR="00FF4749">
        <w:t xml:space="preserve"> scale, prompting </w:t>
      </w:r>
      <w:r w:rsidR="002E283B">
        <w:t xml:space="preserve">consideration of </w:t>
      </w:r>
      <w:r w:rsidR="001F1959">
        <w:t xml:space="preserve">the items as a single scale. </w:t>
      </w:r>
      <w:r w:rsidR="001F1959" w:rsidRPr="008B2A3A">
        <w:t xml:space="preserve">Note that this analysis is preliminary given the small sample size, </w:t>
      </w:r>
      <w:r w:rsidR="001F1959">
        <w:t>with a</w:t>
      </w:r>
      <w:r w:rsidR="001F1959" w:rsidRPr="008B2A3A">
        <w:t xml:space="preserve"> Kaiser-Meyer-Olkin measure of sampling adequacy of 0.</w:t>
      </w:r>
      <w:r w:rsidR="001F1959">
        <w:t>501</w:t>
      </w:r>
      <w:r w:rsidR="001F1959" w:rsidRPr="008B2A3A">
        <w:t xml:space="preserve">, </w:t>
      </w:r>
      <w:r w:rsidR="001F1959">
        <w:t>below</w:t>
      </w:r>
      <w:r w:rsidR="001F1959" w:rsidRPr="008B2A3A">
        <w:t xml:space="preserve"> the 0.6 value recommended for factor analysis. The data set met other minimum conditions necessary for factor analysis. First, the majority of items correlated with at least one other item at a level over 0.3, indicating that a factor structure could be expected to emerge. The Bartlett’s Test of sphericity was significant (</w:t>
      </w:r>
      <w:r w:rsidR="001F1959" w:rsidRPr="008B2A3A">
        <w:sym w:font="Symbol" w:char="F063"/>
      </w:r>
      <w:r w:rsidR="001F1959" w:rsidRPr="008B2A3A">
        <w:rPr>
          <w:vertAlign w:val="superscript"/>
        </w:rPr>
        <w:t xml:space="preserve">2 </w:t>
      </w:r>
      <w:r w:rsidR="001F1959" w:rsidRPr="008B2A3A">
        <w:t>(</w:t>
      </w:r>
      <w:r w:rsidR="001F1959">
        <w:t>136</w:t>
      </w:r>
      <w:r w:rsidR="001F1959" w:rsidRPr="008B2A3A">
        <w:t xml:space="preserve">) = </w:t>
      </w:r>
      <w:r w:rsidR="001F1959">
        <w:t>279.6</w:t>
      </w:r>
      <w:r w:rsidR="001F1959" w:rsidRPr="008B2A3A">
        <w:t xml:space="preserve">, </w:t>
      </w:r>
      <w:r w:rsidR="001F1959" w:rsidRPr="008B2A3A">
        <w:rPr>
          <w:i/>
        </w:rPr>
        <w:t>p</w:t>
      </w:r>
      <w:r w:rsidR="001F1959" w:rsidRPr="008B2A3A">
        <w:t>&lt;0.001). Communalities for most items were above 0.</w:t>
      </w:r>
      <w:r w:rsidR="001F1211">
        <w:t>3</w:t>
      </w:r>
      <w:r w:rsidR="001F1959" w:rsidRPr="008B2A3A">
        <w:t xml:space="preserve">, indicating shared variance with other items. </w:t>
      </w:r>
    </w:p>
    <w:p w:rsidR="001F1959" w:rsidRPr="008B2A3A" w:rsidRDefault="001F1959" w:rsidP="001F1959">
      <w:pPr>
        <w:widowControl w:val="0"/>
        <w:ind w:firstLine="360"/>
      </w:pPr>
      <w:r w:rsidRPr="008B2A3A">
        <w:t xml:space="preserve">A single scale explains </w:t>
      </w:r>
      <w:r>
        <w:t>37.1</w:t>
      </w:r>
      <w:r w:rsidRPr="008B2A3A">
        <w:t>% of the variance in the data and all items yielded factor loadings over 0.32, suggesting the presence of a single scale</w:t>
      </w:r>
      <w:r>
        <w:t xml:space="preserve"> (Table 4</w:t>
      </w:r>
      <w:r w:rsidRPr="008B2A3A">
        <w:t>).</w:t>
      </w:r>
    </w:p>
    <w:p w:rsidR="001F2010" w:rsidRPr="008B2A3A" w:rsidRDefault="001F2010" w:rsidP="00CF560A">
      <w:pPr>
        <w:widowControl w:val="0"/>
      </w:pPr>
    </w:p>
    <w:p w:rsidR="001F2010" w:rsidRPr="008B2A3A" w:rsidRDefault="001F2010" w:rsidP="00CF560A">
      <w:pPr>
        <w:widowControl w:val="0"/>
        <w:rPr>
          <w:b/>
          <w:sz w:val="22"/>
        </w:rPr>
      </w:pPr>
      <w:r w:rsidRPr="008B2A3A">
        <w:rPr>
          <w:b/>
          <w:sz w:val="22"/>
        </w:rPr>
        <w:t xml:space="preserve">Table </w:t>
      </w:r>
      <w:r w:rsidR="00D3089D">
        <w:rPr>
          <w:b/>
          <w:sz w:val="22"/>
        </w:rPr>
        <w:t>4</w:t>
      </w:r>
      <w:r w:rsidRPr="008B2A3A">
        <w:rPr>
          <w:b/>
          <w:sz w:val="22"/>
        </w:rPr>
        <w:t xml:space="preserve">. Factor loadings and communalities for </w:t>
      </w:r>
      <w:r w:rsidR="00271A0A" w:rsidRPr="008B2A3A">
        <w:rPr>
          <w:b/>
          <w:sz w:val="22"/>
        </w:rPr>
        <w:t>Coding Ability</w:t>
      </w:r>
      <w:r w:rsidRPr="008B2A3A">
        <w:rPr>
          <w:b/>
          <w:sz w:val="22"/>
        </w:rPr>
        <w:t xml:space="preserve"> Scale </w:t>
      </w:r>
    </w:p>
    <w:tbl>
      <w:tblPr>
        <w:tblW w:w="9360" w:type="dxa"/>
        <w:jc w:val="center"/>
        <w:tblInd w:w="5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8" w:type="dxa"/>
          <w:left w:w="58" w:type="dxa"/>
          <w:bottom w:w="58" w:type="dxa"/>
          <w:right w:w="58" w:type="dxa"/>
        </w:tblCellMar>
        <w:tblLook w:val="0000"/>
      </w:tblPr>
      <w:tblGrid>
        <w:gridCol w:w="6390"/>
        <w:gridCol w:w="1260"/>
        <w:gridCol w:w="1710"/>
      </w:tblGrid>
      <w:tr w:rsidR="001F2010" w:rsidRPr="008B2A3A" w:rsidTr="00CC5932">
        <w:trPr>
          <w:cantSplit/>
          <w:trHeight w:val="372"/>
          <w:jc w:val="center"/>
        </w:trPr>
        <w:tc>
          <w:tcPr>
            <w:tcW w:w="6390" w:type="dxa"/>
            <w:shd w:val="clear" w:color="auto" w:fill="FFFFFF"/>
            <w:vAlign w:val="center"/>
          </w:tcPr>
          <w:p w:rsidR="001F2010" w:rsidRPr="001F1211" w:rsidRDefault="001F2010" w:rsidP="00AC12B4">
            <w:pPr>
              <w:widowControl w:val="0"/>
              <w:rPr>
                <w:b/>
                <w:sz w:val="22"/>
              </w:rPr>
            </w:pPr>
            <w:r w:rsidRPr="001F1211">
              <w:rPr>
                <w:b/>
                <w:sz w:val="22"/>
              </w:rPr>
              <w:t>Items</w:t>
            </w:r>
          </w:p>
        </w:tc>
        <w:tc>
          <w:tcPr>
            <w:tcW w:w="1260" w:type="dxa"/>
            <w:shd w:val="clear" w:color="auto" w:fill="FFFFFF"/>
            <w:vAlign w:val="center"/>
          </w:tcPr>
          <w:p w:rsidR="001F2010" w:rsidRPr="001F1211" w:rsidRDefault="001F2010" w:rsidP="00AC12B4">
            <w:pPr>
              <w:widowControl w:val="0"/>
              <w:jc w:val="center"/>
              <w:rPr>
                <w:b/>
                <w:sz w:val="22"/>
              </w:rPr>
            </w:pPr>
            <w:r w:rsidRPr="001F1211">
              <w:rPr>
                <w:b/>
                <w:sz w:val="22"/>
              </w:rPr>
              <w:t>Factor Loadings</w:t>
            </w:r>
          </w:p>
        </w:tc>
        <w:tc>
          <w:tcPr>
            <w:tcW w:w="1710" w:type="dxa"/>
            <w:shd w:val="clear" w:color="auto" w:fill="FFFFFF"/>
            <w:vAlign w:val="center"/>
          </w:tcPr>
          <w:p w:rsidR="001F2010" w:rsidRPr="001F1211" w:rsidRDefault="001F2010" w:rsidP="00AC12B4">
            <w:pPr>
              <w:widowControl w:val="0"/>
              <w:jc w:val="center"/>
              <w:rPr>
                <w:b/>
                <w:sz w:val="22"/>
              </w:rPr>
            </w:pPr>
            <w:r w:rsidRPr="001F1211">
              <w:rPr>
                <w:b/>
                <w:sz w:val="22"/>
              </w:rPr>
              <w:t>Communalities</w:t>
            </w:r>
          </w:p>
        </w:tc>
      </w:tr>
      <w:tr w:rsidR="001F1959" w:rsidRPr="008B2A3A">
        <w:trPr>
          <w:cantSplit/>
          <w:trHeight w:val="273"/>
          <w:jc w:val="center"/>
        </w:trPr>
        <w:tc>
          <w:tcPr>
            <w:tcW w:w="6390" w:type="dxa"/>
            <w:shd w:val="clear" w:color="auto" w:fill="FFFFFF"/>
            <w:vAlign w:val="center"/>
          </w:tcPr>
          <w:p w:rsidR="001F1959" w:rsidRPr="001F1211" w:rsidRDefault="001F1959" w:rsidP="00AC12B4">
            <w:pPr>
              <w:widowControl w:val="0"/>
              <w:autoSpaceDE w:val="0"/>
              <w:autoSpaceDN w:val="0"/>
              <w:adjustRightInd w:val="0"/>
              <w:ind w:left="60" w:right="60"/>
              <w:rPr>
                <w:rFonts w:eastAsia="Cambria" w:cs="Arial"/>
                <w:color w:val="000000"/>
                <w:sz w:val="22"/>
              </w:rPr>
            </w:pPr>
            <w:r w:rsidRPr="001F1211">
              <w:rPr>
                <w:sz w:val="22"/>
              </w:rPr>
              <w:t>I can independently execute the steps of microbial AMPLICON metagenomic analysis from raw data processing to statistics.</w:t>
            </w:r>
          </w:p>
        </w:tc>
        <w:tc>
          <w:tcPr>
            <w:tcW w:w="1260" w:type="dxa"/>
            <w:shd w:val="clear" w:color="auto" w:fill="FFFFFF"/>
          </w:tcPr>
          <w:p w:rsidR="001F1959" w:rsidRPr="001F1211" w:rsidRDefault="001F1959" w:rsidP="00AC12B4">
            <w:pPr>
              <w:widowControl w:val="0"/>
              <w:autoSpaceDE w:val="0"/>
              <w:autoSpaceDN w:val="0"/>
              <w:adjustRightInd w:val="0"/>
              <w:ind w:left="60" w:right="60"/>
              <w:jc w:val="right"/>
              <w:rPr>
                <w:rFonts w:eastAsia="Cambria" w:cs="Arial"/>
                <w:color w:val="000000"/>
                <w:sz w:val="22"/>
              </w:rPr>
            </w:pPr>
            <w:r w:rsidRPr="001F1211">
              <w:rPr>
                <w:rFonts w:eastAsia="Cambria" w:cs="Arial"/>
                <w:color w:val="000000"/>
                <w:sz w:val="22"/>
              </w:rPr>
              <w:t>.532</w:t>
            </w:r>
          </w:p>
        </w:tc>
        <w:tc>
          <w:tcPr>
            <w:tcW w:w="1710" w:type="dxa"/>
            <w:shd w:val="clear" w:color="auto" w:fill="FFFFFF"/>
          </w:tcPr>
          <w:p w:rsidR="001F1959" w:rsidRPr="001F1211" w:rsidRDefault="001F1959" w:rsidP="00AC12B4">
            <w:pPr>
              <w:widowControl w:val="0"/>
              <w:autoSpaceDE w:val="0"/>
              <w:autoSpaceDN w:val="0"/>
              <w:adjustRightInd w:val="0"/>
              <w:ind w:left="60" w:right="60"/>
              <w:jc w:val="right"/>
              <w:rPr>
                <w:rFonts w:eastAsia="Cambria" w:cs="Arial"/>
                <w:color w:val="000000"/>
                <w:sz w:val="22"/>
              </w:rPr>
            </w:pPr>
            <w:r w:rsidRPr="001F1211">
              <w:rPr>
                <w:rFonts w:eastAsia="Cambria" w:cs="Arial"/>
                <w:color w:val="000000"/>
                <w:sz w:val="22"/>
              </w:rPr>
              <w:t>.283</w:t>
            </w:r>
          </w:p>
        </w:tc>
      </w:tr>
      <w:tr w:rsidR="001F1959" w:rsidRPr="008B2A3A">
        <w:trPr>
          <w:cantSplit/>
          <w:jc w:val="center"/>
        </w:trPr>
        <w:tc>
          <w:tcPr>
            <w:tcW w:w="6390" w:type="dxa"/>
            <w:shd w:val="clear" w:color="auto" w:fill="FFFFFF"/>
            <w:vAlign w:val="center"/>
          </w:tcPr>
          <w:p w:rsidR="001F1959" w:rsidRPr="001F1211" w:rsidRDefault="001F1959" w:rsidP="00AC12B4">
            <w:pPr>
              <w:widowControl w:val="0"/>
              <w:autoSpaceDE w:val="0"/>
              <w:autoSpaceDN w:val="0"/>
              <w:adjustRightInd w:val="0"/>
              <w:ind w:left="60" w:right="60"/>
              <w:rPr>
                <w:rFonts w:eastAsia="Cambria" w:cs="Arial"/>
                <w:color w:val="000000"/>
                <w:sz w:val="22"/>
              </w:rPr>
            </w:pPr>
            <w:r w:rsidRPr="001F1211">
              <w:rPr>
                <w:sz w:val="22"/>
              </w:rPr>
              <w:t>I can make informed choices for analysis parameters (e.g., OTU clustering, tree building, denoising) for AMPLICON analyses in mothur.</w:t>
            </w:r>
          </w:p>
        </w:tc>
        <w:tc>
          <w:tcPr>
            <w:tcW w:w="1260" w:type="dxa"/>
            <w:shd w:val="clear" w:color="auto" w:fill="FFFFFF"/>
          </w:tcPr>
          <w:p w:rsidR="001F1959" w:rsidRPr="001F1211" w:rsidRDefault="001F1959" w:rsidP="00AC12B4">
            <w:pPr>
              <w:widowControl w:val="0"/>
              <w:autoSpaceDE w:val="0"/>
              <w:autoSpaceDN w:val="0"/>
              <w:adjustRightInd w:val="0"/>
              <w:ind w:left="60" w:right="60"/>
              <w:jc w:val="right"/>
              <w:rPr>
                <w:rFonts w:eastAsia="Cambria" w:cs="Arial"/>
                <w:color w:val="000000"/>
                <w:sz w:val="22"/>
              </w:rPr>
            </w:pPr>
            <w:r w:rsidRPr="001F1211">
              <w:rPr>
                <w:rFonts w:eastAsia="Cambria" w:cs="Arial"/>
                <w:color w:val="000000"/>
                <w:sz w:val="22"/>
              </w:rPr>
              <w:t>.434</w:t>
            </w:r>
          </w:p>
        </w:tc>
        <w:tc>
          <w:tcPr>
            <w:tcW w:w="1710" w:type="dxa"/>
            <w:shd w:val="clear" w:color="auto" w:fill="FFFFFF"/>
          </w:tcPr>
          <w:p w:rsidR="001F1959" w:rsidRPr="001F1211" w:rsidRDefault="001F1959" w:rsidP="00AC12B4">
            <w:pPr>
              <w:widowControl w:val="0"/>
              <w:autoSpaceDE w:val="0"/>
              <w:autoSpaceDN w:val="0"/>
              <w:adjustRightInd w:val="0"/>
              <w:ind w:left="60" w:right="60"/>
              <w:jc w:val="right"/>
              <w:rPr>
                <w:rFonts w:eastAsia="Cambria" w:cs="Arial"/>
                <w:color w:val="000000"/>
                <w:sz w:val="22"/>
              </w:rPr>
            </w:pPr>
            <w:r w:rsidRPr="001F1211">
              <w:rPr>
                <w:rFonts w:eastAsia="Cambria" w:cs="Arial"/>
                <w:color w:val="000000"/>
                <w:sz w:val="22"/>
              </w:rPr>
              <w:t>.189</w:t>
            </w:r>
          </w:p>
        </w:tc>
      </w:tr>
      <w:tr w:rsidR="001F1959" w:rsidRPr="008B2A3A">
        <w:trPr>
          <w:cantSplit/>
          <w:jc w:val="center"/>
        </w:trPr>
        <w:tc>
          <w:tcPr>
            <w:tcW w:w="6390" w:type="dxa"/>
            <w:shd w:val="clear" w:color="auto" w:fill="FFFFFF"/>
            <w:vAlign w:val="center"/>
          </w:tcPr>
          <w:p w:rsidR="001F1959" w:rsidRPr="001F1211" w:rsidRDefault="001F1959" w:rsidP="00AC12B4">
            <w:pPr>
              <w:widowControl w:val="0"/>
              <w:autoSpaceDE w:val="0"/>
              <w:autoSpaceDN w:val="0"/>
              <w:adjustRightInd w:val="0"/>
              <w:ind w:left="60" w:right="60"/>
              <w:rPr>
                <w:rFonts w:eastAsia="Cambria" w:cs="Arial"/>
                <w:color w:val="000000"/>
                <w:sz w:val="22"/>
              </w:rPr>
            </w:pPr>
            <w:r w:rsidRPr="001F1211">
              <w:rPr>
                <w:sz w:val="22"/>
              </w:rPr>
              <w:t>I understand the differences between unassembled and assembled shotgun metagenomic data.</w:t>
            </w:r>
          </w:p>
        </w:tc>
        <w:tc>
          <w:tcPr>
            <w:tcW w:w="1260" w:type="dxa"/>
            <w:shd w:val="clear" w:color="auto" w:fill="FFFFFF"/>
          </w:tcPr>
          <w:p w:rsidR="001F1959" w:rsidRPr="001F1211" w:rsidRDefault="001F1959" w:rsidP="00AC12B4">
            <w:pPr>
              <w:widowControl w:val="0"/>
              <w:autoSpaceDE w:val="0"/>
              <w:autoSpaceDN w:val="0"/>
              <w:adjustRightInd w:val="0"/>
              <w:ind w:left="60" w:right="60"/>
              <w:jc w:val="right"/>
              <w:rPr>
                <w:rFonts w:eastAsia="Cambria" w:cs="Arial"/>
                <w:color w:val="000000"/>
                <w:sz w:val="22"/>
              </w:rPr>
            </w:pPr>
            <w:r w:rsidRPr="001F1211">
              <w:rPr>
                <w:rFonts w:eastAsia="Cambria" w:cs="Arial"/>
                <w:color w:val="000000"/>
                <w:sz w:val="22"/>
              </w:rPr>
              <w:t>.647</w:t>
            </w:r>
          </w:p>
        </w:tc>
        <w:tc>
          <w:tcPr>
            <w:tcW w:w="1710" w:type="dxa"/>
            <w:shd w:val="clear" w:color="auto" w:fill="FFFFFF"/>
          </w:tcPr>
          <w:p w:rsidR="001F1959" w:rsidRPr="001F1211" w:rsidRDefault="001F1959" w:rsidP="00AC12B4">
            <w:pPr>
              <w:widowControl w:val="0"/>
              <w:autoSpaceDE w:val="0"/>
              <w:autoSpaceDN w:val="0"/>
              <w:adjustRightInd w:val="0"/>
              <w:ind w:left="60" w:right="60"/>
              <w:jc w:val="right"/>
              <w:rPr>
                <w:rFonts w:eastAsia="Cambria" w:cs="Arial"/>
                <w:color w:val="000000"/>
                <w:sz w:val="22"/>
              </w:rPr>
            </w:pPr>
            <w:r w:rsidRPr="001F1211">
              <w:rPr>
                <w:rFonts w:eastAsia="Cambria" w:cs="Arial"/>
                <w:color w:val="000000"/>
                <w:sz w:val="22"/>
              </w:rPr>
              <w:t>.419</w:t>
            </w:r>
          </w:p>
        </w:tc>
      </w:tr>
      <w:tr w:rsidR="001F1959" w:rsidRPr="008B2A3A">
        <w:trPr>
          <w:cantSplit/>
          <w:jc w:val="center"/>
        </w:trPr>
        <w:tc>
          <w:tcPr>
            <w:tcW w:w="6390" w:type="dxa"/>
            <w:shd w:val="clear" w:color="auto" w:fill="FFFFFF"/>
            <w:vAlign w:val="center"/>
          </w:tcPr>
          <w:p w:rsidR="001F1959" w:rsidRPr="001F1211" w:rsidRDefault="001F1959" w:rsidP="00AC12B4">
            <w:pPr>
              <w:widowControl w:val="0"/>
              <w:autoSpaceDE w:val="0"/>
              <w:autoSpaceDN w:val="0"/>
              <w:adjustRightInd w:val="0"/>
              <w:ind w:left="60" w:right="60"/>
              <w:rPr>
                <w:rFonts w:eastAsia="Cambria" w:cs="Arial"/>
                <w:color w:val="000000"/>
                <w:sz w:val="22"/>
              </w:rPr>
            </w:pPr>
            <w:r w:rsidRPr="001F1211">
              <w:rPr>
                <w:sz w:val="22"/>
              </w:rPr>
              <w:t>I understand the limitations of unassembled and assembled shotgun metagenomic data.</w:t>
            </w:r>
          </w:p>
        </w:tc>
        <w:tc>
          <w:tcPr>
            <w:tcW w:w="1260" w:type="dxa"/>
            <w:shd w:val="clear" w:color="auto" w:fill="FFFFFF"/>
          </w:tcPr>
          <w:p w:rsidR="001F1959" w:rsidRPr="001F1211" w:rsidRDefault="001F1959" w:rsidP="00AC12B4">
            <w:pPr>
              <w:widowControl w:val="0"/>
              <w:autoSpaceDE w:val="0"/>
              <w:autoSpaceDN w:val="0"/>
              <w:adjustRightInd w:val="0"/>
              <w:ind w:left="60" w:right="60"/>
              <w:jc w:val="right"/>
              <w:rPr>
                <w:rFonts w:eastAsia="Cambria" w:cs="Arial"/>
                <w:color w:val="000000"/>
                <w:sz w:val="22"/>
              </w:rPr>
            </w:pPr>
            <w:r w:rsidRPr="001F1211">
              <w:rPr>
                <w:rFonts w:eastAsia="Cambria" w:cs="Arial"/>
                <w:color w:val="000000"/>
                <w:sz w:val="22"/>
              </w:rPr>
              <w:t>.462</w:t>
            </w:r>
          </w:p>
        </w:tc>
        <w:tc>
          <w:tcPr>
            <w:tcW w:w="1710" w:type="dxa"/>
            <w:shd w:val="clear" w:color="auto" w:fill="FFFFFF"/>
          </w:tcPr>
          <w:p w:rsidR="001F1959" w:rsidRPr="001F1211" w:rsidRDefault="001F1959" w:rsidP="00AC12B4">
            <w:pPr>
              <w:widowControl w:val="0"/>
              <w:autoSpaceDE w:val="0"/>
              <w:autoSpaceDN w:val="0"/>
              <w:adjustRightInd w:val="0"/>
              <w:ind w:left="60" w:right="60"/>
              <w:jc w:val="right"/>
              <w:rPr>
                <w:rFonts w:eastAsia="Cambria" w:cs="Arial"/>
                <w:color w:val="000000"/>
                <w:sz w:val="22"/>
              </w:rPr>
            </w:pPr>
            <w:r w:rsidRPr="001F1211">
              <w:rPr>
                <w:rFonts w:eastAsia="Cambria" w:cs="Arial"/>
                <w:color w:val="000000"/>
                <w:sz w:val="22"/>
              </w:rPr>
              <w:t>.213</w:t>
            </w:r>
          </w:p>
        </w:tc>
      </w:tr>
      <w:tr w:rsidR="001F1959" w:rsidRPr="008B2A3A">
        <w:trPr>
          <w:cantSplit/>
          <w:trHeight w:val="408"/>
          <w:jc w:val="center"/>
        </w:trPr>
        <w:tc>
          <w:tcPr>
            <w:tcW w:w="6390" w:type="dxa"/>
            <w:shd w:val="clear" w:color="auto" w:fill="FFFFFF"/>
            <w:vAlign w:val="center"/>
          </w:tcPr>
          <w:p w:rsidR="001F1959" w:rsidRPr="001F1211" w:rsidRDefault="001F1959" w:rsidP="00AC12B4">
            <w:pPr>
              <w:widowControl w:val="0"/>
              <w:autoSpaceDE w:val="0"/>
              <w:autoSpaceDN w:val="0"/>
              <w:adjustRightInd w:val="0"/>
              <w:ind w:left="60" w:right="60"/>
              <w:rPr>
                <w:rFonts w:eastAsia="Cambria" w:cs="Arial"/>
                <w:color w:val="000000"/>
                <w:sz w:val="22"/>
              </w:rPr>
            </w:pPr>
            <w:r w:rsidRPr="001F1211">
              <w:rPr>
                <w:sz w:val="22"/>
              </w:rPr>
              <w:t>I understand what digital normalization is.</w:t>
            </w:r>
          </w:p>
        </w:tc>
        <w:tc>
          <w:tcPr>
            <w:tcW w:w="1260" w:type="dxa"/>
            <w:shd w:val="clear" w:color="auto" w:fill="FFFFFF"/>
          </w:tcPr>
          <w:p w:rsidR="001F1959" w:rsidRPr="001F1211" w:rsidRDefault="001F1959" w:rsidP="00AC12B4">
            <w:pPr>
              <w:widowControl w:val="0"/>
              <w:autoSpaceDE w:val="0"/>
              <w:autoSpaceDN w:val="0"/>
              <w:adjustRightInd w:val="0"/>
              <w:ind w:left="60" w:right="60"/>
              <w:jc w:val="right"/>
              <w:rPr>
                <w:rFonts w:eastAsia="Cambria" w:cs="Arial"/>
                <w:color w:val="000000"/>
                <w:sz w:val="22"/>
              </w:rPr>
            </w:pPr>
            <w:r w:rsidRPr="001F1211">
              <w:rPr>
                <w:rFonts w:eastAsia="Cambria" w:cs="Arial"/>
                <w:color w:val="000000"/>
                <w:sz w:val="22"/>
              </w:rPr>
              <w:t>.564</w:t>
            </w:r>
          </w:p>
        </w:tc>
        <w:tc>
          <w:tcPr>
            <w:tcW w:w="1710" w:type="dxa"/>
            <w:shd w:val="clear" w:color="auto" w:fill="FFFFFF"/>
          </w:tcPr>
          <w:p w:rsidR="001F1959" w:rsidRPr="001F1211" w:rsidRDefault="001F1959" w:rsidP="00AC12B4">
            <w:pPr>
              <w:widowControl w:val="0"/>
              <w:autoSpaceDE w:val="0"/>
              <w:autoSpaceDN w:val="0"/>
              <w:adjustRightInd w:val="0"/>
              <w:ind w:left="60" w:right="60"/>
              <w:jc w:val="right"/>
              <w:rPr>
                <w:rFonts w:eastAsia="Cambria" w:cs="Arial"/>
                <w:color w:val="000000"/>
                <w:sz w:val="22"/>
              </w:rPr>
            </w:pPr>
            <w:r w:rsidRPr="001F1211">
              <w:rPr>
                <w:rFonts w:eastAsia="Cambria" w:cs="Arial"/>
                <w:color w:val="000000"/>
                <w:sz w:val="22"/>
              </w:rPr>
              <w:t>.318</w:t>
            </w:r>
          </w:p>
        </w:tc>
      </w:tr>
      <w:tr w:rsidR="001F1959" w:rsidRPr="008B2A3A">
        <w:trPr>
          <w:cantSplit/>
          <w:jc w:val="center"/>
        </w:trPr>
        <w:tc>
          <w:tcPr>
            <w:tcW w:w="6390" w:type="dxa"/>
            <w:shd w:val="clear" w:color="auto" w:fill="FFFFFF"/>
            <w:vAlign w:val="center"/>
          </w:tcPr>
          <w:p w:rsidR="001F1959" w:rsidRPr="001F1211" w:rsidRDefault="001F1959" w:rsidP="00AC12B4">
            <w:pPr>
              <w:widowControl w:val="0"/>
              <w:autoSpaceDE w:val="0"/>
              <w:autoSpaceDN w:val="0"/>
              <w:adjustRightInd w:val="0"/>
              <w:ind w:left="60" w:right="60"/>
              <w:rPr>
                <w:rFonts w:eastAsia="Cambria" w:cs="Arial"/>
                <w:color w:val="000000"/>
                <w:sz w:val="22"/>
              </w:rPr>
            </w:pPr>
            <w:r w:rsidRPr="001F1211">
              <w:rPr>
                <w:sz w:val="22"/>
              </w:rPr>
              <w:t>I understand why I might use digital normalization.</w:t>
            </w:r>
          </w:p>
        </w:tc>
        <w:tc>
          <w:tcPr>
            <w:tcW w:w="1260" w:type="dxa"/>
            <w:shd w:val="clear" w:color="auto" w:fill="FFFFFF"/>
          </w:tcPr>
          <w:p w:rsidR="001F1959" w:rsidRPr="001F1211" w:rsidRDefault="001F1959" w:rsidP="00AC12B4">
            <w:pPr>
              <w:widowControl w:val="0"/>
              <w:autoSpaceDE w:val="0"/>
              <w:autoSpaceDN w:val="0"/>
              <w:adjustRightInd w:val="0"/>
              <w:ind w:left="60" w:right="60"/>
              <w:jc w:val="right"/>
              <w:rPr>
                <w:rFonts w:eastAsia="Cambria" w:cs="Arial"/>
                <w:color w:val="000000"/>
                <w:sz w:val="22"/>
              </w:rPr>
            </w:pPr>
            <w:r w:rsidRPr="001F1211">
              <w:rPr>
                <w:rFonts w:eastAsia="Cambria" w:cs="Arial"/>
                <w:color w:val="000000"/>
                <w:sz w:val="22"/>
              </w:rPr>
              <w:t>.573</w:t>
            </w:r>
          </w:p>
        </w:tc>
        <w:tc>
          <w:tcPr>
            <w:tcW w:w="1710" w:type="dxa"/>
            <w:shd w:val="clear" w:color="auto" w:fill="FFFFFF"/>
          </w:tcPr>
          <w:p w:rsidR="001F1959" w:rsidRPr="001F1211" w:rsidRDefault="001F1959" w:rsidP="00AC12B4">
            <w:pPr>
              <w:widowControl w:val="0"/>
              <w:autoSpaceDE w:val="0"/>
              <w:autoSpaceDN w:val="0"/>
              <w:adjustRightInd w:val="0"/>
              <w:ind w:left="60" w:right="60"/>
              <w:jc w:val="right"/>
              <w:rPr>
                <w:rFonts w:eastAsia="Cambria" w:cs="Arial"/>
                <w:color w:val="000000"/>
                <w:sz w:val="22"/>
              </w:rPr>
            </w:pPr>
            <w:r w:rsidRPr="001F1211">
              <w:rPr>
                <w:rFonts w:eastAsia="Cambria" w:cs="Arial"/>
                <w:color w:val="000000"/>
                <w:sz w:val="22"/>
              </w:rPr>
              <w:t>.328</w:t>
            </w:r>
          </w:p>
        </w:tc>
      </w:tr>
      <w:tr w:rsidR="001F1959" w:rsidRPr="008B2A3A">
        <w:trPr>
          <w:cantSplit/>
          <w:jc w:val="center"/>
        </w:trPr>
        <w:tc>
          <w:tcPr>
            <w:tcW w:w="639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1F1959" w:rsidRPr="001F1211" w:rsidRDefault="001F1959" w:rsidP="00AC12B4">
            <w:pPr>
              <w:widowControl w:val="0"/>
              <w:autoSpaceDE w:val="0"/>
              <w:autoSpaceDN w:val="0"/>
              <w:adjustRightInd w:val="0"/>
              <w:ind w:left="60" w:right="60"/>
              <w:rPr>
                <w:rFonts w:eastAsia="Cambria" w:cs="Arial"/>
                <w:color w:val="000000"/>
                <w:sz w:val="22"/>
              </w:rPr>
            </w:pPr>
            <w:r w:rsidRPr="001F1211">
              <w:rPr>
                <w:sz w:val="22"/>
              </w:rPr>
              <w:t>I understand what a k-mer is.</w:t>
            </w:r>
          </w:p>
        </w:tc>
        <w:tc>
          <w:tcPr>
            <w:tcW w:w="1260" w:type="dxa"/>
            <w:tcBorders>
              <w:top w:val="single" w:sz="8" w:space="0" w:color="000000"/>
              <w:left w:val="single" w:sz="8" w:space="0" w:color="000000"/>
              <w:bottom w:val="single" w:sz="8" w:space="0" w:color="000000"/>
              <w:right w:val="single" w:sz="8" w:space="0" w:color="000000"/>
            </w:tcBorders>
            <w:shd w:val="clear" w:color="auto" w:fill="FFFFFF"/>
          </w:tcPr>
          <w:p w:rsidR="001F1959" w:rsidRPr="001F1211" w:rsidRDefault="001F1959" w:rsidP="00AC12B4">
            <w:pPr>
              <w:widowControl w:val="0"/>
              <w:autoSpaceDE w:val="0"/>
              <w:autoSpaceDN w:val="0"/>
              <w:adjustRightInd w:val="0"/>
              <w:ind w:left="60" w:right="60"/>
              <w:jc w:val="right"/>
              <w:rPr>
                <w:rFonts w:eastAsia="Cambria" w:cs="Arial"/>
                <w:color w:val="000000"/>
                <w:sz w:val="22"/>
              </w:rPr>
            </w:pPr>
            <w:r w:rsidRPr="001F1211">
              <w:rPr>
                <w:rFonts w:eastAsia="Cambria" w:cs="Arial"/>
                <w:color w:val="000000"/>
                <w:sz w:val="22"/>
              </w:rPr>
              <w:t>.821</w:t>
            </w:r>
          </w:p>
        </w:tc>
        <w:tc>
          <w:tcPr>
            <w:tcW w:w="1710" w:type="dxa"/>
            <w:tcBorders>
              <w:top w:val="single" w:sz="8" w:space="0" w:color="000000"/>
              <w:left w:val="single" w:sz="8" w:space="0" w:color="000000"/>
              <w:bottom w:val="single" w:sz="8" w:space="0" w:color="000000"/>
              <w:right w:val="single" w:sz="8" w:space="0" w:color="000000"/>
            </w:tcBorders>
            <w:shd w:val="clear" w:color="auto" w:fill="FFFFFF"/>
          </w:tcPr>
          <w:p w:rsidR="001F1959" w:rsidRPr="001F1211" w:rsidRDefault="001F1959" w:rsidP="00AC12B4">
            <w:pPr>
              <w:widowControl w:val="0"/>
              <w:autoSpaceDE w:val="0"/>
              <w:autoSpaceDN w:val="0"/>
              <w:adjustRightInd w:val="0"/>
              <w:ind w:left="60" w:right="60"/>
              <w:jc w:val="right"/>
              <w:rPr>
                <w:rFonts w:eastAsia="Cambria" w:cs="Arial"/>
                <w:color w:val="000000"/>
                <w:sz w:val="22"/>
              </w:rPr>
            </w:pPr>
            <w:r w:rsidRPr="001F1211">
              <w:rPr>
                <w:rFonts w:eastAsia="Cambria" w:cs="Arial"/>
                <w:color w:val="000000"/>
                <w:sz w:val="22"/>
              </w:rPr>
              <w:t>.674</w:t>
            </w:r>
          </w:p>
        </w:tc>
      </w:tr>
      <w:tr w:rsidR="001F1959" w:rsidRPr="008B2A3A">
        <w:trPr>
          <w:cantSplit/>
          <w:jc w:val="center"/>
        </w:trPr>
        <w:tc>
          <w:tcPr>
            <w:tcW w:w="639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1F1959" w:rsidRPr="001F1211" w:rsidRDefault="001F1959" w:rsidP="00AC12B4">
            <w:pPr>
              <w:widowControl w:val="0"/>
              <w:autoSpaceDE w:val="0"/>
              <w:autoSpaceDN w:val="0"/>
              <w:adjustRightInd w:val="0"/>
              <w:ind w:left="60" w:right="60"/>
              <w:rPr>
                <w:rFonts w:eastAsia="Cambria" w:cs="Arial"/>
                <w:color w:val="000000"/>
                <w:sz w:val="22"/>
              </w:rPr>
            </w:pPr>
            <w:r w:rsidRPr="001F1211">
              <w:rPr>
                <w:sz w:val="22"/>
              </w:rPr>
              <w:t>I understand what k-mer means in the context of assembly.</w:t>
            </w:r>
          </w:p>
        </w:tc>
        <w:tc>
          <w:tcPr>
            <w:tcW w:w="1260" w:type="dxa"/>
            <w:tcBorders>
              <w:top w:val="single" w:sz="8" w:space="0" w:color="000000"/>
              <w:left w:val="single" w:sz="8" w:space="0" w:color="000000"/>
              <w:bottom w:val="single" w:sz="8" w:space="0" w:color="000000"/>
              <w:right w:val="single" w:sz="8" w:space="0" w:color="000000"/>
            </w:tcBorders>
            <w:shd w:val="clear" w:color="auto" w:fill="FFFFFF"/>
          </w:tcPr>
          <w:p w:rsidR="001F1959" w:rsidRPr="001F1211" w:rsidRDefault="001F1959" w:rsidP="00AC12B4">
            <w:pPr>
              <w:widowControl w:val="0"/>
              <w:autoSpaceDE w:val="0"/>
              <w:autoSpaceDN w:val="0"/>
              <w:adjustRightInd w:val="0"/>
              <w:ind w:left="60" w:right="60"/>
              <w:jc w:val="right"/>
              <w:rPr>
                <w:rFonts w:eastAsia="Cambria" w:cs="Arial"/>
                <w:color w:val="000000"/>
                <w:sz w:val="22"/>
              </w:rPr>
            </w:pPr>
            <w:r w:rsidRPr="001F1211">
              <w:rPr>
                <w:rFonts w:eastAsia="Cambria" w:cs="Arial"/>
                <w:color w:val="000000"/>
                <w:sz w:val="22"/>
              </w:rPr>
              <w:t>.774</w:t>
            </w:r>
          </w:p>
        </w:tc>
        <w:tc>
          <w:tcPr>
            <w:tcW w:w="1710" w:type="dxa"/>
            <w:tcBorders>
              <w:top w:val="single" w:sz="8" w:space="0" w:color="000000"/>
              <w:left w:val="single" w:sz="8" w:space="0" w:color="000000"/>
              <w:bottom w:val="single" w:sz="8" w:space="0" w:color="000000"/>
              <w:right w:val="single" w:sz="8" w:space="0" w:color="000000"/>
            </w:tcBorders>
            <w:shd w:val="clear" w:color="auto" w:fill="FFFFFF"/>
          </w:tcPr>
          <w:p w:rsidR="001F1959" w:rsidRPr="001F1211" w:rsidRDefault="001F1959" w:rsidP="00AC12B4">
            <w:pPr>
              <w:widowControl w:val="0"/>
              <w:autoSpaceDE w:val="0"/>
              <w:autoSpaceDN w:val="0"/>
              <w:adjustRightInd w:val="0"/>
              <w:ind w:left="60" w:right="60"/>
              <w:jc w:val="right"/>
              <w:rPr>
                <w:rFonts w:eastAsia="Cambria" w:cs="Arial"/>
                <w:color w:val="000000"/>
                <w:sz w:val="22"/>
              </w:rPr>
            </w:pPr>
            <w:r w:rsidRPr="001F1211">
              <w:rPr>
                <w:rFonts w:eastAsia="Cambria" w:cs="Arial"/>
                <w:color w:val="000000"/>
                <w:sz w:val="22"/>
              </w:rPr>
              <w:t>.600</w:t>
            </w:r>
          </w:p>
        </w:tc>
      </w:tr>
      <w:tr w:rsidR="001F1959" w:rsidRPr="008B2A3A">
        <w:trPr>
          <w:cantSplit/>
          <w:jc w:val="center"/>
        </w:trPr>
        <w:tc>
          <w:tcPr>
            <w:tcW w:w="639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1F1959" w:rsidRPr="001F1211" w:rsidRDefault="001F1959" w:rsidP="00AC12B4">
            <w:pPr>
              <w:widowControl w:val="0"/>
              <w:autoSpaceDE w:val="0"/>
              <w:autoSpaceDN w:val="0"/>
              <w:adjustRightInd w:val="0"/>
              <w:ind w:left="60" w:right="60"/>
              <w:rPr>
                <w:rFonts w:eastAsia="Cambria" w:cs="Arial"/>
                <w:color w:val="000000"/>
                <w:sz w:val="22"/>
              </w:rPr>
            </w:pPr>
            <w:r w:rsidRPr="001F1211">
              <w:rPr>
                <w:sz w:val="22"/>
              </w:rPr>
              <w:t>I can use an R package to analyze data.</w:t>
            </w:r>
          </w:p>
        </w:tc>
        <w:tc>
          <w:tcPr>
            <w:tcW w:w="1260" w:type="dxa"/>
            <w:tcBorders>
              <w:top w:val="single" w:sz="8" w:space="0" w:color="000000"/>
              <w:left w:val="single" w:sz="8" w:space="0" w:color="000000"/>
              <w:bottom w:val="single" w:sz="8" w:space="0" w:color="000000"/>
              <w:right w:val="single" w:sz="8" w:space="0" w:color="000000"/>
            </w:tcBorders>
            <w:shd w:val="clear" w:color="auto" w:fill="FFFFFF"/>
          </w:tcPr>
          <w:p w:rsidR="001F1959" w:rsidRPr="001F1211" w:rsidRDefault="001F1959" w:rsidP="00AC12B4">
            <w:pPr>
              <w:widowControl w:val="0"/>
              <w:autoSpaceDE w:val="0"/>
              <w:autoSpaceDN w:val="0"/>
              <w:adjustRightInd w:val="0"/>
              <w:ind w:left="60" w:right="60"/>
              <w:jc w:val="right"/>
              <w:rPr>
                <w:rFonts w:eastAsia="Cambria" w:cs="Arial"/>
                <w:color w:val="000000"/>
                <w:sz w:val="22"/>
              </w:rPr>
            </w:pPr>
            <w:r w:rsidRPr="001F1211">
              <w:rPr>
                <w:rFonts w:eastAsia="Cambria" w:cs="Arial"/>
                <w:color w:val="000000"/>
                <w:sz w:val="22"/>
              </w:rPr>
              <w:t>.469</w:t>
            </w:r>
          </w:p>
        </w:tc>
        <w:tc>
          <w:tcPr>
            <w:tcW w:w="1710" w:type="dxa"/>
            <w:tcBorders>
              <w:top w:val="single" w:sz="8" w:space="0" w:color="000000"/>
              <w:left w:val="single" w:sz="8" w:space="0" w:color="000000"/>
              <w:bottom w:val="single" w:sz="8" w:space="0" w:color="000000"/>
              <w:right w:val="single" w:sz="8" w:space="0" w:color="000000"/>
            </w:tcBorders>
            <w:shd w:val="clear" w:color="auto" w:fill="FFFFFF"/>
          </w:tcPr>
          <w:p w:rsidR="001F1959" w:rsidRPr="001F1211" w:rsidRDefault="001F1959" w:rsidP="00AC12B4">
            <w:pPr>
              <w:widowControl w:val="0"/>
              <w:autoSpaceDE w:val="0"/>
              <w:autoSpaceDN w:val="0"/>
              <w:adjustRightInd w:val="0"/>
              <w:ind w:left="60" w:right="60"/>
              <w:jc w:val="right"/>
              <w:rPr>
                <w:rFonts w:eastAsia="Cambria" w:cs="Arial"/>
                <w:color w:val="000000"/>
                <w:sz w:val="22"/>
              </w:rPr>
            </w:pPr>
            <w:r w:rsidRPr="001F1211">
              <w:rPr>
                <w:rFonts w:eastAsia="Cambria" w:cs="Arial"/>
                <w:color w:val="000000"/>
                <w:sz w:val="22"/>
              </w:rPr>
              <w:t>.220</w:t>
            </w:r>
          </w:p>
        </w:tc>
      </w:tr>
      <w:tr w:rsidR="001F1959" w:rsidRPr="008B2A3A">
        <w:trPr>
          <w:cantSplit/>
          <w:jc w:val="center"/>
        </w:trPr>
        <w:tc>
          <w:tcPr>
            <w:tcW w:w="639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1F1959" w:rsidRPr="001F1211" w:rsidRDefault="001F1959" w:rsidP="00AC12B4">
            <w:pPr>
              <w:widowControl w:val="0"/>
              <w:autoSpaceDE w:val="0"/>
              <w:autoSpaceDN w:val="0"/>
              <w:adjustRightInd w:val="0"/>
              <w:ind w:left="60" w:right="60"/>
              <w:rPr>
                <w:rFonts w:eastAsia="Cambria" w:cs="Arial"/>
                <w:color w:val="000000"/>
                <w:sz w:val="22"/>
              </w:rPr>
            </w:pPr>
            <w:r w:rsidRPr="001F1211">
              <w:rPr>
                <w:sz w:val="22"/>
              </w:rPr>
              <w:t>I can move data out of mothur and into R.</w:t>
            </w:r>
          </w:p>
        </w:tc>
        <w:tc>
          <w:tcPr>
            <w:tcW w:w="1260" w:type="dxa"/>
            <w:tcBorders>
              <w:top w:val="single" w:sz="8" w:space="0" w:color="000000"/>
              <w:left w:val="single" w:sz="8" w:space="0" w:color="000000"/>
              <w:bottom w:val="single" w:sz="8" w:space="0" w:color="000000"/>
              <w:right w:val="single" w:sz="8" w:space="0" w:color="000000"/>
            </w:tcBorders>
            <w:shd w:val="clear" w:color="auto" w:fill="FFFFFF"/>
          </w:tcPr>
          <w:p w:rsidR="001F1959" w:rsidRPr="001F1211" w:rsidRDefault="001F1959" w:rsidP="00AC12B4">
            <w:pPr>
              <w:widowControl w:val="0"/>
              <w:autoSpaceDE w:val="0"/>
              <w:autoSpaceDN w:val="0"/>
              <w:adjustRightInd w:val="0"/>
              <w:ind w:left="60" w:right="60"/>
              <w:jc w:val="right"/>
              <w:rPr>
                <w:rFonts w:eastAsia="Cambria" w:cs="Arial"/>
                <w:color w:val="000000"/>
                <w:sz w:val="22"/>
              </w:rPr>
            </w:pPr>
            <w:r w:rsidRPr="001F1211">
              <w:rPr>
                <w:rFonts w:eastAsia="Cambria" w:cs="Arial"/>
                <w:color w:val="000000"/>
                <w:sz w:val="22"/>
              </w:rPr>
              <w:t>.710</w:t>
            </w:r>
          </w:p>
        </w:tc>
        <w:tc>
          <w:tcPr>
            <w:tcW w:w="1710" w:type="dxa"/>
            <w:tcBorders>
              <w:top w:val="single" w:sz="8" w:space="0" w:color="000000"/>
              <w:left w:val="single" w:sz="8" w:space="0" w:color="000000"/>
              <w:bottom w:val="single" w:sz="8" w:space="0" w:color="000000"/>
              <w:right w:val="single" w:sz="8" w:space="0" w:color="000000"/>
            </w:tcBorders>
            <w:shd w:val="clear" w:color="auto" w:fill="FFFFFF"/>
          </w:tcPr>
          <w:p w:rsidR="001F1959" w:rsidRPr="001F1211" w:rsidRDefault="001F1959" w:rsidP="00AC12B4">
            <w:pPr>
              <w:widowControl w:val="0"/>
              <w:autoSpaceDE w:val="0"/>
              <w:autoSpaceDN w:val="0"/>
              <w:adjustRightInd w:val="0"/>
              <w:ind w:left="60" w:right="60"/>
              <w:jc w:val="right"/>
              <w:rPr>
                <w:rFonts w:eastAsia="Cambria" w:cs="Arial"/>
                <w:color w:val="000000"/>
                <w:sz w:val="22"/>
              </w:rPr>
            </w:pPr>
            <w:r w:rsidRPr="001F1211">
              <w:rPr>
                <w:rFonts w:eastAsia="Cambria" w:cs="Arial"/>
                <w:color w:val="000000"/>
                <w:sz w:val="22"/>
              </w:rPr>
              <w:t>.505</w:t>
            </w:r>
          </w:p>
        </w:tc>
      </w:tr>
      <w:tr w:rsidR="001F1959" w:rsidRPr="008B2A3A">
        <w:trPr>
          <w:cantSplit/>
          <w:jc w:val="center"/>
        </w:trPr>
        <w:tc>
          <w:tcPr>
            <w:tcW w:w="639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1F1959" w:rsidRPr="001F1211" w:rsidRDefault="001F1211" w:rsidP="00AC12B4">
            <w:pPr>
              <w:widowControl w:val="0"/>
              <w:autoSpaceDE w:val="0"/>
              <w:autoSpaceDN w:val="0"/>
              <w:adjustRightInd w:val="0"/>
              <w:ind w:left="60" w:right="60"/>
              <w:rPr>
                <w:rFonts w:eastAsia="Cambria" w:cs="Arial"/>
                <w:color w:val="000000"/>
                <w:sz w:val="22"/>
              </w:rPr>
            </w:pPr>
            <w:r w:rsidRPr="001F1211">
              <w:rPr>
                <w:sz w:val="22"/>
              </w:rPr>
              <w:t>I can find and move files on a computer using terminal.</w:t>
            </w:r>
          </w:p>
        </w:tc>
        <w:tc>
          <w:tcPr>
            <w:tcW w:w="1260" w:type="dxa"/>
            <w:tcBorders>
              <w:top w:val="single" w:sz="8" w:space="0" w:color="000000"/>
              <w:left w:val="single" w:sz="8" w:space="0" w:color="000000"/>
              <w:bottom w:val="single" w:sz="8" w:space="0" w:color="000000"/>
              <w:right w:val="single" w:sz="8" w:space="0" w:color="000000"/>
            </w:tcBorders>
            <w:shd w:val="clear" w:color="auto" w:fill="FFFFFF"/>
          </w:tcPr>
          <w:p w:rsidR="001F1959" w:rsidRPr="001F1211" w:rsidRDefault="001F1959" w:rsidP="00AC12B4">
            <w:pPr>
              <w:widowControl w:val="0"/>
              <w:autoSpaceDE w:val="0"/>
              <w:autoSpaceDN w:val="0"/>
              <w:adjustRightInd w:val="0"/>
              <w:ind w:left="60" w:right="60"/>
              <w:jc w:val="right"/>
              <w:rPr>
                <w:rFonts w:eastAsia="Cambria" w:cs="Arial"/>
                <w:color w:val="000000"/>
                <w:sz w:val="22"/>
              </w:rPr>
            </w:pPr>
            <w:r w:rsidRPr="001F1211">
              <w:rPr>
                <w:rFonts w:eastAsia="Cambria" w:cs="Arial"/>
                <w:color w:val="000000"/>
                <w:sz w:val="22"/>
              </w:rPr>
              <w:t>.626</w:t>
            </w:r>
          </w:p>
        </w:tc>
        <w:tc>
          <w:tcPr>
            <w:tcW w:w="1710" w:type="dxa"/>
            <w:tcBorders>
              <w:top w:val="single" w:sz="8" w:space="0" w:color="000000"/>
              <w:left w:val="single" w:sz="8" w:space="0" w:color="000000"/>
              <w:bottom w:val="single" w:sz="8" w:space="0" w:color="000000"/>
              <w:right w:val="single" w:sz="8" w:space="0" w:color="000000"/>
            </w:tcBorders>
            <w:shd w:val="clear" w:color="auto" w:fill="FFFFFF"/>
          </w:tcPr>
          <w:p w:rsidR="001F1959" w:rsidRPr="001F1211" w:rsidRDefault="001F1959" w:rsidP="00AC12B4">
            <w:pPr>
              <w:widowControl w:val="0"/>
              <w:autoSpaceDE w:val="0"/>
              <w:autoSpaceDN w:val="0"/>
              <w:adjustRightInd w:val="0"/>
              <w:ind w:left="60" w:right="60"/>
              <w:jc w:val="right"/>
              <w:rPr>
                <w:rFonts w:eastAsia="Cambria" w:cs="Arial"/>
                <w:color w:val="000000"/>
                <w:sz w:val="22"/>
              </w:rPr>
            </w:pPr>
            <w:r w:rsidRPr="001F1211">
              <w:rPr>
                <w:rFonts w:eastAsia="Cambria" w:cs="Arial"/>
                <w:color w:val="000000"/>
                <w:sz w:val="22"/>
              </w:rPr>
              <w:t>.391</w:t>
            </w:r>
          </w:p>
        </w:tc>
      </w:tr>
      <w:tr w:rsidR="001F1959" w:rsidRPr="008B2A3A">
        <w:trPr>
          <w:cantSplit/>
          <w:jc w:val="center"/>
        </w:trPr>
        <w:tc>
          <w:tcPr>
            <w:tcW w:w="639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1F1959" w:rsidRPr="001F1211" w:rsidRDefault="001F1211" w:rsidP="00AC12B4">
            <w:pPr>
              <w:widowControl w:val="0"/>
              <w:autoSpaceDE w:val="0"/>
              <w:autoSpaceDN w:val="0"/>
              <w:adjustRightInd w:val="0"/>
              <w:ind w:left="60" w:right="60"/>
              <w:rPr>
                <w:rFonts w:eastAsia="Cambria" w:cs="Arial"/>
                <w:color w:val="000000"/>
                <w:sz w:val="22"/>
              </w:rPr>
            </w:pPr>
            <w:r w:rsidRPr="001F1211">
              <w:rPr>
                <w:sz w:val="22"/>
              </w:rPr>
              <w:t>I can evaluate the quality of raw sequencing data.</w:t>
            </w:r>
          </w:p>
        </w:tc>
        <w:tc>
          <w:tcPr>
            <w:tcW w:w="1260" w:type="dxa"/>
            <w:tcBorders>
              <w:top w:val="single" w:sz="8" w:space="0" w:color="000000"/>
              <w:left w:val="single" w:sz="8" w:space="0" w:color="000000"/>
              <w:bottom w:val="single" w:sz="8" w:space="0" w:color="000000"/>
              <w:right w:val="single" w:sz="8" w:space="0" w:color="000000"/>
            </w:tcBorders>
            <w:shd w:val="clear" w:color="auto" w:fill="FFFFFF"/>
          </w:tcPr>
          <w:p w:rsidR="001F1959" w:rsidRPr="001F1211" w:rsidRDefault="001F1959" w:rsidP="00AC12B4">
            <w:pPr>
              <w:widowControl w:val="0"/>
              <w:autoSpaceDE w:val="0"/>
              <w:autoSpaceDN w:val="0"/>
              <w:adjustRightInd w:val="0"/>
              <w:ind w:left="60" w:right="60"/>
              <w:jc w:val="right"/>
              <w:rPr>
                <w:rFonts w:eastAsia="Cambria" w:cs="Arial"/>
                <w:color w:val="000000"/>
                <w:sz w:val="22"/>
              </w:rPr>
            </w:pPr>
            <w:r w:rsidRPr="001F1211">
              <w:rPr>
                <w:rFonts w:eastAsia="Cambria" w:cs="Arial"/>
                <w:color w:val="000000"/>
                <w:sz w:val="22"/>
              </w:rPr>
              <w:t>.552</w:t>
            </w:r>
          </w:p>
        </w:tc>
        <w:tc>
          <w:tcPr>
            <w:tcW w:w="1710" w:type="dxa"/>
            <w:tcBorders>
              <w:top w:val="single" w:sz="8" w:space="0" w:color="000000"/>
              <w:left w:val="single" w:sz="8" w:space="0" w:color="000000"/>
              <w:bottom w:val="single" w:sz="8" w:space="0" w:color="000000"/>
              <w:right w:val="single" w:sz="8" w:space="0" w:color="000000"/>
            </w:tcBorders>
            <w:shd w:val="clear" w:color="auto" w:fill="FFFFFF"/>
          </w:tcPr>
          <w:p w:rsidR="001F1959" w:rsidRPr="001F1211" w:rsidRDefault="001F1959" w:rsidP="00AC12B4">
            <w:pPr>
              <w:widowControl w:val="0"/>
              <w:autoSpaceDE w:val="0"/>
              <w:autoSpaceDN w:val="0"/>
              <w:adjustRightInd w:val="0"/>
              <w:ind w:left="60" w:right="60"/>
              <w:jc w:val="right"/>
              <w:rPr>
                <w:rFonts w:eastAsia="Cambria" w:cs="Arial"/>
                <w:color w:val="000000"/>
                <w:sz w:val="22"/>
              </w:rPr>
            </w:pPr>
            <w:r w:rsidRPr="001F1211">
              <w:rPr>
                <w:rFonts w:eastAsia="Cambria" w:cs="Arial"/>
                <w:color w:val="000000"/>
                <w:sz w:val="22"/>
              </w:rPr>
              <w:t>.305</w:t>
            </w:r>
          </w:p>
        </w:tc>
      </w:tr>
      <w:tr w:rsidR="001F1959" w:rsidRPr="008B2A3A">
        <w:trPr>
          <w:cantSplit/>
          <w:jc w:val="center"/>
        </w:trPr>
        <w:tc>
          <w:tcPr>
            <w:tcW w:w="639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1F1959" w:rsidRPr="001F1211" w:rsidRDefault="001F1211" w:rsidP="00AC12B4">
            <w:pPr>
              <w:widowControl w:val="0"/>
              <w:autoSpaceDE w:val="0"/>
              <w:autoSpaceDN w:val="0"/>
              <w:adjustRightInd w:val="0"/>
              <w:ind w:left="60" w:right="60"/>
              <w:rPr>
                <w:rFonts w:eastAsia="Cambria" w:cs="Arial"/>
                <w:color w:val="000000"/>
                <w:sz w:val="22"/>
              </w:rPr>
            </w:pPr>
            <w:r w:rsidRPr="001F1211">
              <w:rPr>
                <w:sz w:val="22"/>
              </w:rPr>
              <w:t>I can deposit a sequencing dataset and make it publicly accessible.</w:t>
            </w:r>
          </w:p>
        </w:tc>
        <w:tc>
          <w:tcPr>
            <w:tcW w:w="1260" w:type="dxa"/>
            <w:tcBorders>
              <w:top w:val="single" w:sz="8" w:space="0" w:color="000000"/>
              <w:left w:val="single" w:sz="8" w:space="0" w:color="000000"/>
              <w:bottom w:val="single" w:sz="8" w:space="0" w:color="000000"/>
              <w:right w:val="single" w:sz="8" w:space="0" w:color="000000"/>
            </w:tcBorders>
            <w:shd w:val="clear" w:color="auto" w:fill="FFFFFF"/>
          </w:tcPr>
          <w:p w:rsidR="001F1959" w:rsidRPr="001F1211" w:rsidRDefault="001F1959" w:rsidP="00AC12B4">
            <w:pPr>
              <w:widowControl w:val="0"/>
              <w:autoSpaceDE w:val="0"/>
              <w:autoSpaceDN w:val="0"/>
              <w:adjustRightInd w:val="0"/>
              <w:ind w:left="60" w:right="60"/>
              <w:jc w:val="right"/>
              <w:rPr>
                <w:rFonts w:eastAsia="Cambria" w:cs="Arial"/>
                <w:color w:val="000000"/>
                <w:sz w:val="22"/>
              </w:rPr>
            </w:pPr>
            <w:r w:rsidRPr="001F1211">
              <w:rPr>
                <w:rFonts w:eastAsia="Cambria" w:cs="Arial"/>
                <w:color w:val="000000"/>
                <w:sz w:val="22"/>
              </w:rPr>
              <w:t>.693</w:t>
            </w:r>
          </w:p>
        </w:tc>
        <w:tc>
          <w:tcPr>
            <w:tcW w:w="1710" w:type="dxa"/>
            <w:tcBorders>
              <w:top w:val="single" w:sz="8" w:space="0" w:color="000000"/>
              <w:left w:val="single" w:sz="8" w:space="0" w:color="000000"/>
              <w:bottom w:val="single" w:sz="8" w:space="0" w:color="000000"/>
              <w:right w:val="single" w:sz="8" w:space="0" w:color="000000"/>
            </w:tcBorders>
            <w:shd w:val="clear" w:color="auto" w:fill="FFFFFF"/>
          </w:tcPr>
          <w:p w:rsidR="001F1959" w:rsidRPr="001F1211" w:rsidRDefault="001F1959" w:rsidP="00AC12B4">
            <w:pPr>
              <w:widowControl w:val="0"/>
              <w:autoSpaceDE w:val="0"/>
              <w:autoSpaceDN w:val="0"/>
              <w:adjustRightInd w:val="0"/>
              <w:ind w:left="60" w:right="60"/>
              <w:jc w:val="right"/>
              <w:rPr>
                <w:rFonts w:eastAsia="Cambria" w:cs="Arial"/>
                <w:color w:val="000000"/>
                <w:sz w:val="22"/>
              </w:rPr>
            </w:pPr>
            <w:r w:rsidRPr="001F1211">
              <w:rPr>
                <w:rFonts w:eastAsia="Cambria" w:cs="Arial"/>
                <w:color w:val="000000"/>
                <w:sz w:val="22"/>
              </w:rPr>
              <w:t>.480</w:t>
            </w:r>
          </w:p>
        </w:tc>
      </w:tr>
      <w:tr w:rsidR="001F1959" w:rsidRPr="008B2A3A">
        <w:trPr>
          <w:cantSplit/>
          <w:jc w:val="center"/>
        </w:trPr>
        <w:tc>
          <w:tcPr>
            <w:tcW w:w="639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1F1959" w:rsidRPr="001F1211" w:rsidRDefault="001F1211" w:rsidP="00AC12B4">
            <w:pPr>
              <w:widowControl w:val="0"/>
              <w:autoSpaceDE w:val="0"/>
              <w:autoSpaceDN w:val="0"/>
              <w:adjustRightInd w:val="0"/>
              <w:ind w:left="60" w:right="60"/>
              <w:rPr>
                <w:rFonts w:eastAsia="Cambria" w:cs="Arial"/>
                <w:color w:val="000000"/>
                <w:sz w:val="22"/>
              </w:rPr>
            </w:pPr>
            <w:r w:rsidRPr="001F1211">
              <w:rPr>
                <w:sz w:val="22"/>
              </w:rPr>
              <w:t>I can search for public datasets that are relevant to my own project.</w:t>
            </w:r>
          </w:p>
        </w:tc>
        <w:tc>
          <w:tcPr>
            <w:tcW w:w="1260" w:type="dxa"/>
            <w:tcBorders>
              <w:top w:val="single" w:sz="8" w:space="0" w:color="000000"/>
              <w:left w:val="single" w:sz="8" w:space="0" w:color="000000"/>
              <w:bottom w:val="single" w:sz="8" w:space="0" w:color="000000"/>
              <w:right w:val="single" w:sz="8" w:space="0" w:color="000000"/>
            </w:tcBorders>
            <w:shd w:val="clear" w:color="auto" w:fill="FFFFFF"/>
          </w:tcPr>
          <w:p w:rsidR="001F1959" w:rsidRPr="001F1211" w:rsidRDefault="001F1959" w:rsidP="00AC12B4">
            <w:pPr>
              <w:widowControl w:val="0"/>
              <w:autoSpaceDE w:val="0"/>
              <w:autoSpaceDN w:val="0"/>
              <w:adjustRightInd w:val="0"/>
              <w:ind w:left="60" w:right="60"/>
              <w:jc w:val="right"/>
              <w:rPr>
                <w:rFonts w:eastAsia="Cambria" w:cs="Arial"/>
                <w:color w:val="000000"/>
                <w:sz w:val="22"/>
              </w:rPr>
            </w:pPr>
            <w:r w:rsidRPr="001F1211">
              <w:rPr>
                <w:rFonts w:eastAsia="Cambria" w:cs="Arial"/>
                <w:color w:val="000000"/>
                <w:sz w:val="22"/>
              </w:rPr>
              <w:t>.615</w:t>
            </w:r>
          </w:p>
        </w:tc>
        <w:tc>
          <w:tcPr>
            <w:tcW w:w="1710" w:type="dxa"/>
            <w:tcBorders>
              <w:top w:val="single" w:sz="8" w:space="0" w:color="000000"/>
              <w:left w:val="single" w:sz="8" w:space="0" w:color="000000"/>
              <w:bottom w:val="single" w:sz="8" w:space="0" w:color="000000"/>
              <w:right w:val="single" w:sz="8" w:space="0" w:color="000000"/>
            </w:tcBorders>
            <w:shd w:val="clear" w:color="auto" w:fill="FFFFFF"/>
          </w:tcPr>
          <w:p w:rsidR="001F1959" w:rsidRPr="001F1211" w:rsidRDefault="001F1959" w:rsidP="00AC12B4">
            <w:pPr>
              <w:widowControl w:val="0"/>
              <w:autoSpaceDE w:val="0"/>
              <w:autoSpaceDN w:val="0"/>
              <w:adjustRightInd w:val="0"/>
              <w:ind w:left="60" w:right="60"/>
              <w:jc w:val="right"/>
              <w:rPr>
                <w:rFonts w:eastAsia="Cambria" w:cs="Arial"/>
                <w:color w:val="000000"/>
                <w:sz w:val="22"/>
              </w:rPr>
            </w:pPr>
            <w:r w:rsidRPr="001F1211">
              <w:rPr>
                <w:rFonts w:eastAsia="Cambria" w:cs="Arial"/>
                <w:color w:val="000000"/>
                <w:sz w:val="22"/>
              </w:rPr>
              <w:t>.379</w:t>
            </w:r>
          </w:p>
        </w:tc>
      </w:tr>
      <w:tr w:rsidR="001F1959" w:rsidRPr="008B2A3A">
        <w:trPr>
          <w:cantSplit/>
          <w:jc w:val="center"/>
        </w:trPr>
        <w:tc>
          <w:tcPr>
            <w:tcW w:w="639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1F1959" w:rsidRPr="001F1211" w:rsidRDefault="001F1211" w:rsidP="00AC12B4">
            <w:pPr>
              <w:widowControl w:val="0"/>
              <w:autoSpaceDE w:val="0"/>
              <w:autoSpaceDN w:val="0"/>
              <w:adjustRightInd w:val="0"/>
              <w:ind w:left="60" w:right="60"/>
              <w:rPr>
                <w:rFonts w:eastAsia="Cambria" w:cs="Arial"/>
                <w:color w:val="000000"/>
                <w:sz w:val="22"/>
              </w:rPr>
            </w:pPr>
            <w:r w:rsidRPr="001F1211">
              <w:rPr>
                <w:sz w:val="22"/>
              </w:rPr>
              <w:t>I CANNOT process and quality control AMPLICON metagenome data unless someone else helps me get started.</w:t>
            </w:r>
          </w:p>
        </w:tc>
        <w:tc>
          <w:tcPr>
            <w:tcW w:w="1260" w:type="dxa"/>
            <w:tcBorders>
              <w:top w:val="single" w:sz="8" w:space="0" w:color="000000"/>
              <w:left w:val="single" w:sz="8" w:space="0" w:color="000000"/>
              <w:bottom w:val="single" w:sz="8" w:space="0" w:color="000000"/>
              <w:right w:val="single" w:sz="8" w:space="0" w:color="000000"/>
            </w:tcBorders>
            <w:shd w:val="clear" w:color="auto" w:fill="FFFFFF"/>
          </w:tcPr>
          <w:p w:rsidR="001F1959" w:rsidRPr="001F1211" w:rsidRDefault="00007D6A" w:rsidP="00AC12B4">
            <w:pPr>
              <w:widowControl w:val="0"/>
              <w:autoSpaceDE w:val="0"/>
              <w:autoSpaceDN w:val="0"/>
              <w:adjustRightInd w:val="0"/>
              <w:ind w:left="60" w:right="60"/>
              <w:jc w:val="right"/>
              <w:rPr>
                <w:rFonts w:eastAsia="Cambria" w:cs="Arial"/>
                <w:color w:val="000000"/>
                <w:sz w:val="22"/>
              </w:rPr>
            </w:pPr>
            <w:r>
              <w:rPr>
                <w:rFonts w:eastAsia="Cambria" w:cs="Arial"/>
                <w:color w:val="000000"/>
                <w:sz w:val="22"/>
              </w:rPr>
              <w:t>-</w:t>
            </w:r>
            <w:r w:rsidR="001F1959" w:rsidRPr="001F1211">
              <w:rPr>
                <w:rFonts w:eastAsia="Cambria" w:cs="Arial"/>
                <w:color w:val="000000"/>
                <w:sz w:val="22"/>
              </w:rPr>
              <w:t>.672</w:t>
            </w:r>
          </w:p>
        </w:tc>
        <w:tc>
          <w:tcPr>
            <w:tcW w:w="1710" w:type="dxa"/>
            <w:tcBorders>
              <w:top w:val="single" w:sz="8" w:space="0" w:color="000000"/>
              <w:left w:val="single" w:sz="8" w:space="0" w:color="000000"/>
              <w:bottom w:val="single" w:sz="8" w:space="0" w:color="000000"/>
              <w:right w:val="single" w:sz="8" w:space="0" w:color="000000"/>
            </w:tcBorders>
            <w:shd w:val="clear" w:color="auto" w:fill="FFFFFF"/>
          </w:tcPr>
          <w:p w:rsidR="001F1959" w:rsidRPr="001F1211" w:rsidRDefault="001F1959" w:rsidP="00AC12B4">
            <w:pPr>
              <w:widowControl w:val="0"/>
              <w:autoSpaceDE w:val="0"/>
              <w:autoSpaceDN w:val="0"/>
              <w:adjustRightInd w:val="0"/>
              <w:ind w:left="60" w:right="60"/>
              <w:jc w:val="right"/>
              <w:rPr>
                <w:rFonts w:eastAsia="Cambria" w:cs="Arial"/>
                <w:color w:val="000000"/>
                <w:sz w:val="22"/>
              </w:rPr>
            </w:pPr>
            <w:r w:rsidRPr="001F1211">
              <w:rPr>
                <w:rFonts w:eastAsia="Cambria" w:cs="Arial"/>
                <w:color w:val="000000"/>
                <w:sz w:val="22"/>
              </w:rPr>
              <w:t>.451</w:t>
            </w:r>
          </w:p>
        </w:tc>
      </w:tr>
      <w:tr w:rsidR="001F1959" w:rsidRPr="008B2A3A">
        <w:trPr>
          <w:cantSplit/>
          <w:jc w:val="center"/>
        </w:trPr>
        <w:tc>
          <w:tcPr>
            <w:tcW w:w="639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1F1959" w:rsidRPr="001F1211" w:rsidRDefault="001F1211" w:rsidP="00AC12B4">
            <w:pPr>
              <w:widowControl w:val="0"/>
              <w:autoSpaceDE w:val="0"/>
              <w:autoSpaceDN w:val="0"/>
              <w:adjustRightInd w:val="0"/>
              <w:ind w:left="60" w:right="60"/>
              <w:rPr>
                <w:rFonts w:eastAsia="Cambria" w:cs="Arial"/>
                <w:color w:val="000000"/>
                <w:sz w:val="22"/>
              </w:rPr>
            </w:pPr>
            <w:r w:rsidRPr="001F1211">
              <w:rPr>
                <w:sz w:val="22"/>
              </w:rPr>
              <w:t>I can find ways of overcoming the problem if I get stuck at a point during data analysis.</w:t>
            </w:r>
          </w:p>
        </w:tc>
        <w:tc>
          <w:tcPr>
            <w:tcW w:w="1260" w:type="dxa"/>
            <w:tcBorders>
              <w:top w:val="single" w:sz="8" w:space="0" w:color="000000"/>
              <w:left w:val="single" w:sz="8" w:space="0" w:color="000000"/>
              <w:bottom w:val="single" w:sz="8" w:space="0" w:color="000000"/>
              <w:right w:val="single" w:sz="8" w:space="0" w:color="000000"/>
            </w:tcBorders>
            <w:shd w:val="clear" w:color="auto" w:fill="FFFFFF"/>
          </w:tcPr>
          <w:p w:rsidR="001F1959" w:rsidRPr="001F1211" w:rsidRDefault="001F1959" w:rsidP="00AC12B4">
            <w:pPr>
              <w:widowControl w:val="0"/>
              <w:autoSpaceDE w:val="0"/>
              <w:autoSpaceDN w:val="0"/>
              <w:adjustRightInd w:val="0"/>
              <w:ind w:left="60" w:right="60"/>
              <w:jc w:val="right"/>
              <w:rPr>
                <w:rFonts w:eastAsia="Cambria" w:cs="Arial"/>
                <w:color w:val="000000"/>
                <w:sz w:val="22"/>
              </w:rPr>
            </w:pPr>
            <w:r w:rsidRPr="001F1211">
              <w:rPr>
                <w:rFonts w:eastAsia="Cambria" w:cs="Arial"/>
                <w:color w:val="000000"/>
                <w:sz w:val="22"/>
              </w:rPr>
              <w:t>.605</w:t>
            </w:r>
          </w:p>
        </w:tc>
        <w:tc>
          <w:tcPr>
            <w:tcW w:w="1710" w:type="dxa"/>
            <w:tcBorders>
              <w:top w:val="single" w:sz="8" w:space="0" w:color="000000"/>
              <w:left w:val="single" w:sz="8" w:space="0" w:color="000000"/>
              <w:bottom w:val="single" w:sz="8" w:space="0" w:color="000000"/>
              <w:right w:val="single" w:sz="8" w:space="0" w:color="000000"/>
            </w:tcBorders>
            <w:shd w:val="clear" w:color="auto" w:fill="FFFFFF"/>
          </w:tcPr>
          <w:p w:rsidR="001F1959" w:rsidRPr="001F1211" w:rsidRDefault="001F1959" w:rsidP="00AC12B4">
            <w:pPr>
              <w:widowControl w:val="0"/>
              <w:autoSpaceDE w:val="0"/>
              <w:autoSpaceDN w:val="0"/>
              <w:adjustRightInd w:val="0"/>
              <w:ind w:left="60" w:right="60"/>
              <w:jc w:val="right"/>
              <w:rPr>
                <w:rFonts w:eastAsia="Cambria" w:cs="Arial"/>
                <w:color w:val="000000"/>
                <w:sz w:val="22"/>
              </w:rPr>
            </w:pPr>
            <w:r w:rsidRPr="001F1211">
              <w:rPr>
                <w:rFonts w:eastAsia="Cambria" w:cs="Arial"/>
                <w:color w:val="000000"/>
                <w:sz w:val="22"/>
              </w:rPr>
              <w:t>.366</w:t>
            </w:r>
          </w:p>
        </w:tc>
      </w:tr>
      <w:tr w:rsidR="001F1959" w:rsidRPr="008B2A3A">
        <w:trPr>
          <w:cantSplit/>
          <w:jc w:val="center"/>
        </w:trPr>
        <w:tc>
          <w:tcPr>
            <w:tcW w:w="639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1F1959" w:rsidRPr="001F1211" w:rsidRDefault="001F1211" w:rsidP="00AC12B4">
            <w:pPr>
              <w:widowControl w:val="0"/>
              <w:autoSpaceDE w:val="0"/>
              <w:autoSpaceDN w:val="0"/>
              <w:adjustRightInd w:val="0"/>
              <w:ind w:left="60" w:right="60"/>
              <w:rPr>
                <w:rFonts w:eastAsia="Cambria" w:cs="Arial"/>
                <w:color w:val="000000"/>
                <w:sz w:val="22"/>
              </w:rPr>
            </w:pPr>
            <w:r w:rsidRPr="001F1211">
              <w:rPr>
                <w:sz w:val="22"/>
              </w:rPr>
              <w:t>I can design an experiment collecting 16S marker gene data that someone else can comprehend.</w:t>
            </w:r>
          </w:p>
        </w:tc>
        <w:tc>
          <w:tcPr>
            <w:tcW w:w="1260" w:type="dxa"/>
            <w:tcBorders>
              <w:top w:val="single" w:sz="8" w:space="0" w:color="000000"/>
              <w:left w:val="single" w:sz="8" w:space="0" w:color="000000"/>
              <w:bottom w:val="single" w:sz="8" w:space="0" w:color="000000"/>
              <w:right w:val="single" w:sz="8" w:space="0" w:color="000000"/>
            </w:tcBorders>
            <w:shd w:val="clear" w:color="auto" w:fill="FFFFFF"/>
          </w:tcPr>
          <w:p w:rsidR="001F1959" w:rsidRPr="001F1211" w:rsidRDefault="001F1959" w:rsidP="00AC12B4">
            <w:pPr>
              <w:widowControl w:val="0"/>
              <w:autoSpaceDE w:val="0"/>
              <w:autoSpaceDN w:val="0"/>
              <w:adjustRightInd w:val="0"/>
              <w:ind w:left="60" w:right="60"/>
              <w:jc w:val="right"/>
              <w:rPr>
                <w:rFonts w:eastAsia="Cambria" w:cs="Arial"/>
                <w:color w:val="000000"/>
                <w:sz w:val="22"/>
              </w:rPr>
            </w:pPr>
            <w:r w:rsidRPr="001F1211">
              <w:rPr>
                <w:rFonts w:eastAsia="Cambria" w:cs="Arial"/>
                <w:color w:val="000000"/>
                <w:sz w:val="22"/>
              </w:rPr>
              <w:t>.435</w:t>
            </w:r>
          </w:p>
        </w:tc>
        <w:tc>
          <w:tcPr>
            <w:tcW w:w="1710" w:type="dxa"/>
            <w:tcBorders>
              <w:top w:val="single" w:sz="8" w:space="0" w:color="000000"/>
              <w:left w:val="single" w:sz="8" w:space="0" w:color="000000"/>
              <w:bottom w:val="single" w:sz="8" w:space="0" w:color="000000"/>
              <w:right w:val="single" w:sz="8" w:space="0" w:color="000000"/>
            </w:tcBorders>
            <w:shd w:val="clear" w:color="auto" w:fill="FFFFFF"/>
          </w:tcPr>
          <w:p w:rsidR="001F1959" w:rsidRPr="001F1211" w:rsidRDefault="001F1959" w:rsidP="00AC12B4">
            <w:pPr>
              <w:widowControl w:val="0"/>
              <w:autoSpaceDE w:val="0"/>
              <w:autoSpaceDN w:val="0"/>
              <w:adjustRightInd w:val="0"/>
              <w:ind w:left="60" w:right="60"/>
              <w:jc w:val="right"/>
              <w:rPr>
                <w:rFonts w:eastAsia="Cambria" w:cs="Arial"/>
                <w:color w:val="000000"/>
                <w:sz w:val="22"/>
              </w:rPr>
            </w:pPr>
            <w:r w:rsidRPr="001F1211">
              <w:rPr>
                <w:rFonts w:eastAsia="Cambria" w:cs="Arial"/>
                <w:color w:val="000000"/>
                <w:sz w:val="22"/>
              </w:rPr>
              <w:t>.189</w:t>
            </w:r>
          </w:p>
        </w:tc>
      </w:tr>
    </w:tbl>
    <w:p w:rsidR="001F2010" w:rsidRPr="008B2A3A" w:rsidRDefault="001F2010" w:rsidP="00CF560A">
      <w:pPr>
        <w:widowControl w:val="0"/>
        <w:autoSpaceDE w:val="0"/>
        <w:autoSpaceDN w:val="0"/>
        <w:adjustRightInd w:val="0"/>
        <w:rPr>
          <w:rFonts w:eastAsia="Cambria" w:cs="DejaVu Sans"/>
        </w:rPr>
      </w:pPr>
    </w:p>
    <w:p w:rsidR="001F2010" w:rsidRPr="008B2A3A" w:rsidRDefault="001F2010" w:rsidP="00CF560A">
      <w:pPr>
        <w:widowControl w:val="0"/>
        <w:ind w:firstLine="360"/>
      </w:pPr>
      <w:r w:rsidRPr="008B2A3A">
        <w:rPr>
          <w:i/>
        </w:rPr>
        <w:t>Reliability analysis.</w:t>
      </w:r>
      <w:r w:rsidRPr="008B2A3A">
        <w:rPr>
          <w:b/>
          <w:i/>
        </w:rPr>
        <w:t xml:space="preserve"> </w:t>
      </w:r>
      <w:r w:rsidRPr="008B2A3A">
        <w:t xml:space="preserve">Cronbach’s alpha was calculated to establish internal consistency of items. The scale has </w:t>
      </w:r>
      <w:r w:rsidR="00271A0A" w:rsidRPr="008B2A3A">
        <w:t xml:space="preserve">a very </w:t>
      </w:r>
      <w:r w:rsidRPr="008B2A3A">
        <w:t>high reliability, with a calculated alpha for the sample of 0.</w:t>
      </w:r>
      <w:r w:rsidR="001F1211">
        <w:t>886</w:t>
      </w:r>
      <w:r w:rsidRPr="008B2A3A">
        <w:t>. Despite the small sample, this is above the recommended minimum of 0.70 for analysis of individual scores.</w:t>
      </w:r>
      <w:r w:rsidR="00FF4749">
        <w:t xml:space="preserve"> Note that this value was calculated after reverse coding </w:t>
      </w:r>
      <w:r w:rsidR="00E73C08">
        <w:t xml:space="preserve">of four </w:t>
      </w:r>
      <w:r w:rsidR="00FF4749">
        <w:t>negatively loaded items, as is appropriate for the alpha metric.</w:t>
      </w:r>
    </w:p>
    <w:p w:rsidR="001F2010" w:rsidRPr="008B2A3A" w:rsidRDefault="001F2010" w:rsidP="00CF560A">
      <w:pPr>
        <w:widowControl w:val="0"/>
        <w:rPr>
          <w:b/>
          <w:i/>
        </w:rPr>
      </w:pPr>
    </w:p>
    <w:p w:rsidR="00350115" w:rsidRDefault="001F2010" w:rsidP="00350115">
      <w:pPr>
        <w:widowControl w:val="0"/>
        <w:ind w:firstLine="360"/>
      </w:pPr>
      <w:r w:rsidRPr="005B1B91">
        <w:rPr>
          <w:i/>
        </w:rPr>
        <w:t>Results.</w:t>
      </w:r>
      <w:r w:rsidRPr="005B1B91">
        <w:t xml:space="preserve"> Scores on the </w:t>
      </w:r>
      <w:r w:rsidR="00271A0A" w:rsidRPr="005B1B91">
        <w:t>Coding Ability</w:t>
      </w:r>
      <w:r w:rsidRPr="005B1B91">
        <w:t xml:space="preserve"> scale were calculated for both the pre- and post-workshop surveys. </w:t>
      </w:r>
      <w:r w:rsidR="00350115" w:rsidRPr="005B1B91">
        <w:t>Overall</w:t>
      </w:r>
      <w:r w:rsidR="00350115" w:rsidRPr="00350115">
        <w:t xml:space="preserve"> scale scores were calculated as averages across all </w:t>
      </w:r>
      <w:r w:rsidR="001F1211">
        <w:t>17</w:t>
      </w:r>
      <w:r w:rsidR="00350115" w:rsidRPr="00350115">
        <w:t xml:space="preserve"> items</w:t>
      </w:r>
      <w:r w:rsidR="001F1211">
        <w:t xml:space="preserve"> for all respondents</w:t>
      </w:r>
      <w:r w:rsidR="00350115" w:rsidRPr="00350115">
        <w:t>. Data were inappropriate for parametric tests, so related samples nonparametric tests were run on matched data (n=</w:t>
      </w:r>
      <w:r w:rsidR="00B774C3">
        <w:t>20</w:t>
      </w:r>
      <w:r w:rsidR="00350115" w:rsidRPr="00350115">
        <w:t xml:space="preserve">). </w:t>
      </w:r>
      <w:r w:rsidR="00350115" w:rsidRPr="00817A99">
        <w:t>Results from the Wilcoxon Signed Ranks Test indicate that pre- and post-workshop results are statistically different (Z = -</w:t>
      </w:r>
      <w:r w:rsidR="00817A99" w:rsidRPr="00817A99">
        <w:t>3.922</w:t>
      </w:r>
      <w:r w:rsidR="00350115" w:rsidRPr="00817A99">
        <w:t>, p ≤ 0.001).</w:t>
      </w:r>
      <w:r w:rsidR="00350115" w:rsidRPr="00350115">
        <w:t xml:space="preserve"> Statistical signif</w:t>
      </w:r>
      <w:r w:rsidR="001F1211">
        <w:t>icance and mean results (Table 2</w:t>
      </w:r>
      <w:r w:rsidR="00350115" w:rsidRPr="00350115">
        <w:t xml:space="preserve">) indicate that </w:t>
      </w:r>
      <w:r w:rsidR="00350115">
        <w:t>coding ability</w:t>
      </w:r>
      <w:r w:rsidR="00350115" w:rsidRPr="00350115">
        <w:t xml:space="preserve"> increased as a result of instruction.</w:t>
      </w:r>
    </w:p>
    <w:p w:rsidR="00D3089D" w:rsidRDefault="00D3089D" w:rsidP="00CF5C5E">
      <w:pPr>
        <w:widowControl w:val="0"/>
      </w:pPr>
    </w:p>
    <w:p w:rsidR="00CF5C5E" w:rsidRPr="00D3089D" w:rsidRDefault="00CF5C5E" w:rsidP="00CF5C5E">
      <w:pPr>
        <w:widowControl w:val="0"/>
        <w:rPr>
          <w:b/>
          <w:i/>
        </w:rPr>
      </w:pPr>
      <w:r w:rsidRPr="00D3089D">
        <w:rPr>
          <w:b/>
          <w:i/>
        </w:rPr>
        <w:t>Open-Ended Questions</w:t>
      </w:r>
      <w:r>
        <w:rPr>
          <w:b/>
          <w:i/>
        </w:rPr>
        <w:t xml:space="preserve"> and Box-and-Arrow Diagram</w:t>
      </w:r>
    </w:p>
    <w:p w:rsidR="00CF5C5E" w:rsidRDefault="00CF5C5E" w:rsidP="00CF5C5E">
      <w:pPr>
        <w:widowControl w:val="0"/>
      </w:pPr>
      <w:r>
        <w:t xml:space="preserve">Two open-ended questions </w:t>
      </w:r>
      <w:r w:rsidR="00007D6A">
        <w:t xml:space="preserve">and one box-and-arrow diagram </w:t>
      </w:r>
      <w:r>
        <w:t>related to the concepts covered in the workshop were completed</w:t>
      </w:r>
      <w:r w:rsidR="00AC12B4">
        <w:t xml:space="preserve"> pre- and post-workshop (Table 5</w:t>
      </w:r>
      <w:r>
        <w:t xml:space="preserve">). </w:t>
      </w:r>
      <w:r w:rsidR="00CC5932">
        <w:t>Open-ended</w:t>
      </w:r>
      <w:r>
        <w:t xml:space="preserve"> questions were analyzed for evidence of increased understanding of workshop concepts, specifically as reflected in the complexity of participant responses. Response rates were higher post-workshop for individual questions, suggesting greater ability to respond to questions; as one participant put it pre-workshop, “</w:t>
      </w:r>
      <w:r w:rsidR="001D5D30" w:rsidRPr="001D5D30">
        <w:rPr>
          <w:i/>
        </w:rPr>
        <w:t>I am not familiar with how to analyze d</w:t>
      </w:r>
      <w:r w:rsidR="001D5D30">
        <w:rPr>
          <w:i/>
        </w:rPr>
        <w:t>ata using the Illumina platform</w:t>
      </w:r>
      <w:r w:rsidRPr="00F9261E">
        <w:rPr>
          <w:i/>
        </w:rPr>
        <w:t>.</w:t>
      </w:r>
      <w:r>
        <w:t>” In general, complexity of responses increased from pre- to post-workshop</w:t>
      </w:r>
      <w:r w:rsidR="001D5D30">
        <w:t xml:space="preserve">, with much </w:t>
      </w:r>
      <w:r w:rsidR="00CC5932">
        <w:t>m</w:t>
      </w:r>
      <w:r w:rsidR="001D5D30">
        <w:t>ore discussion of what the participants did not know on pre-workshop surveys</w:t>
      </w:r>
      <w:r>
        <w:t xml:space="preserve">. Further analysis of open-ended responses for accuracy is possible with collaboration between evaluators and workshop facilitators. The box-and arrow diagram asked participants to </w:t>
      </w:r>
      <w:r w:rsidR="001D5D30">
        <w:t>“</w:t>
      </w:r>
      <w:r w:rsidR="001D5D30" w:rsidRPr="001D5D30">
        <w:t>use the Illumina platform to evaluate both the phylogenetic diversity and functional potential</w:t>
      </w:r>
      <w:r w:rsidR="001D5D30">
        <w:t>” of a new microbial community</w:t>
      </w:r>
      <w:r>
        <w:t>. In general, pre-workshop diagrams were much simpler than post-workshop.</w:t>
      </w:r>
      <w:r w:rsidR="001D5D30">
        <w:t xml:space="preserve"> Further analysis of box-and-arrow diagrams should occur in collaboration with the workshop facilitators.</w:t>
      </w:r>
    </w:p>
    <w:p w:rsidR="00CF5C5E" w:rsidRDefault="00CF5C5E" w:rsidP="00CF5C5E">
      <w:pPr>
        <w:widowControl w:val="0"/>
      </w:pPr>
    </w:p>
    <w:p w:rsidR="00CF5C5E" w:rsidRPr="008B2A3A" w:rsidRDefault="00AC12B4" w:rsidP="00CF5C5E">
      <w:pPr>
        <w:widowControl w:val="0"/>
        <w:rPr>
          <w:b/>
          <w:sz w:val="22"/>
        </w:rPr>
      </w:pPr>
      <w:r>
        <w:rPr>
          <w:b/>
          <w:sz w:val="22"/>
        </w:rPr>
        <w:t>Table 5</w:t>
      </w:r>
      <w:r w:rsidR="00CF5C5E" w:rsidRPr="008B2A3A">
        <w:rPr>
          <w:b/>
          <w:sz w:val="22"/>
        </w:rPr>
        <w:t xml:space="preserve">. </w:t>
      </w:r>
      <w:r w:rsidR="00CF5C5E">
        <w:rPr>
          <w:b/>
          <w:sz w:val="22"/>
        </w:rPr>
        <w:t>Open-Ended Response Rates</w:t>
      </w:r>
      <w:r w:rsidR="00CF5C5E" w:rsidRPr="008B2A3A">
        <w:rPr>
          <w:b/>
          <w:sz w:val="22"/>
        </w:rPr>
        <w:t xml:space="preserve"> </w:t>
      </w:r>
    </w:p>
    <w:tbl>
      <w:tblPr>
        <w:tblW w:w="9540" w:type="dxa"/>
        <w:tblInd w:w="5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8" w:type="dxa"/>
          <w:left w:w="58" w:type="dxa"/>
          <w:bottom w:w="58" w:type="dxa"/>
          <w:right w:w="58" w:type="dxa"/>
        </w:tblCellMar>
        <w:tblLook w:val="0000"/>
      </w:tblPr>
      <w:tblGrid>
        <w:gridCol w:w="6570"/>
        <w:gridCol w:w="1440"/>
        <w:gridCol w:w="1530"/>
      </w:tblGrid>
      <w:tr w:rsidR="00CF5C5E" w:rsidRPr="008B2A3A">
        <w:trPr>
          <w:cantSplit/>
          <w:trHeight w:val="300"/>
        </w:trPr>
        <w:tc>
          <w:tcPr>
            <w:tcW w:w="6570" w:type="dxa"/>
            <w:shd w:val="clear" w:color="auto" w:fill="FFFFFF"/>
            <w:vAlign w:val="center"/>
          </w:tcPr>
          <w:p w:rsidR="00CF5C5E" w:rsidRPr="00D3089D" w:rsidRDefault="00CF5C5E" w:rsidP="00AC12B4">
            <w:pPr>
              <w:widowControl w:val="0"/>
              <w:rPr>
                <w:b/>
                <w:sz w:val="22"/>
              </w:rPr>
            </w:pPr>
            <w:r w:rsidRPr="00D3089D">
              <w:rPr>
                <w:b/>
                <w:sz w:val="22"/>
              </w:rPr>
              <w:t>Open-Ended</w:t>
            </w:r>
          </w:p>
        </w:tc>
        <w:tc>
          <w:tcPr>
            <w:tcW w:w="1440" w:type="dxa"/>
            <w:shd w:val="clear" w:color="auto" w:fill="FFFFFF"/>
            <w:vAlign w:val="center"/>
          </w:tcPr>
          <w:p w:rsidR="00CF5C5E" w:rsidRPr="00872E9C" w:rsidRDefault="00CF5C5E" w:rsidP="00AC12B4">
            <w:pPr>
              <w:widowControl w:val="0"/>
              <w:jc w:val="center"/>
              <w:rPr>
                <w:b/>
                <w:sz w:val="22"/>
              </w:rPr>
            </w:pPr>
            <w:r w:rsidRPr="00872E9C">
              <w:rPr>
                <w:b/>
                <w:sz w:val="22"/>
              </w:rPr>
              <w:t>Pre Response Rate*</w:t>
            </w:r>
          </w:p>
        </w:tc>
        <w:tc>
          <w:tcPr>
            <w:tcW w:w="1530" w:type="dxa"/>
            <w:shd w:val="clear" w:color="auto" w:fill="FFFFFF"/>
            <w:vAlign w:val="center"/>
          </w:tcPr>
          <w:p w:rsidR="00CF5C5E" w:rsidRPr="00872E9C" w:rsidRDefault="00CF5C5E" w:rsidP="00AC12B4">
            <w:pPr>
              <w:widowControl w:val="0"/>
              <w:jc w:val="center"/>
              <w:rPr>
                <w:b/>
                <w:sz w:val="22"/>
              </w:rPr>
            </w:pPr>
            <w:r w:rsidRPr="00872E9C">
              <w:rPr>
                <w:b/>
                <w:sz w:val="22"/>
              </w:rPr>
              <w:t>Post Response Rate*</w:t>
            </w:r>
            <w:r w:rsidR="00AC12B4" w:rsidRPr="00872E9C">
              <w:rPr>
                <w:b/>
                <w:sz w:val="22"/>
              </w:rPr>
              <w:t>*</w:t>
            </w:r>
            <w:r w:rsidRPr="00872E9C">
              <w:rPr>
                <w:b/>
                <w:sz w:val="22"/>
              </w:rPr>
              <w:t xml:space="preserve"> </w:t>
            </w:r>
          </w:p>
        </w:tc>
      </w:tr>
      <w:tr w:rsidR="00CF5C5E" w:rsidRPr="008B2A3A">
        <w:trPr>
          <w:cantSplit/>
          <w:trHeight w:val="291"/>
        </w:trPr>
        <w:tc>
          <w:tcPr>
            <w:tcW w:w="6570" w:type="dxa"/>
            <w:shd w:val="clear" w:color="auto" w:fill="FFFFFF"/>
            <w:vAlign w:val="center"/>
          </w:tcPr>
          <w:p w:rsidR="00CF5C5E" w:rsidRPr="007A1D40" w:rsidRDefault="007A1D40" w:rsidP="00AC12B4">
            <w:pPr>
              <w:numPr>
                <w:ilvl w:val="0"/>
                <w:numId w:val="19"/>
              </w:numPr>
              <w:ind w:left="-18"/>
              <w:rPr>
                <w:sz w:val="22"/>
              </w:rPr>
            </w:pPr>
            <w:r w:rsidRPr="007A1D40">
              <w:rPr>
                <w:rFonts w:eastAsia="Cambria"/>
                <w:sz w:val="22"/>
                <w:szCs w:val="20"/>
              </w:rPr>
              <w:t>Suppose that you are doing a 16S marker analysis of the gut microbial community from a non-model worm.  This worm has a unique digestive tract evolved for the breakdown of a specialized diet.  Discuss a sequencing strategy, a number of challenges you expect to face, and what kinds of additional resources are needed to help explore your data set.</w:t>
            </w:r>
          </w:p>
        </w:tc>
        <w:tc>
          <w:tcPr>
            <w:tcW w:w="1440" w:type="dxa"/>
            <w:shd w:val="clear" w:color="auto" w:fill="FFFFFF"/>
            <w:vAlign w:val="center"/>
          </w:tcPr>
          <w:p w:rsidR="00CF5C5E" w:rsidRPr="00872E9C" w:rsidRDefault="001D5D30" w:rsidP="00AC12B4">
            <w:pPr>
              <w:widowControl w:val="0"/>
              <w:autoSpaceDE w:val="0"/>
              <w:autoSpaceDN w:val="0"/>
              <w:adjustRightInd w:val="0"/>
              <w:ind w:left="60" w:right="60"/>
              <w:jc w:val="center"/>
              <w:rPr>
                <w:rFonts w:eastAsia="Cambria" w:cs="Arial"/>
                <w:sz w:val="22"/>
              </w:rPr>
            </w:pPr>
            <w:r w:rsidRPr="00872E9C">
              <w:rPr>
                <w:rFonts w:eastAsia="Cambria" w:cs="Arial"/>
                <w:sz w:val="22"/>
              </w:rPr>
              <w:t>87</w:t>
            </w:r>
            <w:r w:rsidR="00CF5C5E" w:rsidRPr="00872E9C">
              <w:rPr>
                <w:rFonts w:eastAsia="Cambria" w:cs="Arial"/>
                <w:sz w:val="22"/>
              </w:rPr>
              <w:t>%</w:t>
            </w:r>
          </w:p>
        </w:tc>
        <w:tc>
          <w:tcPr>
            <w:tcW w:w="1530" w:type="dxa"/>
            <w:shd w:val="clear" w:color="auto" w:fill="FFFFFF"/>
            <w:vAlign w:val="center"/>
          </w:tcPr>
          <w:p w:rsidR="00CF5C5E" w:rsidRPr="00872E9C" w:rsidRDefault="00AC12B4" w:rsidP="00AC12B4">
            <w:pPr>
              <w:widowControl w:val="0"/>
              <w:autoSpaceDE w:val="0"/>
              <w:autoSpaceDN w:val="0"/>
              <w:adjustRightInd w:val="0"/>
              <w:ind w:left="60" w:right="60"/>
              <w:jc w:val="center"/>
              <w:rPr>
                <w:rFonts w:eastAsia="Cambria" w:cs="Arial"/>
                <w:sz w:val="22"/>
              </w:rPr>
            </w:pPr>
            <w:r w:rsidRPr="00872E9C">
              <w:rPr>
                <w:rFonts w:eastAsia="Cambria" w:cs="Arial"/>
                <w:sz w:val="22"/>
              </w:rPr>
              <w:t>95</w:t>
            </w:r>
            <w:r w:rsidR="00CF5C5E" w:rsidRPr="00872E9C">
              <w:rPr>
                <w:rFonts w:eastAsia="Cambria" w:cs="Arial"/>
                <w:sz w:val="22"/>
              </w:rPr>
              <w:t>%</w:t>
            </w:r>
          </w:p>
        </w:tc>
      </w:tr>
      <w:tr w:rsidR="00CF5C5E" w:rsidRPr="008B2A3A">
        <w:trPr>
          <w:cantSplit/>
          <w:trHeight w:val="291"/>
        </w:trPr>
        <w:tc>
          <w:tcPr>
            <w:tcW w:w="6570" w:type="dxa"/>
            <w:shd w:val="clear" w:color="auto" w:fill="FFFFFF"/>
            <w:vAlign w:val="center"/>
          </w:tcPr>
          <w:p w:rsidR="00CF5C5E" w:rsidRPr="007A1D40" w:rsidRDefault="007A1D40" w:rsidP="00AC12B4">
            <w:pPr>
              <w:tabs>
                <w:tab w:val="center" w:pos="4968"/>
              </w:tabs>
              <w:rPr>
                <w:sz w:val="22"/>
              </w:rPr>
            </w:pPr>
            <w:r w:rsidRPr="007A1D40">
              <w:rPr>
                <w:rFonts w:eastAsia="Cambria"/>
                <w:sz w:val="22"/>
                <w:szCs w:val="20"/>
              </w:rPr>
              <w:t>Suppose that you are using the Illumina platform to sequence total DNA from soil samples.  For this particular study, the soil samples come evenly distributed from two plot types on a single farm - one growing corn, the other dairy cow pasture. Discuss one or more approaches you would take to analyze the data, as well as your expected sensitivity and specificity to taxonomic and functional sequence identification. Include in your discussion the technical limitations of your analysis.</w:t>
            </w:r>
          </w:p>
        </w:tc>
        <w:tc>
          <w:tcPr>
            <w:tcW w:w="1440" w:type="dxa"/>
            <w:shd w:val="clear" w:color="auto" w:fill="FFFFFF"/>
            <w:vAlign w:val="center"/>
          </w:tcPr>
          <w:p w:rsidR="00CF5C5E" w:rsidRPr="00872E9C" w:rsidRDefault="001D5D30" w:rsidP="00AC12B4">
            <w:pPr>
              <w:widowControl w:val="0"/>
              <w:autoSpaceDE w:val="0"/>
              <w:autoSpaceDN w:val="0"/>
              <w:adjustRightInd w:val="0"/>
              <w:ind w:left="60" w:right="60"/>
              <w:jc w:val="center"/>
              <w:rPr>
                <w:rFonts w:eastAsia="Cambria" w:cs="Arial"/>
                <w:sz w:val="22"/>
              </w:rPr>
            </w:pPr>
            <w:r w:rsidRPr="00872E9C">
              <w:rPr>
                <w:rFonts w:eastAsia="Cambria" w:cs="Arial"/>
                <w:sz w:val="22"/>
              </w:rPr>
              <w:t>70</w:t>
            </w:r>
            <w:r w:rsidR="00CF5C5E" w:rsidRPr="00872E9C">
              <w:rPr>
                <w:rFonts w:eastAsia="Cambria" w:cs="Arial"/>
                <w:sz w:val="22"/>
              </w:rPr>
              <w:t>%</w:t>
            </w:r>
          </w:p>
        </w:tc>
        <w:tc>
          <w:tcPr>
            <w:tcW w:w="1530" w:type="dxa"/>
            <w:shd w:val="clear" w:color="auto" w:fill="FFFFFF"/>
            <w:vAlign w:val="center"/>
          </w:tcPr>
          <w:p w:rsidR="00CF5C5E" w:rsidRPr="00872E9C" w:rsidRDefault="00AC12B4" w:rsidP="00AC12B4">
            <w:pPr>
              <w:widowControl w:val="0"/>
              <w:autoSpaceDE w:val="0"/>
              <w:autoSpaceDN w:val="0"/>
              <w:adjustRightInd w:val="0"/>
              <w:ind w:left="60" w:right="60"/>
              <w:jc w:val="center"/>
              <w:rPr>
                <w:rFonts w:eastAsia="Cambria" w:cs="Arial"/>
                <w:sz w:val="22"/>
              </w:rPr>
            </w:pPr>
            <w:r w:rsidRPr="00872E9C">
              <w:rPr>
                <w:rFonts w:eastAsia="Cambria" w:cs="Arial"/>
                <w:sz w:val="22"/>
              </w:rPr>
              <w:t>90</w:t>
            </w:r>
            <w:r w:rsidR="00CF5C5E" w:rsidRPr="00872E9C">
              <w:rPr>
                <w:rFonts w:eastAsia="Cambria" w:cs="Arial"/>
                <w:sz w:val="22"/>
              </w:rPr>
              <w:t>%</w:t>
            </w:r>
          </w:p>
        </w:tc>
      </w:tr>
    </w:tbl>
    <w:p w:rsidR="00CF5C5E" w:rsidRPr="00DB7444" w:rsidRDefault="00CF5C5E" w:rsidP="00CF5C5E">
      <w:pPr>
        <w:widowControl w:val="0"/>
        <w:rPr>
          <w:sz w:val="22"/>
        </w:rPr>
      </w:pPr>
      <w:r w:rsidRPr="00DB7444">
        <w:rPr>
          <w:sz w:val="22"/>
        </w:rPr>
        <w:t xml:space="preserve">*Response rates are </w:t>
      </w:r>
      <w:r>
        <w:rPr>
          <w:sz w:val="22"/>
        </w:rPr>
        <w:t>for participants</w:t>
      </w:r>
      <w:r w:rsidRPr="00DB7444">
        <w:rPr>
          <w:sz w:val="22"/>
        </w:rPr>
        <w:t xml:space="preserve"> completing surveys only</w:t>
      </w:r>
      <w:r>
        <w:rPr>
          <w:sz w:val="22"/>
        </w:rPr>
        <w:t>; “no idea” or similar responses are not included in response rate.</w:t>
      </w:r>
      <w:r w:rsidR="00AC12B4">
        <w:rPr>
          <w:sz w:val="22"/>
        </w:rPr>
        <w:t xml:space="preserve"> **One participant indicated that they knew the answer, did not have enough time to explain for both post-survey questions. This is coded as a non-response.</w:t>
      </w:r>
    </w:p>
    <w:p w:rsidR="00AE19AF" w:rsidRDefault="00AE19AF" w:rsidP="00DB7444">
      <w:pPr>
        <w:widowControl w:val="0"/>
      </w:pPr>
    </w:p>
    <w:p w:rsidR="00AE19AF" w:rsidRPr="00AE19AF" w:rsidRDefault="00AE19AF" w:rsidP="00DB7444">
      <w:pPr>
        <w:widowControl w:val="0"/>
        <w:rPr>
          <w:b/>
          <w:i/>
        </w:rPr>
      </w:pPr>
      <w:r w:rsidRPr="00AE19AF">
        <w:rPr>
          <w:b/>
          <w:i/>
        </w:rPr>
        <w:t>Observations</w:t>
      </w:r>
    </w:p>
    <w:p w:rsidR="00823C74" w:rsidRPr="00350843" w:rsidRDefault="00AE19AF" w:rsidP="00823C74">
      <w:pPr>
        <w:widowControl w:val="0"/>
      </w:pPr>
      <w:r w:rsidRPr="00350843">
        <w:t xml:space="preserve">The workshop was observed </w:t>
      </w:r>
      <w:r w:rsidR="000C459D" w:rsidRPr="00350843">
        <w:t>twice, once at the beginning and once at the end</w:t>
      </w:r>
      <w:r w:rsidRPr="00350843">
        <w:t xml:space="preserve">. </w:t>
      </w:r>
      <w:r w:rsidR="00823C74" w:rsidRPr="00350843">
        <w:t>The EDAMAME workshops were very structured and designed to encourage interaction among the students and instructor. Students appeared attentive and interested in the topics covered in the workshop. The workshop had an interesting tool in place (colored Post-It notes) that students used to signal the instructors if they needed additional help. The visuals used by speakers were acceptable, although there were</w:t>
      </w:r>
      <w:r w:rsidR="00350843" w:rsidRPr="00350843">
        <w:t xml:space="preserve"> times when the font size was too small or the </w:t>
      </w:r>
      <w:r w:rsidR="00823C74" w:rsidRPr="00350843">
        <w:t>audio w</w:t>
      </w:r>
      <w:r w:rsidR="00350843" w:rsidRPr="00350843">
        <w:t>as</w:t>
      </w:r>
      <w:r w:rsidR="00823C74" w:rsidRPr="00350843">
        <w:t xml:space="preserve"> difficult to follow.</w:t>
      </w:r>
      <w:r w:rsidR="00350843" w:rsidRPr="00350843">
        <w:t xml:space="preserve"> Topic transition was somewhat disjointed.</w:t>
      </w:r>
      <w:r w:rsidR="00CC5932">
        <w:t xml:space="preserve"> </w:t>
      </w:r>
      <w:r w:rsidR="00823C74" w:rsidRPr="00350843">
        <w:t xml:space="preserve">Overall, </w:t>
      </w:r>
      <w:r w:rsidR="00350843" w:rsidRPr="00350843">
        <w:t>the structure of the EDAMAME workshop and the built-in methods for interaction between leaders and students were excellent. The workshop may want to set standards for visuals used by speakers and may want to develop new mechanisms for topic transition.</w:t>
      </w:r>
    </w:p>
    <w:p w:rsidR="001F2010" w:rsidRPr="00350843" w:rsidRDefault="001F2010" w:rsidP="00823C74">
      <w:pPr>
        <w:widowControl w:val="0"/>
      </w:pPr>
    </w:p>
    <w:p w:rsidR="00A20206" w:rsidRPr="008B2A3A" w:rsidRDefault="00A20206" w:rsidP="00CF560A">
      <w:pPr>
        <w:widowControl w:val="0"/>
        <w:rPr>
          <w:b/>
        </w:rPr>
      </w:pPr>
      <w:r w:rsidRPr="008B2A3A">
        <w:rPr>
          <w:b/>
          <w:i/>
        </w:rPr>
        <w:t>Overall Workshop Impression</w:t>
      </w:r>
      <w:r w:rsidR="007E2637">
        <w:rPr>
          <w:b/>
          <w:i/>
        </w:rPr>
        <w:t>s</w:t>
      </w:r>
    </w:p>
    <w:p w:rsidR="001C6D35" w:rsidRPr="008B2A3A" w:rsidRDefault="00A20206" w:rsidP="00AE19AF">
      <w:pPr>
        <w:widowControl w:val="0"/>
      </w:pPr>
      <w:r w:rsidRPr="008B2A3A">
        <w:t xml:space="preserve">Participants were asked to respond to </w:t>
      </w:r>
      <w:r w:rsidR="007E2637">
        <w:t>c</w:t>
      </w:r>
      <w:r w:rsidR="001C6D35" w:rsidRPr="008B2A3A">
        <w:t xml:space="preserve">lose-ended </w:t>
      </w:r>
      <w:r w:rsidRPr="008B2A3A">
        <w:t xml:space="preserve">questions related to overall impressions of the workshop (Table 6). </w:t>
      </w:r>
      <w:r w:rsidR="001C6D35" w:rsidRPr="008B2A3A">
        <w:t>Participants also responded to open-ended questions about their expectations for the workshop (pre-survey) and their perceptions of the workshop (post-survey).</w:t>
      </w:r>
      <w:r w:rsidR="0073794C">
        <w:t xml:space="preserve"> </w:t>
      </w:r>
    </w:p>
    <w:p w:rsidR="00CC5932" w:rsidRDefault="00CC5932" w:rsidP="00CF560A">
      <w:pPr>
        <w:widowControl w:val="0"/>
        <w:ind w:firstLine="360"/>
      </w:pPr>
    </w:p>
    <w:p w:rsidR="00CC5932" w:rsidRPr="008B2A3A" w:rsidRDefault="00CC5932" w:rsidP="00CC5932">
      <w:pPr>
        <w:widowControl w:val="0"/>
        <w:rPr>
          <w:b/>
          <w:sz w:val="22"/>
        </w:rPr>
      </w:pPr>
      <w:r w:rsidRPr="008B2A3A">
        <w:rPr>
          <w:b/>
          <w:sz w:val="22"/>
        </w:rPr>
        <w:t xml:space="preserve">Table 6. Overall Workshop Impressions </w:t>
      </w:r>
    </w:p>
    <w:tbl>
      <w:tblPr>
        <w:tblW w:w="8280" w:type="dxa"/>
        <w:tblInd w:w="5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8" w:type="dxa"/>
          <w:left w:w="58" w:type="dxa"/>
          <w:bottom w:w="58" w:type="dxa"/>
          <w:right w:w="58" w:type="dxa"/>
        </w:tblCellMar>
        <w:tblLook w:val="0000"/>
      </w:tblPr>
      <w:tblGrid>
        <w:gridCol w:w="4680"/>
        <w:gridCol w:w="1800"/>
        <w:gridCol w:w="1800"/>
      </w:tblGrid>
      <w:tr w:rsidR="00CC5932" w:rsidRPr="008B2A3A">
        <w:trPr>
          <w:cantSplit/>
          <w:trHeight w:val="300"/>
        </w:trPr>
        <w:tc>
          <w:tcPr>
            <w:tcW w:w="4680" w:type="dxa"/>
            <w:shd w:val="clear" w:color="auto" w:fill="FFFFFF"/>
            <w:vAlign w:val="center"/>
          </w:tcPr>
          <w:p w:rsidR="00CC5932" w:rsidRPr="00215467" w:rsidRDefault="00CC5932" w:rsidP="00CC5932">
            <w:pPr>
              <w:widowControl w:val="0"/>
              <w:rPr>
                <w:b/>
                <w:sz w:val="22"/>
              </w:rPr>
            </w:pPr>
            <w:r w:rsidRPr="00215467">
              <w:rPr>
                <w:b/>
                <w:sz w:val="22"/>
              </w:rPr>
              <w:t>Workshop Components</w:t>
            </w:r>
          </w:p>
        </w:tc>
        <w:tc>
          <w:tcPr>
            <w:tcW w:w="1800" w:type="dxa"/>
            <w:shd w:val="clear" w:color="auto" w:fill="FFFFFF"/>
            <w:vAlign w:val="center"/>
          </w:tcPr>
          <w:p w:rsidR="00CC5932" w:rsidRPr="00215467" w:rsidRDefault="00CC5932" w:rsidP="00CC5932">
            <w:pPr>
              <w:widowControl w:val="0"/>
              <w:jc w:val="center"/>
              <w:rPr>
                <w:b/>
                <w:sz w:val="22"/>
              </w:rPr>
            </w:pPr>
            <w:r w:rsidRPr="00215467">
              <w:rPr>
                <w:b/>
                <w:sz w:val="22"/>
              </w:rPr>
              <w:t>Average Score</w:t>
            </w:r>
          </w:p>
          <w:p w:rsidR="00CC5932" w:rsidRPr="00215467" w:rsidRDefault="00CC5932" w:rsidP="00CC5932">
            <w:pPr>
              <w:widowControl w:val="0"/>
              <w:jc w:val="center"/>
              <w:rPr>
                <w:b/>
                <w:sz w:val="22"/>
              </w:rPr>
            </w:pPr>
            <w:r w:rsidRPr="00215467">
              <w:rPr>
                <w:b/>
                <w:sz w:val="22"/>
              </w:rPr>
              <w:t xml:space="preserve">(ideal score) </w:t>
            </w:r>
          </w:p>
        </w:tc>
        <w:tc>
          <w:tcPr>
            <w:tcW w:w="1800" w:type="dxa"/>
            <w:shd w:val="clear" w:color="auto" w:fill="FFFFFF"/>
            <w:vAlign w:val="center"/>
          </w:tcPr>
          <w:p w:rsidR="00CC5932" w:rsidRPr="00215467" w:rsidRDefault="00CC5932" w:rsidP="00CC5932">
            <w:pPr>
              <w:widowControl w:val="0"/>
              <w:jc w:val="center"/>
              <w:rPr>
                <w:b/>
                <w:sz w:val="22"/>
              </w:rPr>
            </w:pPr>
            <w:r w:rsidRPr="00215467">
              <w:rPr>
                <w:b/>
                <w:sz w:val="22"/>
              </w:rPr>
              <w:t>% Yes</w:t>
            </w:r>
          </w:p>
        </w:tc>
      </w:tr>
      <w:tr w:rsidR="00CC5932" w:rsidRPr="008B2A3A">
        <w:trPr>
          <w:cantSplit/>
          <w:trHeight w:val="291"/>
        </w:trPr>
        <w:tc>
          <w:tcPr>
            <w:tcW w:w="4680" w:type="dxa"/>
            <w:shd w:val="clear" w:color="auto" w:fill="FFFFFF"/>
            <w:vAlign w:val="center"/>
          </w:tcPr>
          <w:p w:rsidR="00CC5932" w:rsidRPr="00215467" w:rsidRDefault="00CC5932" w:rsidP="00CC5932">
            <w:pPr>
              <w:numPr>
                <w:ilvl w:val="0"/>
                <w:numId w:val="19"/>
              </w:numPr>
              <w:ind w:left="-18"/>
              <w:rPr>
                <w:sz w:val="22"/>
              </w:rPr>
            </w:pPr>
            <w:r>
              <w:rPr>
                <w:sz w:val="22"/>
              </w:rPr>
              <w:t>Concept: Alpha Diversity</w:t>
            </w:r>
          </w:p>
        </w:tc>
        <w:tc>
          <w:tcPr>
            <w:tcW w:w="1800" w:type="dxa"/>
            <w:shd w:val="clear" w:color="auto" w:fill="FFFFFF"/>
            <w:vAlign w:val="center"/>
          </w:tcPr>
          <w:p w:rsidR="00CC5932" w:rsidRPr="00215467" w:rsidRDefault="00CC5932" w:rsidP="00CC5932">
            <w:pPr>
              <w:widowControl w:val="0"/>
              <w:autoSpaceDE w:val="0"/>
              <w:autoSpaceDN w:val="0"/>
              <w:adjustRightInd w:val="0"/>
              <w:ind w:left="60" w:right="60"/>
              <w:jc w:val="center"/>
              <w:rPr>
                <w:rFonts w:eastAsia="Cambria" w:cs="Arial"/>
                <w:color w:val="000000"/>
                <w:sz w:val="22"/>
              </w:rPr>
            </w:pPr>
            <w:r w:rsidRPr="00215467">
              <w:rPr>
                <w:rFonts w:eastAsia="Cambria" w:cs="Arial"/>
                <w:color w:val="000000"/>
                <w:sz w:val="22"/>
              </w:rPr>
              <w:t>4.</w:t>
            </w:r>
            <w:r>
              <w:rPr>
                <w:rFonts w:eastAsia="Cambria" w:cs="Arial"/>
                <w:color w:val="000000"/>
                <w:sz w:val="22"/>
              </w:rPr>
              <w:t>52</w:t>
            </w:r>
            <w:r w:rsidRPr="00215467">
              <w:rPr>
                <w:rFonts w:eastAsia="Cambria" w:cs="Arial"/>
                <w:color w:val="000000"/>
                <w:sz w:val="22"/>
              </w:rPr>
              <w:t xml:space="preserve"> (5)</w:t>
            </w:r>
          </w:p>
        </w:tc>
        <w:tc>
          <w:tcPr>
            <w:tcW w:w="1800" w:type="dxa"/>
            <w:shd w:val="clear" w:color="auto" w:fill="FFFFFF"/>
            <w:vAlign w:val="center"/>
          </w:tcPr>
          <w:p w:rsidR="00CC5932" w:rsidRPr="00215467" w:rsidRDefault="00CC5932" w:rsidP="00CC5932">
            <w:pPr>
              <w:widowControl w:val="0"/>
              <w:autoSpaceDE w:val="0"/>
              <w:autoSpaceDN w:val="0"/>
              <w:adjustRightInd w:val="0"/>
              <w:ind w:left="60" w:right="60"/>
              <w:jc w:val="center"/>
              <w:rPr>
                <w:rFonts w:eastAsia="Cambria" w:cs="Arial"/>
                <w:color w:val="000000"/>
                <w:sz w:val="22"/>
              </w:rPr>
            </w:pPr>
            <w:r w:rsidRPr="00215467">
              <w:rPr>
                <w:rFonts w:eastAsia="Cambria" w:cs="Arial"/>
                <w:color w:val="000000"/>
                <w:sz w:val="22"/>
              </w:rPr>
              <w:t>NA</w:t>
            </w:r>
          </w:p>
        </w:tc>
      </w:tr>
      <w:tr w:rsidR="00CC5932" w:rsidRPr="008B2A3A">
        <w:trPr>
          <w:cantSplit/>
          <w:trHeight w:val="291"/>
        </w:trPr>
        <w:tc>
          <w:tcPr>
            <w:tcW w:w="4680" w:type="dxa"/>
            <w:shd w:val="clear" w:color="auto" w:fill="FFFFFF"/>
            <w:vAlign w:val="center"/>
          </w:tcPr>
          <w:p w:rsidR="00CC5932" w:rsidRPr="00215467" w:rsidRDefault="00CC5932" w:rsidP="00CC5932">
            <w:pPr>
              <w:numPr>
                <w:ilvl w:val="0"/>
                <w:numId w:val="19"/>
              </w:numPr>
              <w:ind w:left="-18"/>
              <w:rPr>
                <w:sz w:val="22"/>
              </w:rPr>
            </w:pPr>
            <w:r>
              <w:rPr>
                <w:sz w:val="22"/>
              </w:rPr>
              <w:t>Concept: Beta Diversity</w:t>
            </w:r>
          </w:p>
        </w:tc>
        <w:tc>
          <w:tcPr>
            <w:tcW w:w="1800" w:type="dxa"/>
            <w:shd w:val="clear" w:color="auto" w:fill="FFFFFF"/>
            <w:vAlign w:val="center"/>
          </w:tcPr>
          <w:p w:rsidR="00CC5932" w:rsidRPr="00215467" w:rsidRDefault="00CC5932" w:rsidP="00CC5932">
            <w:pPr>
              <w:widowControl w:val="0"/>
              <w:autoSpaceDE w:val="0"/>
              <w:autoSpaceDN w:val="0"/>
              <w:adjustRightInd w:val="0"/>
              <w:ind w:left="60" w:right="60"/>
              <w:jc w:val="center"/>
              <w:rPr>
                <w:rFonts w:eastAsia="Cambria" w:cs="Arial"/>
                <w:color w:val="000000"/>
                <w:sz w:val="22"/>
              </w:rPr>
            </w:pPr>
            <w:r w:rsidRPr="00215467">
              <w:rPr>
                <w:rFonts w:eastAsia="Cambria" w:cs="Arial"/>
                <w:color w:val="000000"/>
                <w:sz w:val="22"/>
              </w:rPr>
              <w:t>4.</w:t>
            </w:r>
            <w:r>
              <w:rPr>
                <w:rFonts w:eastAsia="Cambria" w:cs="Arial"/>
                <w:color w:val="000000"/>
                <w:sz w:val="22"/>
              </w:rPr>
              <w:t>57</w:t>
            </w:r>
            <w:r w:rsidRPr="00215467">
              <w:rPr>
                <w:rFonts w:eastAsia="Cambria" w:cs="Arial"/>
                <w:color w:val="000000"/>
                <w:sz w:val="22"/>
              </w:rPr>
              <w:t xml:space="preserve"> (5)</w:t>
            </w:r>
          </w:p>
        </w:tc>
        <w:tc>
          <w:tcPr>
            <w:tcW w:w="1800" w:type="dxa"/>
            <w:shd w:val="clear" w:color="auto" w:fill="FFFFFF"/>
            <w:vAlign w:val="center"/>
          </w:tcPr>
          <w:p w:rsidR="00CC5932" w:rsidRPr="00215467" w:rsidRDefault="00CC5932" w:rsidP="00CC5932">
            <w:pPr>
              <w:widowControl w:val="0"/>
              <w:autoSpaceDE w:val="0"/>
              <w:autoSpaceDN w:val="0"/>
              <w:adjustRightInd w:val="0"/>
              <w:ind w:left="60" w:right="60"/>
              <w:jc w:val="center"/>
              <w:rPr>
                <w:rFonts w:eastAsia="Cambria" w:cs="Arial"/>
                <w:color w:val="000000"/>
                <w:sz w:val="22"/>
              </w:rPr>
            </w:pPr>
            <w:r w:rsidRPr="00215467">
              <w:rPr>
                <w:rFonts w:eastAsia="Cambria" w:cs="Arial"/>
                <w:color w:val="000000"/>
                <w:sz w:val="22"/>
              </w:rPr>
              <w:t>NA</w:t>
            </w:r>
          </w:p>
        </w:tc>
      </w:tr>
      <w:tr w:rsidR="00CC5932" w:rsidRPr="008B2A3A">
        <w:trPr>
          <w:cantSplit/>
          <w:trHeight w:val="291"/>
        </w:trPr>
        <w:tc>
          <w:tcPr>
            <w:tcW w:w="4680" w:type="dxa"/>
            <w:shd w:val="clear" w:color="auto" w:fill="FFFFFF"/>
            <w:vAlign w:val="center"/>
          </w:tcPr>
          <w:p w:rsidR="00CC5932" w:rsidRPr="00215467" w:rsidRDefault="00CC5932" w:rsidP="00CC5932">
            <w:pPr>
              <w:numPr>
                <w:ilvl w:val="0"/>
                <w:numId w:val="19"/>
              </w:numPr>
              <w:ind w:left="-18"/>
              <w:rPr>
                <w:sz w:val="22"/>
              </w:rPr>
            </w:pPr>
            <w:r w:rsidRPr="00AC12B4">
              <w:rPr>
                <w:sz w:val="22"/>
              </w:rPr>
              <w:t>Amplicon analyses in QIIME</w:t>
            </w:r>
          </w:p>
        </w:tc>
        <w:tc>
          <w:tcPr>
            <w:tcW w:w="1800" w:type="dxa"/>
            <w:shd w:val="clear" w:color="auto" w:fill="FFFFFF"/>
            <w:vAlign w:val="center"/>
          </w:tcPr>
          <w:p w:rsidR="00CC5932" w:rsidRPr="00215467" w:rsidRDefault="00CC5932" w:rsidP="00CC5932">
            <w:pPr>
              <w:widowControl w:val="0"/>
              <w:autoSpaceDE w:val="0"/>
              <w:autoSpaceDN w:val="0"/>
              <w:adjustRightInd w:val="0"/>
              <w:ind w:left="60" w:right="60"/>
              <w:jc w:val="center"/>
              <w:rPr>
                <w:rFonts w:eastAsia="Cambria" w:cs="Arial"/>
                <w:color w:val="000000"/>
                <w:sz w:val="22"/>
              </w:rPr>
            </w:pPr>
            <w:r w:rsidRPr="00215467">
              <w:rPr>
                <w:rFonts w:eastAsia="Cambria" w:cs="Arial"/>
                <w:color w:val="000000"/>
                <w:sz w:val="22"/>
              </w:rPr>
              <w:t>4.</w:t>
            </w:r>
            <w:r>
              <w:rPr>
                <w:rFonts w:eastAsia="Cambria" w:cs="Arial"/>
                <w:color w:val="000000"/>
                <w:sz w:val="22"/>
              </w:rPr>
              <w:t>3</w:t>
            </w:r>
            <w:r w:rsidRPr="00215467">
              <w:rPr>
                <w:rFonts w:eastAsia="Cambria" w:cs="Arial"/>
                <w:color w:val="000000"/>
                <w:sz w:val="22"/>
              </w:rPr>
              <w:t>8 (5)</w:t>
            </w:r>
          </w:p>
        </w:tc>
        <w:tc>
          <w:tcPr>
            <w:tcW w:w="1800" w:type="dxa"/>
            <w:shd w:val="clear" w:color="auto" w:fill="FFFFFF"/>
            <w:vAlign w:val="center"/>
          </w:tcPr>
          <w:p w:rsidR="00CC5932" w:rsidRPr="00215467" w:rsidRDefault="00CC5932" w:rsidP="00CC5932">
            <w:pPr>
              <w:widowControl w:val="0"/>
              <w:autoSpaceDE w:val="0"/>
              <w:autoSpaceDN w:val="0"/>
              <w:adjustRightInd w:val="0"/>
              <w:ind w:left="60" w:right="60"/>
              <w:jc w:val="center"/>
              <w:rPr>
                <w:rFonts w:eastAsia="Cambria" w:cs="Arial"/>
                <w:color w:val="000000"/>
                <w:sz w:val="22"/>
              </w:rPr>
            </w:pPr>
            <w:r w:rsidRPr="00215467">
              <w:rPr>
                <w:rFonts w:eastAsia="Cambria" w:cs="Arial"/>
                <w:color w:val="000000"/>
                <w:sz w:val="22"/>
              </w:rPr>
              <w:t>NA</w:t>
            </w:r>
          </w:p>
        </w:tc>
      </w:tr>
      <w:tr w:rsidR="00CC5932" w:rsidRPr="008B2A3A">
        <w:trPr>
          <w:cantSplit/>
          <w:trHeight w:val="291"/>
        </w:trPr>
        <w:tc>
          <w:tcPr>
            <w:tcW w:w="4680" w:type="dxa"/>
            <w:shd w:val="clear" w:color="auto" w:fill="FFFFFF"/>
            <w:vAlign w:val="bottom"/>
          </w:tcPr>
          <w:p w:rsidR="00CC5932" w:rsidRPr="00AC12B4" w:rsidRDefault="00CC5932" w:rsidP="00CC5932">
            <w:pPr>
              <w:rPr>
                <w:rFonts w:eastAsia="Cambria"/>
                <w:sz w:val="22"/>
                <w:szCs w:val="20"/>
              </w:rPr>
            </w:pPr>
            <w:r w:rsidRPr="00AC12B4">
              <w:rPr>
                <w:rFonts w:eastAsia="Cambria"/>
                <w:sz w:val="22"/>
                <w:szCs w:val="20"/>
              </w:rPr>
              <w:t>Amazon EC2</w:t>
            </w:r>
          </w:p>
        </w:tc>
        <w:tc>
          <w:tcPr>
            <w:tcW w:w="1800" w:type="dxa"/>
            <w:shd w:val="clear" w:color="auto" w:fill="FFFFFF"/>
            <w:vAlign w:val="center"/>
          </w:tcPr>
          <w:p w:rsidR="00CC5932" w:rsidRPr="00215467" w:rsidRDefault="00CC5932" w:rsidP="00CC5932">
            <w:pPr>
              <w:widowControl w:val="0"/>
              <w:autoSpaceDE w:val="0"/>
              <w:autoSpaceDN w:val="0"/>
              <w:adjustRightInd w:val="0"/>
              <w:ind w:left="60" w:right="60"/>
              <w:jc w:val="center"/>
              <w:rPr>
                <w:rFonts w:eastAsia="Cambria" w:cs="Arial"/>
                <w:color w:val="000000"/>
                <w:sz w:val="22"/>
              </w:rPr>
            </w:pPr>
            <w:r>
              <w:rPr>
                <w:rFonts w:eastAsia="Cambria" w:cs="Arial"/>
                <w:color w:val="000000"/>
                <w:sz w:val="22"/>
              </w:rPr>
              <w:t>3.90</w:t>
            </w:r>
            <w:r w:rsidRPr="00215467">
              <w:rPr>
                <w:rFonts w:eastAsia="Cambria" w:cs="Arial"/>
                <w:color w:val="000000"/>
                <w:sz w:val="22"/>
              </w:rPr>
              <w:t xml:space="preserve"> (5)</w:t>
            </w:r>
          </w:p>
        </w:tc>
        <w:tc>
          <w:tcPr>
            <w:tcW w:w="1800" w:type="dxa"/>
            <w:shd w:val="clear" w:color="auto" w:fill="FFFFFF"/>
            <w:vAlign w:val="center"/>
          </w:tcPr>
          <w:p w:rsidR="00CC5932" w:rsidRPr="00215467" w:rsidRDefault="00CC5932" w:rsidP="00CC5932">
            <w:pPr>
              <w:widowControl w:val="0"/>
              <w:autoSpaceDE w:val="0"/>
              <w:autoSpaceDN w:val="0"/>
              <w:adjustRightInd w:val="0"/>
              <w:ind w:left="60" w:right="60"/>
              <w:jc w:val="center"/>
              <w:rPr>
                <w:rFonts w:eastAsia="Cambria" w:cs="Arial"/>
                <w:color w:val="000000"/>
                <w:sz w:val="22"/>
              </w:rPr>
            </w:pPr>
            <w:r w:rsidRPr="00215467">
              <w:rPr>
                <w:rFonts w:eastAsia="Cambria" w:cs="Arial"/>
                <w:color w:val="000000"/>
                <w:sz w:val="22"/>
              </w:rPr>
              <w:t>NA</w:t>
            </w:r>
          </w:p>
        </w:tc>
      </w:tr>
      <w:tr w:rsidR="00CC5932" w:rsidRPr="008B2A3A">
        <w:trPr>
          <w:cantSplit/>
          <w:trHeight w:val="291"/>
        </w:trPr>
        <w:tc>
          <w:tcPr>
            <w:tcW w:w="4680" w:type="dxa"/>
            <w:shd w:val="clear" w:color="auto" w:fill="FFFFFF"/>
            <w:vAlign w:val="bottom"/>
          </w:tcPr>
          <w:p w:rsidR="00CC5932" w:rsidRPr="00AC12B4" w:rsidRDefault="00CC5932" w:rsidP="00CC5932">
            <w:pPr>
              <w:rPr>
                <w:rFonts w:eastAsia="Cambria"/>
                <w:sz w:val="22"/>
                <w:szCs w:val="20"/>
              </w:rPr>
            </w:pPr>
            <w:r w:rsidRPr="00AC12B4">
              <w:rPr>
                <w:rFonts w:eastAsia="Cambria"/>
                <w:sz w:val="22"/>
                <w:szCs w:val="20"/>
              </w:rPr>
              <w:t>Amplicon analyses in mothur</w:t>
            </w:r>
          </w:p>
        </w:tc>
        <w:tc>
          <w:tcPr>
            <w:tcW w:w="1800" w:type="dxa"/>
            <w:shd w:val="clear" w:color="auto" w:fill="FFFFFF"/>
            <w:vAlign w:val="center"/>
          </w:tcPr>
          <w:p w:rsidR="00CC5932" w:rsidRPr="00215467" w:rsidRDefault="00CC5932" w:rsidP="00CC5932">
            <w:pPr>
              <w:widowControl w:val="0"/>
              <w:autoSpaceDE w:val="0"/>
              <w:autoSpaceDN w:val="0"/>
              <w:adjustRightInd w:val="0"/>
              <w:ind w:left="60" w:right="60"/>
              <w:jc w:val="center"/>
              <w:rPr>
                <w:rFonts w:eastAsia="Cambria" w:cs="Arial"/>
                <w:color w:val="000000"/>
                <w:sz w:val="22"/>
              </w:rPr>
            </w:pPr>
            <w:r>
              <w:rPr>
                <w:rFonts w:eastAsia="Cambria" w:cs="Arial"/>
                <w:color w:val="000000"/>
                <w:sz w:val="22"/>
              </w:rPr>
              <w:t>4.52</w:t>
            </w:r>
            <w:r w:rsidRPr="00215467">
              <w:rPr>
                <w:rFonts w:eastAsia="Cambria" w:cs="Arial"/>
                <w:color w:val="000000"/>
                <w:sz w:val="22"/>
              </w:rPr>
              <w:t xml:space="preserve"> (5)</w:t>
            </w:r>
          </w:p>
        </w:tc>
        <w:tc>
          <w:tcPr>
            <w:tcW w:w="1800" w:type="dxa"/>
            <w:shd w:val="clear" w:color="auto" w:fill="FFFFFF"/>
            <w:vAlign w:val="center"/>
          </w:tcPr>
          <w:p w:rsidR="00CC5932" w:rsidRPr="00215467" w:rsidRDefault="00CC5932" w:rsidP="00CC5932">
            <w:pPr>
              <w:widowControl w:val="0"/>
              <w:autoSpaceDE w:val="0"/>
              <w:autoSpaceDN w:val="0"/>
              <w:adjustRightInd w:val="0"/>
              <w:ind w:left="60" w:right="60"/>
              <w:jc w:val="center"/>
              <w:rPr>
                <w:rFonts w:eastAsia="Cambria" w:cs="Arial"/>
                <w:color w:val="000000"/>
                <w:sz w:val="22"/>
              </w:rPr>
            </w:pPr>
            <w:r w:rsidRPr="00215467">
              <w:rPr>
                <w:rFonts w:eastAsia="Cambria" w:cs="Arial"/>
                <w:color w:val="000000"/>
                <w:sz w:val="22"/>
              </w:rPr>
              <w:t>NA</w:t>
            </w:r>
          </w:p>
        </w:tc>
      </w:tr>
      <w:tr w:rsidR="00CC5932" w:rsidRPr="008B2A3A">
        <w:trPr>
          <w:cantSplit/>
          <w:trHeight w:val="291"/>
        </w:trPr>
        <w:tc>
          <w:tcPr>
            <w:tcW w:w="4680" w:type="dxa"/>
            <w:shd w:val="clear" w:color="auto" w:fill="FFFFFF"/>
            <w:vAlign w:val="bottom"/>
          </w:tcPr>
          <w:p w:rsidR="00CC5932" w:rsidRPr="00AC12B4" w:rsidRDefault="00CC5932" w:rsidP="00CC5932">
            <w:pPr>
              <w:rPr>
                <w:rFonts w:eastAsia="Cambria"/>
                <w:sz w:val="22"/>
                <w:szCs w:val="20"/>
              </w:rPr>
            </w:pPr>
            <w:r w:rsidRPr="00AC12B4">
              <w:rPr>
                <w:rFonts w:eastAsia="Cambria"/>
                <w:sz w:val="22"/>
                <w:szCs w:val="20"/>
              </w:rPr>
              <w:t>Functional analyses with shotgun metagenomics</w:t>
            </w:r>
          </w:p>
        </w:tc>
        <w:tc>
          <w:tcPr>
            <w:tcW w:w="1800" w:type="dxa"/>
            <w:shd w:val="clear" w:color="auto" w:fill="FFFFFF"/>
            <w:vAlign w:val="center"/>
          </w:tcPr>
          <w:p w:rsidR="00CC5932" w:rsidRPr="00215467" w:rsidRDefault="00CC5932" w:rsidP="00CC5932">
            <w:pPr>
              <w:widowControl w:val="0"/>
              <w:autoSpaceDE w:val="0"/>
              <w:autoSpaceDN w:val="0"/>
              <w:adjustRightInd w:val="0"/>
              <w:ind w:left="60" w:right="60"/>
              <w:jc w:val="center"/>
              <w:rPr>
                <w:rFonts w:eastAsia="Cambria" w:cs="Arial"/>
                <w:color w:val="000000"/>
                <w:sz w:val="22"/>
              </w:rPr>
            </w:pPr>
            <w:r w:rsidRPr="00215467">
              <w:rPr>
                <w:rFonts w:eastAsia="Cambria" w:cs="Arial"/>
                <w:color w:val="000000"/>
                <w:sz w:val="22"/>
              </w:rPr>
              <w:t>3.</w:t>
            </w:r>
            <w:r>
              <w:rPr>
                <w:rFonts w:eastAsia="Cambria" w:cs="Arial"/>
                <w:color w:val="000000"/>
                <w:sz w:val="22"/>
              </w:rPr>
              <w:t>19</w:t>
            </w:r>
            <w:r w:rsidRPr="00215467">
              <w:rPr>
                <w:rFonts w:eastAsia="Cambria" w:cs="Arial"/>
                <w:color w:val="000000"/>
                <w:sz w:val="22"/>
              </w:rPr>
              <w:t xml:space="preserve"> (5)</w:t>
            </w:r>
          </w:p>
        </w:tc>
        <w:tc>
          <w:tcPr>
            <w:tcW w:w="1800" w:type="dxa"/>
            <w:shd w:val="clear" w:color="auto" w:fill="FFFFFF"/>
            <w:vAlign w:val="center"/>
          </w:tcPr>
          <w:p w:rsidR="00CC5932" w:rsidRPr="00215467" w:rsidRDefault="00CC5932" w:rsidP="00CC5932">
            <w:pPr>
              <w:widowControl w:val="0"/>
              <w:autoSpaceDE w:val="0"/>
              <w:autoSpaceDN w:val="0"/>
              <w:adjustRightInd w:val="0"/>
              <w:ind w:left="60" w:right="60"/>
              <w:jc w:val="center"/>
              <w:rPr>
                <w:rFonts w:eastAsia="Cambria" w:cs="Arial"/>
                <w:color w:val="000000"/>
                <w:sz w:val="22"/>
              </w:rPr>
            </w:pPr>
            <w:r w:rsidRPr="00215467">
              <w:rPr>
                <w:rFonts w:eastAsia="Cambria" w:cs="Arial"/>
                <w:color w:val="000000"/>
                <w:sz w:val="22"/>
              </w:rPr>
              <w:t>NA</w:t>
            </w:r>
          </w:p>
        </w:tc>
      </w:tr>
      <w:tr w:rsidR="00CC5932" w:rsidRPr="008B2A3A">
        <w:trPr>
          <w:cantSplit/>
          <w:trHeight w:val="291"/>
        </w:trPr>
        <w:tc>
          <w:tcPr>
            <w:tcW w:w="4680" w:type="dxa"/>
            <w:shd w:val="clear" w:color="auto" w:fill="FFFFFF"/>
            <w:vAlign w:val="bottom"/>
          </w:tcPr>
          <w:p w:rsidR="00CC5932" w:rsidRPr="00AC12B4" w:rsidRDefault="00CC5932" w:rsidP="00CC5932">
            <w:pPr>
              <w:rPr>
                <w:rFonts w:eastAsia="Cambria"/>
                <w:sz w:val="22"/>
                <w:szCs w:val="20"/>
              </w:rPr>
            </w:pPr>
            <w:r w:rsidRPr="00AC12B4">
              <w:rPr>
                <w:rFonts w:eastAsia="Cambria"/>
                <w:sz w:val="22"/>
                <w:szCs w:val="20"/>
              </w:rPr>
              <w:t>Shotgun metagenomics assembly</w:t>
            </w:r>
          </w:p>
        </w:tc>
        <w:tc>
          <w:tcPr>
            <w:tcW w:w="1800" w:type="dxa"/>
            <w:shd w:val="clear" w:color="auto" w:fill="FFFFFF"/>
            <w:vAlign w:val="center"/>
          </w:tcPr>
          <w:p w:rsidR="00CC5932" w:rsidRPr="00215467" w:rsidRDefault="00CC5932" w:rsidP="00CC5932">
            <w:pPr>
              <w:widowControl w:val="0"/>
              <w:autoSpaceDE w:val="0"/>
              <w:autoSpaceDN w:val="0"/>
              <w:adjustRightInd w:val="0"/>
              <w:ind w:left="60" w:right="60"/>
              <w:jc w:val="center"/>
              <w:rPr>
                <w:rFonts w:eastAsia="Cambria" w:cs="Arial"/>
                <w:color w:val="000000"/>
                <w:sz w:val="22"/>
              </w:rPr>
            </w:pPr>
            <w:r>
              <w:rPr>
                <w:rFonts w:eastAsia="Cambria" w:cs="Arial"/>
                <w:color w:val="000000"/>
                <w:sz w:val="22"/>
              </w:rPr>
              <w:t>3.05</w:t>
            </w:r>
            <w:r w:rsidRPr="00215467">
              <w:rPr>
                <w:rFonts w:eastAsia="Cambria" w:cs="Arial"/>
                <w:color w:val="000000"/>
                <w:sz w:val="22"/>
              </w:rPr>
              <w:t xml:space="preserve"> (5)</w:t>
            </w:r>
          </w:p>
        </w:tc>
        <w:tc>
          <w:tcPr>
            <w:tcW w:w="1800" w:type="dxa"/>
            <w:shd w:val="clear" w:color="auto" w:fill="FFFFFF"/>
            <w:vAlign w:val="center"/>
          </w:tcPr>
          <w:p w:rsidR="00CC5932" w:rsidRPr="00215467" w:rsidRDefault="00CC5932" w:rsidP="00CC5932">
            <w:pPr>
              <w:widowControl w:val="0"/>
              <w:autoSpaceDE w:val="0"/>
              <w:autoSpaceDN w:val="0"/>
              <w:adjustRightInd w:val="0"/>
              <w:ind w:left="60" w:right="60"/>
              <w:jc w:val="center"/>
              <w:rPr>
                <w:rFonts w:eastAsia="Cambria" w:cs="Arial"/>
                <w:color w:val="000000"/>
                <w:sz w:val="22"/>
              </w:rPr>
            </w:pPr>
            <w:r w:rsidRPr="00215467">
              <w:rPr>
                <w:rFonts w:eastAsia="Cambria" w:cs="Arial"/>
                <w:color w:val="000000"/>
                <w:sz w:val="22"/>
              </w:rPr>
              <w:t>NA</w:t>
            </w:r>
          </w:p>
        </w:tc>
      </w:tr>
      <w:tr w:rsidR="00CC5932" w:rsidRPr="008B2A3A">
        <w:trPr>
          <w:cantSplit/>
        </w:trPr>
        <w:tc>
          <w:tcPr>
            <w:tcW w:w="4680" w:type="dxa"/>
            <w:shd w:val="clear" w:color="auto" w:fill="FFFFFF"/>
            <w:vAlign w:val="bottom"/>
          </w:tcPr>
          <w:p w:rsidR="00CC5932" w:rsidRPr="00AC12B4" w:rsidRDefault="00CC5932" w:rsidP="00CC5932">
            <w:pPr>
              <w:rPr>
                <w:rFonts w:eastAsia="Cambria"/>
                <w:sz w:val="22"/>
                <w:szCs w:val="20"/>
              </w:rPr>
            </w:pPr>
            <w:r w:rsidRPr="00AC12B4">
              <w:rPr>
                <w:rFonts w:eastAsia="Cambria"/>
                <w:sz w:val="22"/>
                <w:szCs w:val="20"/>
              </w:rPr>
              <w:t>High Performance Computing Cluster (HPCC)</w:t>
            </w:r>
          </w:p>
        </w:tc>
        <w:tc>
          <w:tcPr>
            <w:tcW w:w="1800" w:type="dxa"/>
            <w:shd w:val="clear" w:color="auto" w:fill="FFFFFF"/>
            <w:vAlign w:val="center"/>
          </w:tcPr>
          <w:p w:rsidR="00CC5932" w:rsidRPr="00215467" w:rsidRDefault="00CC5932" w:rsidP="00CC5932">
            <w:pPr>
              <w:widowControl w:val="0"/>
              <w:autoSpaceDE w:val="0"/>
              <w:autoSpaceDN w:val="0"/>
              <w:adjustRightInd w:val="0"/>
              <w:ind w:left="60" w:right="60"/>
              <w:jc w:val="center"/>
              <w:rPr>
                <w:rFonts w:eastAsia="Cambria" w:cs="Arial"/>
                <w:color w:val="000000"/>
                <w:sz w:val="22"/>
              </w:rPr>
            </w:pPr>
            <w:r>
              <w:rPr>
                <w:rFonts w:eastAsia="Cambria" w:cs="Arial"/>
                <w:color w:val="000000"/>
                <w:sz w:val="22"/>
              </w:rPr>
              <w:t>4.15 (5)</w:t>
            </w:r>
          </w:p>
        </w:tc>
        <w:tc>
          <w:tcPr>
            <w:tcW w:w="1800" w:type="dxa"/>
            <w:shd w:val="clear" w:color="auto" w:fill="FFFFFF"/>
            <w:vAlign w:val="center"/>
          </w:tcPr>
          <w:p w:rsidR="00CC5932" w:rsidRPr="00215467" w:rsidRDefault="00CC5932" w:rsidP="00CC5932">
            <w:pPr>
              <w:widowControl w:val="0"/>
              <w:autoSpaceDE w:val="0"/>
              <w:autoSpaceDN w:val="0"/>
              <w:adjustRightInd w:val="0"/>
              <w:ind w:left="60" w:right="60"/>
              <w:jc w:val="center"/>
              <w:rPr>
                <w:rFonts w:eastAsia="Cambria" w:cs="Arial"/>
                <w:color w:val="000000"/>
                <w:sz w:val="22"/>
              </w:rPr>
            </w:pPr>
            <w:r w:rsidRPr="00215467">
              <w:rPr>
                <w:rFonts w:eastAsia="Cambria" w:cs="Arial"/>
                <w:color w:val="000000"/>
                <w:sz w:val="22"/>
              </w:rPr>
              <w:t>NA</w:t>
            </w:r>
          </w:p>
        </w:tc>
      </w:tr>
      <w:tr w:rsidR="00CC5932" w:rsidRPr="00215467">
        <w:trPr>
          <w:cantSplit/>
        </w:trPr>
        <w:tc>
          <w:tcPr>
            <w:tcW w:w="4680" w:type="dxa"/>
            <w:shd w:val="clear" w:color="auto" w:fill="FFFFFF"/>
            <w:vAlign w:val="center"/>
          </w:tcPr>
          <w:p w:rsidR="00CC5932" w:rsidRPr="00215467" w:rsidRDefault="00CC5932" w:rsidP="00CC5932">
            <w:pPr>
              <w:ind w:left="-18"/>
              <w:rPr>
                <w:sz w:val="22"/>
              </w:rPr>
            </w:pPr>
            <w:r w:rsidRPr="00215467">
              <w:rPr>
                <w:sz w:val="22"/>
              </w:rPr>
              <w:t>Overall Workshop Rating</w:t>
            </w:r>
          </w:p>
        </w:tc>
        <w:tc>
          <w:tcPr>
            <w:tcW w:w="1800" w:type="dxa"/>
            <w:shd w:val="clear" w:color="auto" w:fill="FFFFFF"/>
            <w:vAlign w:val="center"/>
          </w:tcPr>
          <w:p w:rsidR="00CC5932" w:rsidRPr="00215467" w:rsidRDefault="00CC5932" w:rsidP="00CC5932">
            <w:pPr>
              <w:widowControl w:val="0"/>
              <w:autoSpaceDE w:val="0"/>
              <w:autoSpaceDN w:val="0"/>
              <w:adjustRightInd w:val="0"/>
              <w:ind w:left="60" w:right="60"/>
              <w:jc w:val="center"/>
              <w:rPr>
                <w:rFonts w:eastAsia="Cambria" w:cs="Arial"/>
                <w:color w:val="000000"/>
                <w:sz w:val="22"/>
              </w:rPr>
            </w:pPr>
            <w:r w:rsidRPr="00215467">
              <w:rPr>
                <w:rFonts w:eastAsia="Cambria" w:cs="Arial"/>
                <w:color w:val="000000"/>
                <w:sz w:val="22"/>
              </w:rPr>
              <w:t>4.</w:t>
            </w:r>
            <w:r>
              <w:rPr>
                <w:rFonts w:eastAsia="Cambria" w:cs="Arial"/>
                <w:color w:val="000000"/>
                <w:sz w:val="22"/>
              </w:rPr>
              <w:t>57</w:t>
            </w:r>
            <w:r w:rsidRPr="00215467">
              <w:rPr>
                <w:rFonts w:eastAsia="Cambria" w:cs="Arial"/>
                <w:color w:val="000000"/>
                <w:sz w:val="22"/>
              </w:rPr>
              <w:t>(5)</w:t>
            </w:r>
          </w:p>
        </w:tc>
        <w:tc>
          <w:tcPr>
            <w:tcW w:w="1800" w:type="dxa"/>
            <w:shd w:val="clear" w:color="auto" w:fill="FFFFFF"/>
            <w:vAlign w:val="center"/>
          </w:tcPr>
          <w:p w:rsidR="00CC5932" w:rsidRPr="00215467" w:rsidRDefault="00CC5932" w:rsidP="00CC5932">
            <w:pPr>
              <w:widowControl w:val="0"/>
              <w:autoSpaceDE w:val="0"/>
              <w:autoSpaceDN w:val="0"/>
              <w:adjustRightInd w:val="0"/>
              <w:ind w:left="60" w:right="60"/>
              <w:jc w:val="center"/>
              <w:rPr>
                <w:rFonts w:eastAsia="Cambria" w:cs="Arial"/>
                <w:color w:val="000000"/>
                <w:sz w:val="22"/>
              </w:rPr>
            </w:pPr>
            <w:r>
              <w:rPr>
                <w:rFonts w:eastAsia="Cambria" w:cs="Arial"/>
                <w:color w:val="000000"/>
                <w:sz w:val="22"/>
              </w:rPr>
              <w:t>NA</w:t>
            </w:r>
          </w:p>
        </w:tc>
      </w:tr>
      <w:tr w:rsidR="00CC5932" w:rsidRPr="00215467">
        <w:trPr>
          <w:cantSplit/>
        </w:trPr>
        <w:tc>
          <w:tcPr>
            <w:tcW w:w="4680" w:type="dxa"/>
            <w:shd w:val="clear" w:color="auto" w:fill="FFFFFF"/>
            <w:vAlign w:val="center"/>
          </w:tcPr>
          <w:p w:rsidR="00CC5932" w:rsidRPr="00215467" w:rsidRDefault="00CC5932" w:rsidP="00CC5932">
            <w:pPr>
              <w:ind w:left="-18"/>
              <w:rPr>
                <w:sz w:val="22"/>
              </w:rPr>
            </w:pPr>
            <w:r>
              <w:rPr>
                <w:sz w:val="22"/>
              </w:rPr>
              <w:t>Overall Invited Speaker Rating</w:t>
            </w:r>
          </w:p>
        </w:tc>
        <w:tc>
          <w:tcPr>
            <w:tcW w:w="1800" w:type="dxa"/>
            <w:shd w:val="clear" w:color="auto" w:fill="FFFFFF"/>
            <w:vAlign w:val="center"/>
          </w:tcPr>
          <w:p w:rsidR="00CC5932" w:rsidRPr="00215467" w:rsidRDefault="00CC5932" w:rsidP="00CC5932">
            <w:pPr>
              <w:widowControl w:val="0"/>
              <w:autoSpaceDE w:val="0"/>
              <w:autoSpaceDN w:val="0"/>
              <w:adjustRightInd w:val="0"/>
              <w:ind w:left="60" w:right="60"/>
              <w:jc w:val="center"/>
              <w:rPr>
                <w:rFonts w:eastAsia="Cambria" w:cs="Arial"/>
                <w:color w:val="000000"/>
                <w:sz w:val="22"/>
              </w:rPr>
            </w:pPr>
            <w:r>
              <w:rPr>
                <w:rFonts w:eastAsia="Cambria" w:cs="Arial"/>
                <w:color w:val="000000"/>
                <w:sz w:val="22"/>
              </w:rPr>
              <w:t>4.81 (5)</w:t>
            </w:r>
          </w:p>
        </w:tc>
        <w:tc>
          <w:tcPr>
            <w:tcW w:w="1800" w:type="dxa"/>
            <w:shd w:val="clear" w:color="auto" w:fill="FFFFFF"/>
            <w:vAlign w:val="center"/>
          </w:tcPr>
          <w:p w:rsidR="00CC5932" w:rsidRPr="00215467" w:rsidRDefault="00CC5932" w:rsidP="00CC5932">
            <w:pPr>
              <w:widowControl w:val="0"/>
              <w:autoSpaceDE w:val="0"/>
              <w:autoSpaceDN w:val="0"/>
              <w:adjustRightInd w:val="0"/>
              <w:ind w:left="60" w:right="60"/>
              <w:jc w:val="center"/>
              <w:rPr>
                <w:rFonts w:eastAsia="Cambria" w:cs="Arial"/>
                <w:color w:val="000000"/>
                <w:sz w:val="22"/>
              </w:rPr>
            </w:pPr>
            <w:r w:rsidRPr="00215467">
              <w:rPr>
                <w:rFonts w:eastAsia="Cambria" w:cs="Arial"/>
                <w:color w:val="000000"/>
                <w:sz w:val="22"/>
              </w:rPr>
              <w:t>NA</w:t>
            </w:r>
          </w:p>
        </w:tc>
      </w:tr>
      <w:tr w:rsidR="00CC5932" w:rsidRPr="008B2A3A">
        <w:trPr>
          <w:cantSplit/>
        </w:trPr>
        <w:tc>
          <w:tcPr>
            <w:tcW w:w="4680" w:type="dxa"/>
            <w:shd w:val="clear" w:color="auto" w:fill="FFFFFF"/>
          </w:tcPr>
          <w:p w:rsidR="00CC5932" w:rsidRPr="00215467" w:rsidRDefault="00CC5932" w:rsidP="00CC5932">
            <w:pPr>
              <w:widowControl w:val="0"/>
              <w:rPr>
                <w:sz w:val="22"/>
              </w:rPr>
            </w:pPr>
            <w:r w:rsidRPr="00215467">
              <w:rPr>
                <w:sz w:val="22"/>
              </w:rPr>
              <w:t>Meet Needs?</w:t>
            </w:r>
          </w:p>
        </w:tc>
        <w:tc>
          <w:tcPr>
            <w:tcW w:w="1800" w:type="dxa"/>
            <w:shd w:val="clear" w:color="auto" w:fill="FFFFFF"/>
            <w:vAlign w:val="center"/>
          </w:tcPr>
          <w:p w:rsidR="00CC5932" w:rsidRPr="00215467" w:rsidRDefault="00CC5932" w:rsidP="00CC5932">
            <w:pPr>
              <w:widowControl w:val="0"/>
              <w:autoSpaceDE w:val="0"/>
              <w:autoSpaceDN w:val="0"/>
              <w:adjustRightInd w:val="0"/>
              <w:ind w:left="60" w:right="60"/>
              <w:jc w:val="center"/>
              <w:rPr>
                <w:rFonts w:eastAsia="Cambria" w:cs="Arial"/>
                <w:color w:val="000000"/>
                <w:sz w:val="22"/>
              </w:rPr>
            </w:pPr>
            <w:r>
              <w:rPr>
                <w:rFonts w:eastAsia="Cambria" w:cs="Arial"/>
                <w:color w:val="000000"/>
                <w:sz w:val="22"/>
              </w:rPr>
              <w:t>3.67</w:t>
            </w:r>
            <w:r w:rsidRPr="00215467">
              <w:rPr>
                <w:rFonts w:eastAsia="Cambria" w:cs="Arial"/>
                <w:color w:val="000000"/>
                <w:sz w:val="22"/>
              </w:rPr>
              <w:t xml:space="preserve"> (4)</w:t>
            </w:r>
          </w:p>
        </w:tc>
        <w:tc>
          <w:tcPr>
            <w:tcW w:w="1800" w:type="dxa"/>
            <w:shd w:val="clear" w:color="auto" w:fill="FFFFFF"/>
            <w:vAlign w:val="center"/>
          </w:tcPr>
          <w:p w:rsidR="00CC5932" w:rsidRPr="00215467" w:rsidRDefault="00CC5932" w:rsidP="00CC5932">
            <w:pPr>
              <w:widowControl w:val="0"/>
              <w:autoSpaceDE w:val="0"/>
              <w:autoSpaceDN w:val="0"/>
              <w:adjustRightInd w:val="0"/>
              <w:ind w:left="60" w:right="60"/>
              <w:jc w:val="center"/>
              <w:rPr>
                <w:rFonts w:eastAsia="Cambria" w:cs="Arial"/>
                <w:color w:val="000000"/>
                <w:sz w:val="22"/>
              </w:rPr>
            </w:pPr>
            <w:r w:rsidRPr="00215467">
              <w:rPr>
                <w:rFonts w:eastAsia="Cambria" w:cs="Arial"/>
                <w:color w:val="000000"/>
                <w:sz w:val="22"/>
              </w:rPr>
              <w:t>NA</w:t>
            </w:r>
          </w:p>
        </w:tc>
      </w:tr>
      <w:tr w:rsidR="00CC5932" w:rsidRPr="008B2A3A">
        <w:trPr>
          <w:cantSplit/>
        </w:trPr>
        <w:tc>
          <w:tcPr>
            <w:tcW w:w="4680" w:type="dxa"/>
            <w:shd w:val="clear" w:color="auto" w:fill="FFFFFF"/>
          </w:tcPr>
          <w:p w:rsidR="00CC5932" w:rsidRPr="00215467" w:rsidRDefault="00CC5932" w:rsidP="00CC5932">
            <w:pPr>
              <w:widowControl w:val="0"/>
              <w:rPr>
                <w:sz w:val="22"/>
              </w:rPr>
            </w:pPr>
            <w:r w:rsidRPr="00215467">
              <w:rPr>
                <w:sz w:val="22"/>
              </w:rPr>
              <w:t>Learn What Hoped to Learn?</w:t>
            </w:r>
          </w:p>
        </w:tc>
        <w:tc>
          <w:tcPr>
            <w:tcW w:w="1800" w:type="dxa"/>
            <w:shd w:val="clear" w:color="auto" w:fill="FFFFFF"/>
            <w:vAlign w:val="center"/>
          </w:tcPr>
          <w:p w:rsidR="00CC5932" w:rsidRPr="00215467" w:rsidRDefault="00CC5932" w:rsidP="00CC5932">
            <w:pPr>
              <w:widowControl w:val="0"/>
              <w:autoSpaceDE w:val="0"/>
              <w:autoSpaceDN w:val="0"/>
              <w:adjustRightInd w:val="0"/>
              <w:ind w:left="60" w:right="60"/>
              <w:jc w:val="center"/>
              <w:rPr>
                <w:rFonts w:eastAsia="Cambria" w:cs="Arial"/>
                <w:color w:val="000000"/>
                <w:sz w:val="22"/>
              </w:rPr>
            </w:pPr>
            <w:r w:rsidRPr="00215467">
              <w:rPr>
                <w:rFonts w:eastAsia="Cambria" w:cs="Arial"/>
                <w:color w:val="000000"/>
                <w:sz w:val="22"/>
              </w:rPr>
              <w:t>NA</w:t>
            </w:r>
          </w:p>
        </w:tc>
        <w:tc>
          <w:tcPr>
            <w:tcW w:w="1800" w:type="dxa"/>
            <w:shd w:val="clear" w:color="auto" w:fill="FFFFFF"/>
            <w:vAlign w:val="center"/>
          </w:tcPr>
          <w:p w:rsidR="00CC5932" w:rsidRPr="00215467" w:rsidRDefault="00CC5932" w:rsidP="00CC5932">
            <w:pPr>
              <w:widowControl w:val="0"/>
              <w:autoSpaceDE w:val="0"/>
              <w:autoSpaceDN w:val="0"/>
              <w:adjustRightInd w:val="0"/>
              <w:ind w:left="60" w:right="60"/>
              <w:jc w:val="center"/>
              <w:rPr>
                <w:rFonts w:eastAsia="Cambria" w:cs="Arial"/>
                <w:color w:val="000000"/>
                <w:sz w:val="22"/>
              </w:rPr>
            </w:pPr>
            <w:r>
              <w:rPr>
                <w:rFonts w:eastAsia="Cambria" w:cs="Arial"/>
                <w:color w:val="000000"/>
                <w:sz w:val="22"/>
              </w:rPr>
              <w:t>95</w:t>
            </w:r>
            <w:r w:rsidRPr="00215467">
              <w:rPr>
                <w:rFonts w:eastAsia="Cambria" w:cs="Arial"/>
                <w:color w:val="000000"/>
                <w:sz w:val="22"/>
              </w:rPr>
              <w:t>%</w:t>
            </w:r>
          </w:p>
        </w:tc>
      </w:tr>
      <w:tr w:rsidR="00CC5932" w:rsidRPr="008B2A3A">
        <w:trPr>
          <w:cantSplit/>
        </w:trPr>
        <w:tc>
          <w:tcPr>
            <w:tcW w:w="4680" w:type="dxa"/>
            <w:shd w:val="clear" w:color="auto" w:fill="FFFFFF"/>
          </w:tcPr>
          <w:p w:rsidR="00CC5932" w:rsidRPr="00215467" w:rsidRDefault="00CC5932" w:rsidP="00CC5932">
            <w:pPr>
              <w:widowControl w:val="0"/>
              <w:rPr>
                <w:sz w:val="22"/>
              </w:rPr>
            </w:pPr>
            <w:r w:rsidRPr="00215467">
              <w:rPr>
                <w:sz w:val="22"/>
              </w:rPr>
              <w:t>Computational Understanding Change?</w:t>
            </w:r>
          </w:p>
        </w:tc>
        <w:tc>
          <w:tcPr>
            <w:tcW w:w="1800" w:type="dxa"/>
            <w:shd w:val="clear" w:color="auto" w:fill="FFFFFF"/>
            <w:vAlign w:val="center"/>
          </w:tcPr>
          <w:p w:rsidR="00CC5932" w:rsidRPr="00215467" w:rsidRDefault="00CC5932" w:rsidP="00CC5932">
            <w:pPr>
              <w:widowControl w:val="0"/>
              <w:autoSpaceDE w:val="0"/>
              <w:autoSpaceDN w:val="0"/>
              <w:adjustRightInd w:val="0"/>
              <w:ind w:left="60" w:right="60"/>
              <w:jc w:val="center"/>
              <w:rPr>
                <w:rFonts w:eastAsia="Cambria" w:cs="Arial"/>
                <w:color w:val="000000"/>
                <w:sz w:val="22"/>
              </w:rPr>
            </w:pPr>
            <w:r w:rsidRPr="00215467">
              <w:rPr>
                <w:rFonts w:eastAsia="Cambria" w:cs="Arial"/>
                <w:color w:val="000000"/>
                <w:sz w:val="22"/>
              </w:rPr>
              <w:t>NA</w:t>
            </w:r>
          </w:p>
        </w:tc>
        <w:tc>
          <w:tcPr>
            <w:tcW w:w="1800" w:type="dxa"/>
            <w:shd w:val="clear" w:color="auto" w:fill="FFFFFF"/>
            <w:vAlign w:val="center"/>
          </w:tcPr>
          <w:p w:rsidR="00CC5932" w:rsidRPr="00215467" w:rsidRDefault="00CC5932" w:rsidP="00CC5932">
            <w:pPr>
              <w:widowControl w:val="0"/>
              <w:autoSpaceDE w:val="0"/>
              <w:autoSpaceDN w:val="0"/>
              <w:adjustRightInd w:val="0"/>
              <w:ind w:left="60" w:right="60"/>
              <w:jc w:val="center"/>
              <w:rPr>
                <w:rFonts w:eastAsia="Cambria" w:cs="Arial"/>
                <w:color w:val="000000"/>
                <w:sz w:val="22"/>
              </w:rPr>
            </w:pPr>
            <w:r w:rsidRPr="00215467">
              <w:rPr>
                <w:rFonts w:eastAsia="Cambria" w:cs="Arial"/>
                <w:color w:val="000000"/>
                <w:sz w:val="22"/>
              </w:rPr>
              <w:t>9</w:t>
            </w:r>
            <w:r>
              <w:rPr>
                <w:rFonts w:eastAsia="Cambria" w:cs="Arial"/>
                <w:color w:val="000000"/>
                <w:sz w:val="22"/>
              </w:rPr>
              <w:t>5</w:t>
            </w:r>
            <w:r w:rsidRPr="00215467">
              <w:rPr>
                <w:rFonts w:eastAsia="Cambria" w:cs="Arial"/>
                <w:color w:val="000000"/>
                <w:sz w:val="22"/>
              </w:rPr>
              <w:t>%</w:t>
            </w:r>
          </w:p>
        </w:tc>
      </w:tr>
      <w:tr w:rsidR="00CC5932" w:rsidRPr="008B2A3A">
        <w:trPr>
          <w:cantSplit/>
        </w:trPr>
        <w:tc>
          <w:tcPr>
            <w:tcW w:w="4680" w:type="dxa"/>
            <w:tcBorders>
              <w:top w:val="single" w:sz="8" w:space="0" w:color="000000"/>
              <w:left w:val="single" w:sz="8" w:space="0" w:color="000000"/>
              <w:bottom w:val="single" w:sz="8" w:space="0" w:color="000000"/>
              <w:right w:val="single" w:sz="8" w:space="0" w:color="000000"/>
            </w:tcBorders>
            <w:shd w:val="clear" w:color="auto" w:fill="FFFFFF"/>
          </w:tcPr>
          <w:p w:rsidR="00CC5932" w:rsidRPr="00215467" w:rsidRDefault="00CC5932" w:rsidP="00CC5932">
            <w:pPr>
              <w:widowControl w:val="0"/>
              <w:rPr>
                <w:sz w:val="22"/>
              </w:rPr>
            </w:pPr>
            <w:r w:rsidRPr="00215467">
              <w:rPr>
                <w:sz w:val="22"/>
              </w:rPr>
              <w:t>Recommend Workshop?</w:t>
            </w:r>
          </w:p>
        </w:tc>
        <w:tc>
          <w:tcPr>
            <w:tcW w:w="180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CC5932" w:rsidRPr="00215467" w:rsidRDefault="00CC5932" w:rsidP="00CC5932">
            <w:pPr>
              <w:widowControl w:val="0"/>
              <w:autoSpaceDE w:val="0"/>
              <w:autoSpaceDN w:val="0"/>
              <w:adjustRightInd w:val="0"/>
              <w:ind w:left="60" w:right="60"/>
              <w:jc w:val="center"/>
              <w:rPr>
                <w:rFonts w:eastAsia="Cambria" w:cs="Arial"/>
                <w:color w:val="000000"/>
                <w:sz w:val="22"/>
              </w:rPr>
            </w:pPr>
            <w:r w:rsidRPr="00215467">
              <w:rPr>
                <w:rFonts w:eastAsia="Cambria" w:cs="Arial"/>
                <w:color w:val="000000"/>
                <w:sz w:val="22"/>
              </w:rPr>
              <w:t>NA</w:t>
            </w:r>
          </w:p>
        </w:tc>
        <w:tc>
          <w:tcPr>
            <w:tcW w:w="180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CC5932" w:rsidRPr="00215467" w:rsidRDefault="00CC5932" w:rsidP="00CC5932">
            <w:pPr>
              <w:widowControl w:val="0"/>
              <w:autoSpaceDE w:val="0"/>
              <w:autoSpaceDN w:val="0"/>
              <w:adjustRightInd w:val="0"/>
              <w:ind w:left="60" w:right="60"/>
              <w:jc w:val="center"/>
              <w:rPr>
                <w:rFonts w:eastAsia="Cambria" w:cs="Arial"/>
                <w:color w:val="000000"/>
                <w:sz w:val="22"/>
              </w:rPr>
            </w:pPr>
            <w:r>
              <w:rPr>
                <w:rFonts w:eastAsia="Cambria" w:cs="Arial"/>
                <w:color w:val="000000"/>
                <w:sz w:val="22"/>
              </w:rPr>
              <w:t>100</w:t>
            </w:r>
            <w:r w:rsidRPr="00215467">
              <w:rPr>
                <w:rFonts w:eastAsia="Cambria" w:cs="Arial"/>
                <w:color w:val="000000"/>
                <w:sz w:val="22"/>
              </w:rPr>
              <w:t>%</w:t>
            </w:r>
          </w:p>
        </w:tc>
      </w:tr>
    </w:tbl>
    <w:p w:rsidR="00CC5932" w:rsidRPr="008B2A3A" w:rsidRDefault="00CC5932" w:rsidP="00CC5932">
      <w:pPr>
        <w:widowControl w:val="0"/>
      </w:pPr>
    </w:p>
    <w:p w:rsidR="00A20206" w:rsidRPr="008B2A3A" w:rsidRDefault="001C6D35" w:rsidP="001C6D35">
      <w:pPr>
        <w:widowControl w:val="0"/>
        <w:ind w:firstLine="360"/>
      </w:pPr>
      <w:r w:rsidRPr="008B2A3A">
        <w:rPr>
          <w:i/>
        </w:rPr>
        <w:t>Close-Ended Questions.</w:t>
      </w:r>
      <w:r w:rsidRPr="008B2A3A">
        <w:t xml:space="preserve"> </w:t>
      </w:r>
      <w:r w:rsidR="00AC12B4">
        <w:t>Twelve</w:t>
      </w:r>
      <w:r w:rsidR="00A20206" w:rsidRPr="008B2A3A">
        <w:t xml:space="preserve"> questions asked participants to rate components of the workshop, as well as the overall workshop</w:t>
      </w:r>
      <w:r w:rsidR="00AC12B4">
        <w:t xml:space="preserve"> and speakers</w:t>
      </w:r>
      <w:r w:rsidR="005B1B91">
        <w:t>,</w:t>
      </w:r>
      <w:r w:rsidR="00A20206" w:rsidRPr="008B2A3A">
        <w:t xml:space="preserve"> on a 5-point Likert scale of Very Poor-Poor-Adequate-Good-Very Good. A 1 corresponds to a Very Poor rating and a 5 corresponds to a Very Good Rating. Participants were also asked if the workshop met their needs</w:t>
      </w:r>
      <w:r w:rsidR="001A57B9" w:rsidRPr="008B2A3A">
        <w:t xml:space="preserve"> on a 4-point scale (4=very well)</w:t>
      </w:r>
      <w:r w:rsidR="00A20206" w:rsidRPr="008B2A3A">
        <w:t xml:space="preserve">, if they learned as expected from the workshop, if understanding of computational science changed, and if they would recommend the workshop. </w:t>
      </w:r>
    </w:p>
    <w:p w:rsidR="00A20206" w:rsidRPr="008B2A3A" w:rsidRDefault="00A20206" w:rsidP="00CF560A">
      <w:pPr>
        <w:widowControl w:val="0"/>
        <w:ind w:firstLine="360"/>
      </w:pPr>
    </w:p>
    <w:p w:rsidR="005E16D7" w:rsidRPr="008B2A3A" w:rsidRDefault="00A20206" w:rsidP="0073794C">
      <w:pPr>
        <w:widowControl w:val="0"/>
        <w:ind w:firstLine="360"/>
      </w:pPr>
      <w:r w:rsidRPr="008B2A3A">
        <w:rPr>
          <w:i/>
        </w:rPr>
        <w:t>Results.</w:t>
      </w:r>
      <w:r w:rsidRPr="008B2A3A">
        <w:t xml:space="preserve"> </w:t>
      </w:r>
      <w:r w:rsidR="005E16D7" w:rsidRPr="008B2A3A">
        <w:t xml:space="preserve">Post-workshop responses to questions about the efficacy of the workshop indicate that participants were generally very satisfied with the workshop (Table 6). </w:t>
      </w:r>
      <w:r w:rsidR="00872E9C">
        <w:t>In general</w:t>
      </w:r>
      <w:r w:rsidR="005E16D7" w:rsidRPr="008B2A3A">
        <w:t xml:space="preserve">, participants rated the workshop components as Good-Very Good. </w:t>
      </w:r>
      <w:r w:rsidR="00872E9C">
        <w:t>Two exceptions</w:t>
      </w:r>
      <w:r w:rsidR="005E16D7" w:rsidRPr="008B2A3A">
        <w:t xml:space="preserve"> (</w:t>
      </w:r>
      <w:r w:rsidR="00872E9C">
        <w:t>Functional ana</w:t>
      </w:r>
      <w:r w:rsidR="0073794C">
        <w:t xml:space="preserve">lyses with shotgun metagenomics; </w:t>
      </w:r>
      <w:r w:rsidR="00872E9C">
        <w:t>Shotgun metagenomics assembly</w:t>
      </w:r>
      <w:r w:rsidR="005E16D7" w:rsidRPr="008B2A3A">
        <w:t>) w</w:t>
      </w:r>
      <w:r w:rsidR="00872E9C">
        <w:t>ere</w:t>
      </w:r>
      <w:r w:rsidR="00215467">
        <w:t xml:space="preserve"> rated Adequate-Good. </w:t>
      </w:r>
      <w:r w:rsidR="0073794C">
        <w:t>Both concepts were related to shotgun metagenomics</w:t>
      </w:r>
      <w:r w:rsidR="009C6965">
        <w:t>; subsequent comments on the survey suggest that this part of the workshop did not function correctly. W</w:t>
      </w:r>
      <w:r w:rsidR="00215467">
        <w:t xml:space="preserve">orkshop leaders may want to </w:t>
      </w:r>
      <w:r w:rsidR="0073794C">
        <w:t>reconsider how this content is taught</w:t>
      </w:r>
      <w:r w:rsidR="00215467">
        <w:t>.</w:t>
      </w:r>
    </w:p>
    <w:p w:rsidR="001A57B9" w:rsidRPr="008B2A3A" w:rsidRDefault="005E16D7" w:rsidP="00CF560A">
      <w:pPr>
        <w:widowControl w:val="0"/>
        <w:ind w:firstLine="360"/>
      </w:pPr>
      <w:r w:rsidRPr="008B2A3A">
        <w:t xml:space="preserve">Participants generally felt the workshop met their needs and would overwhelmingly recommend it to others. </w:t>
      </w:r>
      <w:r w:rsidR="001A57B9" w:rsidRPr="008B2A3A">
        <w:t xml:space="preserve">Participants gave the workshop a rating of </w:t>
      </w:r>
      <w:r w:rsidR="00215467">
        <w:t>4.</w:t>
      </w:r>
      <w:r w:rsidR="0073794C">
        <w:t>57</w:t>
      </w:r>
      <w:r w:rsidR="001A57B9" w:rsidRPr="008B2A3A">
        <w:t xml:space="preserve"> out of </w:t>
      </w:r>
      <w:r w:rsidR="00215467">
        <w:t>5</w:t>
      </w:r>
      <w:r w:rsidR="001A57B9" w:rsidRPr="008B2A3A">
        <w:t xml:space="preserve">, indicating the workshop met their needs well to very well. </w:t>
      </w:r>
      <w:r w:rsidR="0073794C">
        <w:t>Ninety-five</w:t>
      </w:r>
      <w:r w:rsidRPr="008B2A3A">
        <w:t xml:space="preserve"> percent (n=</w:t>
      </w:r>
      <w:r w:rsidR="00215467">
        <w:t>20</w:t>
      </w:r>
      <w:r w:rsidRPr="008B2A3A">
        <w:t>) of participants felt their computatio</w:t>
      </w:r>
      <w:r w:rsidR="00215467">
        <w:t>nal understanding changed</w:t>
      </w:r>
      <w:r w:rsidR="0073794C">
        <w:t xml:space="preserve"> and that they had learned what they hoped to learn</w:t>
      </w:r>
      <w:r w:rsidR="00215467">
        <w:t xml:space="preserve">, </w:t>
      </w:r>
      <w:r w:rsidR="0073794C">
        <w:t>while 100</w:t>
      </w:r>
      <w:r w:rsidRPr="008B2A3A">
        <w:t>% (n=</w:t>
      </w:r>
      <w:r w:rsidR="0073794C">
        <w:t>21</w:t>
      </w:r>
      <w:r w:rsidR="00215467">
        <w:t xml:space="preserve">) </w:t>
      </w:r>
      <w:r w:rsidRPr="008B2A3A">
        <w:t>would recommend the workshop to others.</w:t>
      </w:r>
    </w:p>
    <w:p w:rsidR="001C6D35" w:rsidRPr="008B2A3A" w:rsidRDefault="001C6D35" w:rsidP="00CF560A">
      <w:pPr>
        <w:widowControl w:val="0"/>
        <w:ind w:firstLine="360"/>
      </w:pPr>
    </w:p>
    <w:p w:rsidR="001C6D35" w:rsidRPr="008B2A3A" w:rsidRDefault="001C6D35" w:rsidP="00CF560A">
      <w:pPr>
        <w:widowControl w:val="0"/>
        <w:ind w:firstLine="360"/>
      </w:pPr>
      <w:r w:rsidRPr="008B2A3A">
        <w:rPr>
          <w:i/>
        </w:rPr>
        <w:t>Qualitative Data: Participant Expectations and Perceptions.</w:t>
      </w:r>
      <w:r w:rsidRPr="008B2A3A">
        <w:t xml:space="preserve"> On the pre-survey, participants responded to a prompt: “</w:t>
      </w:r>
      <w:r w:rsidRPr="008B2A3A">
        <w:rPr>
          <w:i/>
        </w:rPr>
        <w:t>Please provide any additional comments about your expectations for the workshop below</w:t>
      </w:r>
      <w:r w:rsidRPr="008B2A3A">
        <w:t>.” Participants also responded to a similar post-survey question: “</w:t>
      </w:r>
      <w:r w:rsidRPr="008B2A3A">
        <w:rPr>
          <w:i/>
        </w:rPr>
        <w:t>Please provide any additional suggestions or comments about the workshop below.</w:t>
      </w:r>
      <w:r w:rsidRPr="008B2A3A">
        <w:t>”, and were given opportunities to comment to each of the three yes-no questions in Table 6.</w:t>
      </w:r>
    </w:p>
    <w:p w:rsidR="001C6D35" w:rsidRPr="00AE19AF" w:rsidRDefault="001C6D35" w:rsidP="00CF560A">
      <w:pPr>
        <w:widowControl w:val="0"/>
        <w:ind w:firstLine="360"/>
      </w:pPr>
    </w:p>
    <w:p w:rsidR="00E46E82" w:rsidRPr="00AE19AF" w:rsidRDefault="001C6D35" w:rsidP="00E46E82">
      <w:pPr>
        <w:widowControl w:val="0"/>
        <w:ind w:firstLine="360"/>
      </w:pPr>
      <w:r w:rsidRPr="00AE19AF">
        <w:rPr>
          <w:i/>
        </w:rPr>
        <w:t>Results.</w:t>
      </w:r>
      <w:r w:rsidRPr="00AE19AF">
        <w:t xml:space="preserve"> </w:t>
      </w:r>
      <w:r w:rsidR="0073794C">
        <w:t>Eleven</w:t>
      </w:r>
      <w:r w:rsidRPr="00AE19AF">
        <w:t xml:space="preserve"> participants provided comments about expectations on the pre-survey (Table 7). </w:t>
      </w:r>
      <w:r w:rsidR="00E46E82" w:rsidRPr="00AE19AF">
        <w:t>These comments related to interest in analyzing sequencing data, use of multiple data sets, and increasing understanding of tools. Given their brevity, pre-workshop expectations are provided</w:t>
      </w:r>
      <w:r w:rsidR="0073794C">
        <w:t xml:space="preserve"> verbatim</w:t>
      </w:r>
      <w:r w:rsidR="00E46E82" w:rsidRPr="00AE19AF">
        <w:t>:</w:t>
      </w:r>
    </w:p>
    <w:p w:rsidR="0073794C" w:rsidRPr="0073794C" w:rsidRDefault="0073794C" w:rsidP="00CC5932">
      <w:pPr>
        <w:pStyle w:val="ListParagraph"/>
        <w:widowControl w:val="0"/>
        <w:numPr>
          <w:ilvl w:val="0"/>
          <w:numId w:val="25"/>
        </w:numPr>
        <w:tabs>
          <w:tab w:val="left" w:pos="900"/>
        </w:tabs>
        <w:ind w:left="900"/>
        <w:rPr>
          <w:rFonts w:ascii="Times New Roman" w:hAnsi="Times New Roman"/>
          <w:i/>
          <w:sz w:val="22"/>
        </w:rPr>
      </w:pPr>
      <w:r w:rsidRPr="0073794C">
        <w:rPr>
          <w:rFonts w:ascii="Times New Roman" w:hAnsi="Times New Roman"/>
          <w:i/>
          <w:sz w:val="22"/>
        </w:rPr>
        <w:t>I expect to learn how to take Illumina-type data and go through the process of data analysis.</w:t>
      </w:r>
    </w:p>
    <w:p w:rsidR="0073794C" w:rsidRPr="0073794C" w:rsidRDefault="0073794C" w:rsidP="00CC5932">
      <w:pPr>
        <w:pStyle w:val="ListParagraph"/>
        <w:widowControl w:val="0"/>
        <w:numPr>
          <w:ilvl w:val="0"/>
          <w:numId w:val="25"/>
        </w:numPr>
        <w:tabs>
          <w:tab w:val="left" w:pos="900"/>
        </w:tabs>
        <w:ind w:left="900"/>
        <w:rPr>
          <w:rFonts w:ascii="Times New Roman" w:hAnsi="Times New Roman"/>
          <w:i/>
          <w:sz w:val="22"/>
        </w:rPr>
      </w:pPr>
      <w:r w:rsidRPr="0073794C">
        <w:rPr>
          <w:rFonts w:ascii="Times New Roman" w:hAnsi="Times New Roman"/>
          <w:i/>
          <w:sz w:val="22"/>
        </w:rPr>
        <w:t>I am thrilled to be here!</w:t>
      </w:r>
    </w:p>
    <w:p w:rsidR="0073794C" w:rsidRPr="0073794C" w:rsidRDefault="0073794C" w:rsidP="00CC5932">
      <w:pPr>
        <w:pStyle w:val="ListParagraph"/>
        <w:widowControl w:val="0"/>
        <w:numPr>
          <w:ilvl w:val="0"/>
          <w:numId w:val="25"/>
        </w:numPr>
        <w:tabs>
          <w:tab w:val="left" w:pos="900"/>
        </w:tabs>
        <w:ind w:left="900"/>
        <w:rPr>
          <w:rFonts w:ascii="Times New Roman" w:hAnsi="Times New Roman"/>
          <w:i/>
          <w:sz w:val="22"/>
        </w:rPr>
      </w:pPr>
      <w:r w:rsidRPr="0073794C">
        <w:rPr>
          <w:rFonts w:ascii="Times New Roman" w:hAnsi="Times New Roman"/>
          <w:i/>
          <w:sz w:val="22"/>
        </w:rPr>
        <w:t>I hope to gain the necessary skill in order to successfully complete my graduate thesis project.</w:t>
      </w:r>
    </w:p>
    <w:p w:rsidR="0073794C" w:rsidRPr="0073794C" w:rsidRDefault="0073794C" w:rsidP="00CC5932">
      <w:pPr>
        <w:pStyle w:val="ListParagraph"/>
        <w:widowControl w:val="0"/>
        <w:numPr>
          <w:ilvl w:val="0"/>
          <w:numId w:val="25"/>
        </w:numPr>
        <w:tabs>
          <w:tab w:val="left" w:pos="900"/>
        </w:tabs>
        <w:ind w:left="900"/>
        <w:rPr>
          <w:rFonts w:ascii="Times New Roman" w:hAnsi="Times New Roman"/>
          <w:i/>
          <w:sz w:val="22"/>
        </w:rPr>
      </w:pPr>
      <w:r w:rsidRPr="0073794C">
        <w:rPr>
          <w:rFonts w:ascii="Times New Roman" w:hAnsi="Times New Roman"/>
          <w:i/>
          <w:sz w:val="22"/>
        </w:rPr>
        <w:t>Looking forward to learning how to utilize R for statistical analysis.   Additionally, the metagenomic data analysis is very interesting.  I only have experience using QIIME so everything else will be new.</w:t>
      </w:r>
    </w:p>
    <w:p w:rsidR="0073794C" w:rsidRPr="0073794C" w:rsidRDefault="0073794C" w:rsidP="00CC5932">
      <w:pPr>
        <w:pStyle w:val="ListParagraph"/>
        <w:widowControl w:val="0"/>
        <w:numPr>
          <w:ilvl w:val="0"/>
          <w:numId w:val="25"/>
        </w:numPr>
        <w:tabs>
          <w:tab w:val="left" w:pos="900"/>
        </w:tabs>
        <w:ind w:left="907"/>
        <w:rPr>
          <w:rFonts w:ascii="Times New Roman" w:hAnsi="Times New Roman"/>
          <w:i/>
          <w:sz w:val="22"/>
        </w:rPr>
      </w:pPr>
      <w:r w:rsidRPr="0073794C">
        <w:rPr>
          <w:rFonts w:ascii="Times New Roman" w:hAnsi="Times New Roman"/>
          <w:i/>
          <w:sz w:val="22"/>
        </w:rPr>
        <w:t>I expect to learn a lot about how to conduct metagenomic analyses.</w:t>
      </w:r>
    </w:p>
    <w:p w:rsidR="0073794C" w:rsidRPr="0073794C" w:rsidRDefault="0073794C" w:rsidP="00CC5932">
      <w:pPr>
        <w:pStyle w:val="ListParagraph"/>
        <w:widowControl w:val="0"/>
        <w:numPr>
          <w:ilvl w:val="0"/>
          <w:numId w:val="25"/>
        </w:numPr>
        <w:tabs>
          <w:tab w:val="left" w:pos="900"/>
        </w:tabs>
        <w:ind w:left="907"/>
        <w:rPr>
          <w:rFonts w:ascii="Times New Roman" w:hAnsi="Times New Roman"/>
          <w:i/>
          <w:sz w:val="22"/>
        </w:rPr>
      </w:pPr>
      <w:r w:rsidRPr="0073794C">
        <w:rPr>
          <w:rFonts w:ascii="Times New Roman" w:hAnsi="Times New Roman"/>
          <w:i/>
          <w:sz w:val="22"/>
        </w:rPr>
        <w:t>By the end I hope to know how to:</w:t>
      </w:r>
      <w:r>
        <w:rPr>
          <w:rFonts w:ascii="Times New Roman" w:hAnsi="Times New Roman"/>
          <w:i/>
          <w:sz w:val="22"/>
        </w:rPr>
        <w:t xml:space="preserve"> 1) </w:t>
      </w:r>
      <w:r w:rsidRPr="0073794C">
        <w:rPr>
          <w:rFonts w:ascii="Times New Roman" w:hAnsi="Times New Roman"/>
          <w:i/>
          <w:sz w:val="22"/>
        </w:rPr>
        <w:t>Perform a metagenomic analysis from DNA to Annotation</w:t>
      </w:r>
      <w:r>
        <w:rPr>
          <w:rFonts w:ascii="Times New Roman" w:hAnsi="Times New Roman"/>
          <w:i/>
          <w:sz w:val="22"/>
        </w:rPr>
        <w:t xml:space="preserve">; 2) </w:t>
      </w:r>
      <w:r w:rsidRPr="0073794C">
        <w:rPr>
          <w:rFonts w:ascii="Times New Roman" w:hAnsi="Times New Roman"/>
          <w:i/>
          <w:sz w:val="22"/>
        </w:rPr>
        <w:t>Perform and determine applicable statistical ana</w:t>
      </w:r>
      <w:r>
        <w:rPr>
          <w:rFonts w:ascii="Times New Roman" w:hAnsi="Times New Roman"/>
          <w:i/>
          <w:sz w:val="22"/>
        </w:rPr>
        <w:t>lyses to compare microbial data; Use mothur</w:t>
      </w:r>
    </w:p>
    <w:p w:rsidR="0073794C" w:rsidRPr="0073794C" w:rsidRDefault="0073794C" w:rsidP="00CC5932">
      <w:pPr>
        <w:pStyle w:val="ListParagraph"/>
        <w:widowControl w:val="0"/>
        <w:numPr>
          <w:ilvl w:val="0"/>
          <w:numId w:val="25"/>
        </w:numPr>
        <w:tabs>
          <w:tab w:val="left" w:pos="900"/>
        </w:tabs>
        <w:ind w:left="907"/>
        <w:rPr>
          <w:rFonts w:ascii="Times New Roman" w:hAnsi="Times New Roman"/>
          <w:i/>
          <w:sz w:val="22"/>
        </w:rPr>
      </w:pPr>
      <w:r w:rsidRPr="0073794C">
        <w:rPr>
          <w:rFonts w:ascii="Times New Roman" w:hAnsi="Times New Roman"/>
          <w:i/>
          <w:sz w:val="22"/>
        </w:rPr>
        <w:t>I expect to leave this workshop with the knowledge and confidence to analyze large microbial datasets and to be able to properly answer all of these questions.</w:t>
      </w:r>
    </w:p>
    <w:p w:rsidR="0073794C" w:rsidRPr="0073794C" w:rsidRDefault="0073794C" w:rsidP="00CC5932">
      <w:pPr>
        <w:pStyle w:val="ListParagraph"/>
        <w:widowControl w:val="0"/>
        <w:numPr>
          <w:ilvl w:val="0"/>
          <w:numId w:val="25"/>
        </w:numPr>
        <w:tabs>
          <w:tab w:val="left" w:pos="900"/>
        </w:tabs>
        <w:ind w:left="900"/>
        <w:rPr>
          <w:rFonts w:ascii="Times New Roman" w:hAnsi="Times New Roman"/>
          <w:i/>
          <w:sz w:val="22"/>
        </w:rPr>
      </w:pPr>
      <w:r w:rsidRPr="0073794C">
        <w:rPr>
          <w:rFonts w:ascii="Times New Roman" w:hAnsi="Times New Roman"/>
          <w:i/>
          <w:sz w:val="22"/>
        </w:rPr>
        <w:t>I hope to understand the bioinformatic steps of analyzing sequence data more thoroughly, and at least obtain a basic understanding of the concepts.  I would like to be able to know the process from A-Z so I can at least know what questions to ask and how to troubleshoot problems with my data appropriately.</w:t>
      </w:r>
    </w:p>
    <w:p w:rsidR="0073794C" w:rsidRPr="0073794C" w:rsidRDefault="0073794C" w:rsidP="00CC5932">
      <w:pPr>
        <w:pStyle w:val="ListParagraph"/>
        <w:widowControl w:val="0"/>
        <w:numPr>
          <w:ilvl w:val="0"/>
          <w:numId w:val="25"/>
        </w:numPr>
        <w:tabs>
          <w:tab w:val="left" w:pos="900"/>
        </w:tabs>
        <w:ind w:left="900"/>
        <w:rPr>
          <w:rFonts w:ascii="Times New Roman" w:hAnsi="Times New Roman"/>
          <w:i/>
          <w:sz w:val="22"/>
        </w:rPr>
      </w:pPr>
      <w:r w:rsidRPr="0073794C">
        <w:rPr>
          <w:rFonts w:ascii="Times New Roman" w:hAnsi="Times New Roman"/>
          <w:i/>
          <w:sz w:val="22"/>
        </w:rPr>
        <w:t>Can't wait to learn the answers to these questions!</w:t>
      </w:r>
    </w:p>
    <w:p w:rsidR="0073794C" w:rsidRPr="0073794C" w:rsidRDefault="0073794C" w:rsidP="00CC5932">
      <w:pPr>
        <w:pStyle w:val="ListParagraph"/>
        <w:widowControl w:val="0"/>
        <w:numPr>
          <w:ilvl w:val="0"/>
          <w:numId w:val="25"/>
        </w:numPr>
        <w:tabs>
          <w:tab w:val="left" w:pos="900"/>
        </w:tabs>
        <w:ind w:left="900"/>
        <w:rPr>
          <w:rFonts w:ascii="Times New Roman" w:hAnsi="Times New Roman"/>
          <w:i/>
          <w:sz w:val="22"/>
        </w:rPr>
      </w:pPr>
      <w:r w:rsidRPr="0073794C">
        <w:rPr>
          <w:rFonts w:ascii="Times New Roman" w:hAnsi="Times New Roman"/>
          <w:i/>
          <w:sz w:val="22"/>
        </w:rPr>
        <w:t>Its the first time I have next-gen sequencing data and I would like to have a better idea how to use the software to analyze my data.</w:t>
      </w:r>
    </w:p>
    <w:p w:rsidR="0073794C" w:rsidRPr="0073794C" w:rsidRDefault="0073794C" w:rsidP="00CC5932">
      <w:pPr>
        <w:pStyle w:val="ListParagraph"/>
        <w:widowControl w:val="0"/>
        <w:numPr>
          <w:ilvl w:val="0"/>
          <w:numId w:val="25"/>
        </w:numPr>
        <w:tabs>
          <w:tab w:val="left" w:pos="900"/>
        </w:tabs>
        <w:ind w:left="900"/>
      </w:pPr>
      <w:r w:rsidRPr="0073794C">
        <w:rPr>
          <w:rFonts w:ascii="Times New Roman" w:hAnsi="Times New Roman"/>
          <w:i/>
          <w:sz w:val="22"/>
        </w:rPr>
        <w:t>Expectations are very high since my academic formation was not related to  metagenomic or bioinformatics. i expect this course will help me to clarify some concepts and  be more confident to analyse my data</w:t>
      </w:r>
    </w:p>
    <w:p w:rsidR="00E46E82" w:rsidRPr="00AE19AF" w:rsidRDefault="0073794C" w:rsidP="0073794C">
      <w:pPr>
        <w:widowControl w:val="0"/>
        <w:ind w:firstLine="360"/>
      </w:pPr>
      <w:r>
        <w:t>Eighteen</w:t>
      </w:r>
      <w:r w:rsidR="00E46E82" w:rsidRPr="00AE19AF">
        <w:t xml:space="preserve"> p</w:t>
      </w:r>
      <w:r w:rsidR="00C60FA0" w:rsidRPr="00AE19AF">
        <w:t xml:space="preserve">ost-survey responses </w:t>
      </w:r>
      <w:r w:rsidR="00E46E82" w:rsidRPr="00AE19AF">
        <w:t>expressed either satisfaction with the workshop or suggestions for improvement</w:t>
      </w:r>
      <w:r w:rsidR="00C60FA0" w:rsidRPr="00AE19AF">
        <w:t xml:space="preserve">. </w:t>
      </w:r>
      <w:r w:rsidR="00DD3A7C" w:rsidRPr="00AE19AF">
        <w:t>In general, comments were positive</w:t>
      </w:r>
      <w:r>
        <w:t>. Participants appreciated the invited speakers, the access to tutorials, and the availability</w:t>
      </w:r>
      <w:r w:rsidR="00E46E82" w:rsidRPr="00AE19AF">
        <w:t xml:space="preserve"> </w:t>
      </w:r>
      <w:r>
        <w:t>of resources after the workshop. Examples are provided below:</w:t>
      </w:r>
    </w:p>
    <w:p w:rsidR="00E46E82" w:rsidRPr="00CE4D90" w:rsidRDefault="0073794C" w:rsidP="00CC5932">
      <w:pPr>
        <w:pStyle w:val="ListParagraph"/>
        <w:widowControl w:val="0"/>
        <w:numPr>
          <w:ilvl w:val="0"/>
          <w:numId w:val="24"/>
        </w:numPr>
        <w:ind w:left="900"/>
        <w:rPr>
          <w:rFonts w:ascii="Times New Roman" w:hAnsi="Times New Roman"/>
          <w:i/>
          <w:sz w:val="22"/>
        </w:rPr>
      </w:pPr>
      <w:r w:rsidRPr="00CE4D90">
        <w:rPr>
          <w:rFonts w:ascii="Times New Roman" w:hAnsi="Times New Roman"/>
          <w:i/>
          <w:sz w:val="22"/>
        </w:rPr>
        <w:t>Overall, this was a really great workshop and I learned a lot.  The instructors were excellent in terms of their knowledge, explanations, and patience.  Additionally, the resources provided are outstanding.  All the the [sic] tutorials are well thought out, easy to access, and easy to understand.</w:t>
      </w:r>
    </w:p>
    <w:p w:rsidR="00E46E82" w:rsidRPr="00CE4D90" w:rsidRDefault="0073794C" w:rsidP="00CC5932">
      <w:pPr>
        <w:pStyle w:val="ListParagraph"/>
        <w:widowControl w:val="0"/>
        <w:numPr>
          <w:ilvl w:val="0"/>
          <w:numId w:val="24"/>
        </w:numPr>
        <w:ind w:left="900"/>
        <w:rPr>
          <w:rFonts w:ascii="Times New Roman" w:hAnsi="Times New Roman"/>
          <w:i/>
          <w:sz w:val="22"/>
        </w:rPr>
      </w:pPr>
      <w:r w:rsidRPr="00CE4D90">
        <w:rPr>
          <w:rFonts w:ascii="Times New Roman" w:hAnsi="Times New Roman"/>
          <w:i/>
          <w:sz w:val="22"/>
        </w:rPr>
        <w:t>I cannot thank you all enough for putting on such an amazing workshop</w:t>
      </w:r>
    </w:p>
    <w:p w:rsidR="00E46E82" w:rsidRPr="00CE4D90" w:rsidRDefault="0073794C" w:rsidP="00CC5932">
      <w:pPr>
        <w:pStyle w:val="ListParagraph"/>
        <w:widowControl w:val="0"/>
        <w:numPr>
          <w:ilvl w:val="0"/>
          <w:numId w:val="24"/>
        </w:numPr>
        <w:ind w:left="900"/>
        <w:rPr>
          <w:rFonts w:ascii="Times New Roman" w:hAnsi="Times New Roman"/>
          <w:i/>
          <w:sz w:val="22"/>
        </w:rPr>
      </w:pPr>
      <w:r w:rsidRPr="00CE4D90">
        <w:rPr>
          <w:rFonts w:ascii="Times New Roman" w:hAnsi="Times New Roman"/>
          <w:i/>
          <w:sz w:val="22"/>
        </w:rPr>
        <w:t>The invited speakers were great!</w:t>
      </w:r>
    </w:p>
    <w:p w:rsidR="009C6965" w:rsidRPr="009C6965" w:rsidRDefault="00E46E82" w:rsidP="009C6965">
      <w:pPr>
        <w:widowControl w:val="0"/>
        <w:ind w:firstLine="360"/>
        <w:rPr>
          <w:i/>
        </w:rPr>
      </w:pPr>
      <w:r w:rsidRPr="00AE19AF">
        <w:t>Suggestions for the workshop included</w:t>
      </w:r>
      <w:r w:rsidR="0073794C">
        <w:t>:</w:t>
      </w:r>
      <w:r w:rsidRPr="00AE19AF">
        <w:t xml:space="preserve"> </w:t>
      </w:r>
      <w:r w:rsidR="0073794C">
        <w:t>Offering more breaks and/or sticking to scheduled breaks</w:t>
      </w:r>
      <w:r w:rsidRPr="00AE19AF">
        <w:t xml:space="preserve"> (n=</w:t>
      </w:r>
      <w:r w:rsidR="0073794C">
        <w:t>4</w:t>
      </w:r>
      <w:r w:rsidR="009C6965">
        <w:t>; note – one participant felt losing the afternoon off was difficult</w:t>
      </w:r>
      <w:r w:rsidR="0073794C">
        <w:t>),</w:t>
      </w:r>
      <w:r w:rsidRPr="00AE19AF">
        <w:t xml:space="preserve"> </w:t>
      </w:r>
      <w:r w:rsidR="009C6965">
        <w:t xml:space="preserve">making the workshop longer by lengthening it to two weeks (n=2), </w:t>
      </w:r>
      <w:r w:rsidR="0073794C">
        <w:t>make sure EC2/shotgun data analyses would work before the workshop</w:t>
      </w:r>
      <w:r w:rsidR="009C6965">
        <w:t xml:space="preserve"> (n=2), increase time on </w:t>
      </w:r>
      <w:r w:rsidR="009C6965" w:rsidRPr="009C6965">
        <w:t>assembly and annotation</w:t>
      </w:r>
      <w:r w:rsidR="009C6965">
        <w:t xml:space="preserve"> (n=1), break metagenomics into smaller parts (n=1), longer explanation of mother (n=1), designated office hours for help with data analysis (n=1), dedicated time for participant data analysis (n=1), better travel/pick-up information (n=1), and more time to complete the evaluation surveys (n=1)</w:t>
      </w:r>
      <w:r>
        <w:t xml:space="preserve">. One participant suggested providing </w:t>
      </w:r>
      <w:r w:rsidR="00D3089D">
        <w:t xml:space="preserve">more details about daily activities, specifically: </w:t>
      </w:r>
      <w:r w:rsidR="009C6965">
        <w:t xml:space="preserve">1. </w:t>
      </w:r>
      <w:r w:rsidR="009C6965" w:rsidRPr="009C6965">
        <w:rPr>
          <w:i/>
        </w:rPr>
        <w:t>Having more of an overview (preferably visual) of all the programs (and steps within some programs) and where everything fits in.  Then keep referring to flow charts and where we are in them.</w:t>
      </w:r>
      <w:r w:rsidR="009C6965">
        <w:rPr>
          <w:i/>
        </w:rPr>
        <w:t xml:space="preserve"> 2.</w:t>
      </w:r>
      <w:r w:rsidR="009C6965" w:rsidRPr="009C6965">
        <w:rPr>
          <w:i/>
        </w:rPr>
        <w:t xml:space="preserve"> Posting talks and tutorials online before they were presented.  Those that had that option were definitely smoother.</w:t>
      </w:r>
    </w:p>
    <w:p w:rsidR="009C6965" w:rsidRDefault="009C6965" w:rsidP="006B3DBE">
      <w:pPr>
        <w:widowControl w:val="0"/>
        <w:rPr>
          <w:i/>
        </w:rPr>
      </w:pPr>
    </w:p>
    <w:p w:rsidR="006B3DBE" w:rsidRPr="008B2A3A" w:rsidRDefault="006B3DBE" w:rsidP="006B3DBE">
      <w:pPr>
        <w:widowControl w:val="0"/>
        <w:rPr>
          <w:b/>
          <w:sz w:val="22"/>
        </w:rPr>
      </w:pPr>
      <w:r w:rsidRPr="008B2A3A">
        <w:rPr>
          <w:b/>
          <w:sz w:val="22"/>
        </w:rPr>
        <w:t xml:space="preserve">Table 7. </w:t>
      </w:r>
      <w:r w:rsidR="00271378">
        <w:rPr>
          <w:b/>
          <w:sz w:val="22"/>
        </w:rPr>
        <w:t>Perception and Expectations</w:t>
      </w:r>
      <w:r w:rsidRPr="008B2A3A">
        <w:rPr>
          <w:b/>
          <w:sz w:val="22"/>
        </w:rPr>
        <w:t xml:space="preserve"> Response Rates </w:t>
      </w:r>
    </w:p>
    <w:tbl>
      <w:tblPr>
        <w:tblW w:w="9360" w:type="dxa"/>
        <w:tblInd w:w="5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8" w:type="dxa"/>
          <w:left w:w="58" w:type="dxa"/>
          <w:bottom w:w="58" w:type="dxa"/>
          <w:right w:w="58" w:type="dxa"/>
        </w:tblCellMar>
        <w:tblLook w:val="0000"/>
      </w:tblPr>
      <w:tblGrid>
        <w:gridCol w:w="8100"/>
        <w:gridCol w:w="1260"/>
      </w:tblGrid>
      <w:tr w:rsidR="006B3DBE" w:rsidRPr="008B2A3A">
        <w:trPr>
          <w:cantSplit/>
          <w:trHeight w:val="39"/>
        </w:trPr>
        <w:tc>
          <w:tcPr>
            <w:tcW w:w="8100" w:type="dxa"/>
            <w:shd w:val="clear" w:color="auto" w:fill="FFFFFF"/>
            <w:vAlign w:val="center"/>
          </w:tcPr>
          <w:p w:rsidR="006B3DBE" w:rsidRPr="008B2A3A" w:rsidRDefault="006B3DBE" w:rsidP="001A57B9">
            <w:pPr>
              <w:widowControl w:val="0"/>
              <w:rPr>
                <w:b/>
                <w:sz w:val="22"/>
              </w:rPr>
            </w:pPr>
            <w:r w:rsidRPr="008B2A3A">
              <w:rPr>
                <w:b/>
                <w:sz w:val="22"/>
              </w:rPr>
              <w:t>Prompt/Question</w:t>
            </w:r>
          </w:p>
        </w:tc>
        <w:tc>
          <w:tcPr>
            <w:tcW w:w="1260" w:type="dxa"/>
            <w:shd w:val="clear" w:color="auto" w:fill="FFFFFF"/>
            <w:vAlign w:val="center"/>
          </w:tcPr>
          <w:p w:rsidR="006B3DBE" w:rsidRPr="008B2A3A" w:rsidRDefault="006B3DBE" w:rsidP="001C6D35">
            <w:pPr>
              <w:widowControl w:val="0"/>
              <w:rPr>
                <w:b/>
                <w:sz w:val="22"/>
              </w:rPr>
            </w:pPr>
            <w:r w:rsidRPr="008B2A3A">
              <w:rPr>
                <w:b/>
                <w:sz w:val="22"/>
              </w:rPr>
              <w:t>N responses</w:t>
            </w:r>
          </w:p>
        </w:tc>
      </w:tr>
      <w:tr w:rsidR="006B3DBE" w:rsidRPr="008B2A3A">
        <w:trPr>
          <w:cantSplit/>
          <w:trHeight w:val="174"/>
        </w:trPr>
        <w:tc>
          <w:tcPr>
            <w:tcW w:w="8100" w:type="dxa"/>
            <w:shd w:val="clear" w:color="auto" w:fill="FFFFFF"/>
            <w:vAlign w:val="center"/>
          </w:tcPr>
          <w:p w:rsidR="006B3DBE" w:rsidRPr="008B2A3A" w:rsidRDefault="006B3DBE" w:rsidP="001A57B9">
            <w:pPr>
              <w:widowControl w:val="0"/>
              <w:numPr>
                <w:ilvl w:val="0"/>
                <w:numId w:val="19"/>
              </w:numPr>
              <w:ind w:left="-18"/>
              <w:rPr>
                <w:sz w:val="22"/>
              </w:rPr>
            </w:pPr>
            <w:r w:rsidRPr="008B2A3A">
              <w:rPr>
                <w:sz w:val="22"/>
              </w:rPr>
              <w:t>Please provide any additional comments about your expectations for the workshop. (pre)</w:t>
            </w:r>
          </w:p>
        </w:tc>
        <w:tc>
          <w:tcPr>
            <w:tcW w:w="1260" w:type="dxa"/>
            <w:shd w:val="clear" w:color="auto" w:fill="FFFFFF"/>
            <w:vAlign w:val="center"/>
          </w:tcPr>
          <w:p w:rsidR="006B3DBE" w:rsidRPr="008B2A3A" w:rsidRDefault="0073794C" w:rsidP="001A57B9">
            <w:pPr>
              <w:widowControl w:val="0"/>
              <w:autoSpaceDE w:val="0"/>
              <w:autoSpaceDN w:val="0"/>
              <w:adjustRightInd w:val="0"/>
              <w:ind w:left="60" w:right="60"/>
              <w:jc w:val="center"/>
              <w:rPr>
                <w:rFonts w:eastAsia="Cambria" w:cs="Arial"/>
                <w:color w:val="000000"/>
                <w:sz w:val="22"/>
              </w:rPr>
            </w:pPr>
            <w:r>
              <w:rPr>
                <w:rFonts w:eastAsia="Cambria" w:cs="Arial"/>
                <w:color w:val="000000"/>
                <w:sz w:val="22"/>
              </w:rPr>
              <w:t>7</w:t>
            </w:r>
          </w:p>
        </w:tc>
      </w:tr>
      <w:tr w:rsidR="006B3DBE" w:rsidRPr="008B2A3A">
        <w:trPr>
          <w:cantSplit/>
        </w:trPr>
        <w:tc>
          <w:tcPr>
            <w:tcW w:w="8100" w:type="dxa"/>
            <w:shd w:val="clear" w:color="auto" w:fill="FFFFFF"/>
            <w:vAlign w:val="center"/>
          </w:tcPr>
          <w:p w:rsidR="006B3DBE" w:rsidRPr="008B2A3A" w:rsidRDefault="006B3DBE" w:rsidP="001C6D35">
            <w:pPr>
              <w:widowControl w:val="0"/>
              <w:numPr>
                <w:ilvl w:val="0"/>
                <w:numId w:val="19"/>
              </w:numPr>
              <w:ind w:left="-18"/>
              <w:rPr>
                <w:sz w:val="22"/>
              </w:rPr>
            </w:pPr>
            <w:r w:rsidRPr="008B2A3A">
              <w:rPr>
                <w:sz w:val="22"/>
              </w:rPr>
              <w:t>Please provide any additional suggestions or comments about the workshop. (post)</w:t>
            </w:r>
          </w:p>
        </w:tc>
        <w:tc>
          <w:tcPr>
            <w:tcW w:w="1260" w:type="dxa"/>
            <w:shd w:val="clear" w:color="auto" w:fill="FFFFFF"/>
            <w:vAlign w:val="center"/>
          </w:tcPr>
          <w:p w:rsidR="006B3DBE" w:rsidRPr="008B2A3A" w:rsidRDefault="0073794C" w:rsidP="001A57B9">
            <w:pPr>
              <w:widowControl w:val="0"/>
              <w:autoSpaceDE w:val="0"/>
              <w:autoSpaceDN w:val="0"/>
              <w:adjustRightInd w:val="0"/>
              <w:ind w:left="60" w:right="60"/>
              <w:jc w:val="center"/>
              <w:rPr>
                <w:rFonts w:eastAsia="Cambria" w:cs="Arial"/>
                <w:color w:val="000000"/>
                <w:sz w:val="22"/>
              </w:rPr>
            </w:pPr>
            <w:r>
              <w:rPr>
                <w:rFonts w:eastAsia="Cambria" w:cs="Arial"/>
                <w:color w:val="000000"/>
                <w:sz w:val="22"/>
              </w:rPr>
              <w:t>18</w:t>
            </w:r>
          </w:p>
        </w:tc>
      </w:tr>
    </w:tbl>
    <w:p w:rsidR="005E16D7" w:rsidRPr="008B2A3A" w:rsidRDefault="005E16D7" w:rsidP="00CC5932">
      <w:pPr>
        <w:widowControl w:val="0"/>
      </w:pPr>
    </w:p>
    <w:p w:rsidR="00717481" w:rsidRPr="008B2A3A" w:rsidRDefault="009C4D0B" w:rsidP="00CF560A">
      <w:pPr>
        <w:widowControl w:val="0"/>
        <w:rPr>
          <w:b/>
        </w:rPr>
      </w:pPr>
      <w:r w:rsidRPr="008B2A3A">
        <w:rPr>
          <w:b/>
        </w:rPr>
        <w:t>REFERENCES</w:t>
      </w:r>
    </w:p>
    <w:p w:rsidR="00CC5932" w:rsidRDefault="00E8429F" w:rsidP="00CF560A">
      <w:pPr>
        <w:widowControl w:val="0"/>
      </w:pPr>
      <w:r w:rsidRPr="008B2A3A">
        <w:t>Askar, P. &amp; Davenport, D. (2009). An investigation of factors related to self-efficacy for Java programming among Engineering Students. Turkish Online Journal of Educational Technology, 8(1), 26-32.</w:t>
      </w:r>
    </w:p>
    <w:p w:rsidR="00CC5932" w:rsidRDefault="00CC5932" w:rsidP="00CF560A">
      <w:pPr>
        <w:widowControl w:val="0"/>
      </w:pPr>
    </w:p>
    <w:p w:rsidR="000934C3" w:rsidRPr="008B2A3A" w:rsidRDefault="007C1EBF" w:rsidP="00CF560A">
      <w:pPr>
        <w:widowControl w:val="0"/>
      </w:pPr>
      <w:r>
        <w:t>END REPORT.</w:t>
      </w:r>
    </w:p>
    <w:sectPr w:rsidR="000934C3" w:rsidRPr="008B2A3A" w:rsidSect="006A74FA">
      <w:footerReference w:type="even" r:id="rId8"/>
      <w:footerReference w:type="default" r:id="rId9"/>
      <w:footerReference w:type="first" r:id="rId10"/>
      <w:pgSz w:w="12240" w:h="15840"/>
      <w:pgMar w:top="1440" w:right="1440" w:bottom="1440" w:left="1440" w:header="0" w:footer="432" w:gutter="0"/>
      <w:printerSettings r:id="rId11"/>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7D6A" w:rsidRDefault="00007D6A" w:rsidP="00AE0C5F">
      <w:r>
        <w:separator/>
      </w:r>
    </w:p>
  </w:endnote>
  <w:endnote w:type="continuationSeparator" w:id="0">
    <w:p w:rsidR="00007D6A" w:rsidRDefault="00007D6A" w:rsidP="00AE0C5F">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Lucida Grande">
    <w:panose1 w:val="020B06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DejaVu Sans">
    <w:charset w:val="00"/>
    <w:family w:val="swiss"/>
    <w:pitch w:val="variable"/>
    <w:sig w:usb0="E7003EFF" w:usb1="D200FDFF" w:usb2="00042029" w:usb3="00000000" w:csb0="800001FF" w:csb1="00000000"/>
  </w:font>
  <w:font w:name="Arial Narrow Bold">
    <w:panose1 w:val="020B0706020202030204"/>
    <w:charset w:val="00"/>
    <w:family w:val="auto"/>
    <w:pitch w:val="variable"/>
    <w:sig w:usb0="00000003" w:usb1="00000000" w:usb2="00000000" w:usb3="00000000" w:csb0="00000001" w:csb1="00000000"/>
  </w:font>
  <w:font w:name="MyriadPro-Regular">
    <w:altName w:val="Cambria"/>
    <w:panose1 w:val="00000000000000000000"/>
    <w:charset w:val="4D"/>
    <w:family w:val="auto"/>
    <w:notTrueType/>
    <w:pitch w:val="default"/>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7D6A" w:rsidRDefault="00007D6A" w:rsidP="001C6D3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07D6A" w:rsidRDefault="00007D6A" w:rsidP="005E16D7">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7D6A" w:rsidRDefault="00007D6A" w:rsidP="001C6D3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C5932">
      <w:rPr>
        <w:rStyle w:val="PageNumber"/>
        <w:noProof/>
      </w:rPr>
      <w:t>9</w:t>
    </w:r>
    <w:r>
      <w:rPr>
        <w:rStyle w:val="PageNumber"/>
      </w:rPr>
      <w:fldChar w:fldCharType="end"/>
    </w:r>
  </w:p>
  <w:p w:rsidR="00007D6A" w:rsidRDefault="00007D6A" w:rsidP="00640546">
    <w:pPr>
      <w:pStyle w:val="Footer"/>
      <w:tabs>
        <w:tab w:val="clear" w:pos="4320"/>
        <w:tab w:val="clear" w:pos="8640"/>
        <w:tab w:val="left" w:pos="6080"/>
      </w:tabs>
      <w:ind w:right="360"/>
    </w:pPr>
    <w:r>
      <w:rPr>
        <w:noProof/>
      </w:rPr>
      <w:pict>
        <v:shapetype id="_x0000_t202" coordsize="21600,21600" o:spt="202" path="m0,0l0,21600,21600,21600,21600,0xe">
          <v:stroke joinstyle="miter"/>
          <v:path gradientshapeok="t" o:connecttype="rect"/>
        </v:shapetype>
        <v:shape id="_x0000_s4116" type="#_x0000_t202" style="position:absolute;margin-left:-36.2pt;margin-top:13.8pt;width:126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jEXgqsCAACwBQAADgAAAGRycy9lMm9Eb2MueG1srFRtb5swEP4+af/B8neKycgLqKRqkzBN6l6k&#10;dj/AwSZYA5vZTqCr9t93NiFNW02atvEBne3zc/fcPb7Lq76p0YFrI5TMcHRBMOKyUEzIXYa/3ufB&#10;AiNjqWS0VpJn+IEbfLV8++aya1M+UZWqGdcIQKRJuzbDlbVtGoamqHhDzYVquYTDUumGWljqXcg0&#10;7QC9qcMJIbOwU5q1WhXcGNhdD4d46fHLkhf2c1kablGdYcjN+r/2/637h8tLmu40bStRHNOgf5FF&#10;Q4WEoCeoNbUU7bV4BdWIQiujSntRqCZUZSkK7jkAm4i8YHNX0ZZ7LlAc057KZP4fbPHp8EUjwaB3&#10;GEnaQIvueW/RjepR5KrTtSYFp7sW3GwP287TMTXtrSq+GSTVqqJyx6+1Vl3FKYPs/M3w7OqAYxzI&#10;tvuoGIShe6s8UF/qxgFCMRCgQ5ceTp1xqRQu5IwQaDdGBZzF07mzIbmQpuPtVhv7nqsGOSPDGjrv&#10;0enh1tjBdXRxwaTKRV377tfy2QZgDjsQG666M5eFb+ZjQpLNYrOIg3gy2wQxYSy4zldxMMuj+XT9&#10;br1araOfLm4Up5VgjEsXZhRWFP9Z444SHyRxkpZRtWAOzqVk9G67qjU6UBB27r9jQc7cwudp+HoB&#10;lxeUoklMbiZJkM8W8yAu42mQzMkiIFFyk8xInMTr/DmlWyH5v1NCXYaT6WQ6iOm33Ij/XnOjaSMs&#10;jI5aNBlenJxo6iS4kcy31lJRD/ZZKVz6T6WAdo+N9oJ1Gh3Uavttf3wZAObEvFXsARSsFQgMtAhj&#10;D4xK6R8YdTBCMmy+76nmGNUfJLwCN29GQ4/GdjSoLOBqhi1Gg7myw1zat1rsKkAe3plU1/BSSuFF&#10;/JQFMHALGAuey3GEublzvvZeT4N2+QsAAP//AwBQSwMEFAAGAAgAAAAhAJhfc2DfAAAACQEAAA8A&#10;AABkcnMvZG93bnJldi54bWxMj8FOwzAMhu9IvEPkSdy2pEMU2jWdJgQnJERXDhzTJmujNU5psq28&#10;PebETrblT78/F9vZDexspmA9SkhWApjB1muLnYTP+nX5BCxEhVoNHo2EHxNgW97eFCrX/oKVOe9j&#10;xygEQ64k9DGOOeeh7Y1TYeVHg7Q7+MmpSOPUcT2pC4W7ga+FSLlTFulCr0bz3Jv2uD85CbsvrF7s&#10;93vzUR0qW9eZwLf0KOXdYt5tgEUzx38Y/vRJHUpyavwJdWCDhOU6eciIpS5JgBFxn1JtJDyKDHhZ&#10;8OsPyl8AAAD//wMAUEsBAi0AFAAGAAgAAAAhAOSZw8D7AAAA4QEAABMAAAAAAAAAAAAAAAAAAAAA&#10;AFtDb250ZW50X1R5cGVzXS54bWxQSwECLQAUAAYACAAAACEAI7Jq4dcAAACUAQAACwAAAAAAAAAA&#10;AAAAAAAsAQAAX3JlbHMvLnJlbHNQSwECLQAUAAYACAAAACEAOjEXgqsCAACwBQAADgAAAAAAAAAA&#10;AAAAAAAsAgAAZHJzL2Uyb0RvYy54bWxQSwECLQAUAAYACAAAACEAmF9zYN8AAAAJAQAADwAAAAAA&#10;AAAAAAAAAAADBQAAZHJzL2Rvd25yZXYueG1sUEsFBgAAAAAEAAQA8wAAAA8GAAAAAA==&#10;" filled="f" stroked="f">
          <v:textbox style="mso-next-textbox:#_x0000_s4116" inset="0,0,0,0">
            <w:txbxContent>
              <w:p w:rsidR="00007D6A" w:rsidRPr="006842A4" w:rsidRDefault="00007D6A" w:rsidP="00670B56">
                <w:pPr>
                  <w:rPr>
                    <w:rFonts w:ascii="Arial Narrow Bold" w:hAnsi="Arial Narrow Bold"/>
                    <w:color w:val="808080" w:themeColor="background1" w:themeShade="80"/>
                    <w:sz w:val="20"/>
                    <w:szCs w:val="20"/>
                  </w:rPr>
                </w:pPr>
                <w:r w:rsidRPr="006842A4">
                  <w:rPr>
                    <w:rFonts w:ascii="Arial Narrow Bold" w:hAnsi="Arial Narrow Bold" w:cs="MyriadPro-Regular"/>
                    <w:color w:val="808080" w:themeColor="background1" w:themeShade="80"/>
                    <w:spacing w:val="3"/>
                    <w:sz w:val="20"/>
                    <w:szCs w:val="20"/>
                  </w:rPr>
                  <w:t>STEM E.D. LLC</w:t>
                </w:r>
              </w:p>
              <w:p w:rsidR="00007D6A" w:rsidRDefault="00007D6A" w:rsidP="00670B56"/>
            </w:txbxContent>
          </v:textbox>
        </v:shape>
      </w:pict>
    </w:r>
    <w:r>
      <w:tab/>
    </w: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7D6A" w:rsidRDefault="00007D6A" w:rsidP="00FF201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007D6A" w:rsidRDefault="00007D6A" w:rsidP="00FF2017">
    <w:pPr>
      <w:pStyle w:val="Footer"/>
      <w:ind w:right="360"/>
    </w:pPr>
    <w:r>
      <w:rPr>
        <w:noProof/>
      </w:rPr>
      <w:pict>
        <v:shapetype id="_x0000_t202" coordsize="21600,21600" o:spt="202" path="m0,0l0,21600,21600,21600,21600,0xe">
          <v:stroke joinstyle="miter"/>
          <v:path gradientshapeok="t" o:connecttype="rect"/>
        </v:shapetype>
        <v:shape id="Text Box 1" o:spid="_x0000_s4096" type="#_x0000_t202" style="position:absolute;margin-left:-107.95pt;margin-top:-.55pt;width:126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jEXgqsCAACwBQAADgAAAGRycy9lMm9Eb2MueG1srFRtb5swEP4+af/B8neKycgLqKRqkzBN6l6k&#10;dj/AwSZYA5vZTqCr9t93NiFNW02atvEBne3zc/fcPb7Lq76p0YFrI5TMcHRBMOKyUEzIXYa/3ufB&#10;AiNjqWS0VpJn+IEbfLV8++aya1M+UZWqGdcIQKRJuzbDlbVtGoamqHhDzYVquYTDUumGWljqXcg0&#10;7QC9qcMJIbOwU5q1WhXcGNhdD4d46fHLkhf2c1kablGdYcjN+r/2/637h8tLmu40bStRHNOgf5FF&#10;Q4WEoCeoNbUU7bV4BdWIQiujSntRqCZUZSkK7jkAm4i8YHNX0ZZ7LlAc057KZP4fbPHp8EUjwaB3&#10;GEnaQIvueW/RjepR5KrTtSYFp7sW3GwP287TMTXtrSq+GSTVqqJyx6+1Vl3FKYPs/M3w7OqAYxzI&#10;tvuoGIShe6s8UF/qxgFCMRCgQ5ceTp1xqRQu5IwQaDdGBZzF07mzIbmQpuPtVhv7nqsGOSPDGjrv&#10;0enh1tjBdXRxwaTKRV377tfy2QZgDjsQG666M5eFb+ZjQpLNYrOIg3gy2wQxYSy4zldxMMuj+XT9&#10;br1araOfLm4Up5VgjEsXZhRWFP9Z444SHyRxkpZRtWAOzqVk9G67qjU6UBB27r9jQc7cwudp+HoB&#10;lxeUoklMbiZJkM8W8yAu42mQzMkiIFFyk8xInMTr/DmlWyH5v1NCXYaT6WQ6iOm33Ij/XnOjaSMs&#10;jI5aNBlenJxo6iS4kcy31lJRD/ZZKVz6T6WAdo+N9oJ1Gh3Uavttf3wZAObEvFXsARSsFQgMtAhj&#10;D4xK6R8YdTBCMmy+76nmGNUfJLwCN29GQ4/GdjSoLOBqhi1Gg7myw1zat1rsKkAe3plU1/BSSuFF&#10;/JQFMHALGAuey3GEublzvvZeT4N2+QsAAP//AwBQSwMEFAAGAAgAAAAhAJhfc2DfAAAACQEAAA8A&#10;AABkcnMvZG93bnJldi54bWxMj8FOwzAMhu9IvEPkSdy2pEMU2jWdJgQnJERXDhzTJmujNU5psq28&#10;PebETrblT78/F9vZDexspmA9SkhWApjB1muLnYTP+nX5BCxEhVoNHo2EHxNgW97eFCrX/oKVOe9j&#10;xygEQ64k9DGOOeeh7Y1TYeVHg7Q7+MmpSOPUcT2pC4W7ga+FSLlTFulCr0bz3Jv2uD85CbsvrF7s&#10;93vzUR0qW9eZwLf0KOXdYt5tgEUzx38Y/vRJHUpyavwJdWCDhOU6eciIpS5JgBFxn1JtJDyKDHhZ&#10;8OsPyl8AAAD//wMAUEsBAi0AFAAGAAgAAAAhAOSZw8D7AAAA4QEAABMAAAAAAAAAAAAAAAAAAAAA&#10;AFtDb250ZW50X1R5cGVzXS54bWxQSwECLQAUAAYACAAAACEAI7Jq4dcAAACUAQAACwAAAAAAAAAA&#10;AAAAAAAsAQAAX3JlbHMvLnJlbHNQSwECLQAUAAYACAAAACEAOjEXgqsCAACwBQAADgAAAAAAAAAA&#10;AAAAAAAsAgAAZHJzL2Uyb0RvYy54bWxQSwECLQAUAAYACAAAACEAmF9zYN8AAAAJAQAADwAAAAAA&#10;AAAAAAAAAAADBQAAZHJzL2Rvd25yZXYueG1sUEsFBgAAAAAEAAQA8wAAAA8GAAAAAA==&#10;" filled="f" stroked="f">
          <v:textbox style="mso-next-textbox:#Text Box 1" inset="0,0,0,0">
            <w:txbxContent>
              <w:p w:rsidR="00007D6A" w:rsidRPr="006842A4" w:rsidRDefault="00007D6A" w:rsidP="00AD71FD">
                <w:pPr>
                  <w:rPr>
                    <w:rFonts w:ascii="Arial Narrow Bold" w:hAnsi="Arial Narrow Bold"/>
                    <w:color w:val="808080" w:themeColor="background1" w:themeShade="80"/>
                    <w:sz w:val="20"/>
                    <w:szCs w:val="20"/>
                  </w:rPr>
                </w:pPr>
                <w:r w:rsidRPr="006842A4">
                  <w:rPr>
                    <w:rFonts w:ascii="Arial Narrow Bold" w:hAnsi="Arial Narrow Bold" w:cs="MyriadPro-Regular"/>
                    <w:color w:val="808080" w:themeColor="background1" w:themeShade="80"/>
                    <w:spacing w:val="3"/>
                    <w:sz w:val="20"/>
                    <w:szCs w:val="20"/>
                  </w:rPr>
                  <w:t>STEM E.D. LLC</w:t>
                </w:r>
              </w:p>
              <w:p w:rsidR="00007D6A" w:rsidRDefault="00007D6A"/>
            </w:txbxContent>
          </v:textbox>
        </v:shape>
      </w:pict>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7D6A" w:rsidRDefault="00007D6A" w:rsidP="00AE0C5F">
      <w:r>
        <w:separator/>
      </w:r>
    </w:p>
  </w:footnote>
  <w:footnote w:type="continuationSeparator" w:id="0">
    <w:p w:rsidR="00007D6A" w:rsidRDefault="00007D6A" w:rsidP="00AE0C5F">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F424C"/>
    <w:multiLevelType w:val="hybridMultilevel"/>
    <w:tmpl w:val="DB0E54B2"/>
    <w:lvl w:ilvl="0" w:tplc="73DEA3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CC7BE8"/>
    <w:multiLevelType w:val="hybridMultilevel"/>
    <w:tmpl w:val="9020C4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6A6248"/>
    <w:multiLevelType w:val="hybridMultilevel"/>
    <w:tmpl w:val="8214B008"/>
    <w:lvl w:ilvl="0" w:tplc="9474A57A">
      <w:start w:val="1"/>
      <w:numFmt w:val="bullet"/>
      <w:lvlText w:val=""/>
      <w:lvlJc w:val="left"/>
      <w:pPr>
        <w:ind w:left="1080" w:hanging="360"/>
      </w:pPr>
      <w:rPr>
        <w:rFonts w:ascii="Symbol" w:hAnsi="Symbol" w:hint="default"/>
        <w:color w:val="auto"/>
        <w:sz w:val="20"/>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E60370E"/>
    <w:multiLevelType w:val="hybridMultilevel"/>
    <w:tmpl w:val="B72A6D1C"/>
    <w:lvl w:ilvl="0" w:tplc="73DEA3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DA1AC3"/>
    <w:multiLevelType w:val="hybridMultilevel"/>
    <w:tmpl w:val="1666CD08"/>
    <w:lvl w:ilvl="0" w:tplc="73DEA3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6A3DC4"/>
    <w:multiLevelType w:val="multilevel"/>
    <w:tmpl w:val="B72A6D1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04D5274"/>
    <w:multiLevelType w:val="hybridMultilevel"/>
    <w:tmpl w:val="E51E4146"/>
    <w:lvl w:ilvl="0" w:tplc="9474A57A">
      <w:start w:val="1"/>
      <w:numFmt w:val="bullet"/>
      <w:lvlText w:val=""/>
      <w:lvlJc w:val="left"/>
      <w:pPr>
        <w:ind w:left="1080" w:hanging="360"/>
      </w:pPr>
      <w:rPr>
        <w:rFonts w:ascii="Symbol" w:hAnsi="Symbol" w:hint="default"/>
        <w:color w:val="auto"/>
        <w:sz w:val="20"/>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09825AF"/>
    <w:multiLevelType w:val="hybridMultilevel"/>
    <w:tmpl w:val="DAB04AA0"/>
    <w:lvl w:ilvl="0" w:tplc="04090015">
      <w:start w:val="1"/>
      <w:numFmt w:val="upperLetter"/>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B504471"/>
    <w:multiLevelType w:val="hybridMultilevel"/>
    <w:tmpl w:val="8D0C8A32"/>
    <w:lvl w:ilvl="0" w:tplc="DF1CE9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7B57C7"/>
    <w:multiLevelType w:val="hybridMultilevel"/>
    <w:tmpl w:val="A1FA8E00"/>
    <w:lvl w:ilvl="0" w:tplc="21D2D6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1B7ECC"/>
    <w:multiLevelType w:val="hybridMultilevel"/>
    <w:tmpl w:val="F0188A24"/>
    <w:lvl w:ilvl="0" w:tplc="B71E86B0">
      <w:start w:val="1"/>
      <w:numFmt w:val="lowerLetter"/>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781711B"/>
    <w:multiLevelType w:val="hybridMultilevel"/>
    <w:tmpl w:val="1666CD08"/>
    <w:lvl w:ilvl="0" w:tplc="73DEA350">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5C7A69"/>
    <w:multiLevelType w:val="multilevel"/>
    <w:tmpl w:val="32C86B5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4A6F58A0"/>
    <w:multiLevelType w:val="hybridMultilevel"/>
    <w:tmpl w:val="6CAEA9B6"/>
    <w:lvl w:ilvl="0" w:tplc="73DEA35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08A13B9"/>
    <w:multiLevelType w:val="hybridMultilevel"/>
    <w:tmpl w:val="32C86B54"/>
    <w:lvl w:ilvl="0" w:tplc="73DEA35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FA2ADD"/>
    <w:multiLevelType w:val="hybridMultilevel"/>
    <w:tmpl w:val="1666CD08"/>
    <w:lvl w:ilvl="0" w:tplc="73DEA3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ADB49D7"/>
    <w:multiLevelType w:val="hybridMultilevel"/>
    <w:tmpl w:val="E7F68650"/>
    <w:lvl w:ilvl="0" w:tplc="5A3410C2">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4945D5A"/>
    <w:multiLevelType w:val="hybridMultilevel"/>
    <w:tmpl w:val="E384E61C"/>
    <w:lvl w:ilvl="0" w:tplc="73DEA35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5716AB9"/>
    <w:multiLevelType w:val="hybridMultilevel"/>
    <w:tmpl w:val="383CBAC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5D619E0"/>
    <w:multiLevelType w:val="hybridMultilevel"/>
    <w:tmpl w:val="7234AE36"/>
    <w:lvl w:ilvl="0" w:tplc="73DEA35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6912628"/>
    <w:multiLevelType w:val="hybridMultilevel"/>
    <w:tmpl w:val="CE54E4DE"/>
    <w:lvl w:ilvl="0" w:tplc="73DEA3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D2F74E1"/>
    <w:multiLevelType w:val="hybridMultilevel"/>
    <w:tmpl w:val="3A007F84"/>
    <w:lvl w:ilvl="0" w:tplc="73DEA35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1290B7A"/>
    <w:multiLevelType w:val="hybridMultilevel"/>
    <w:tmpl w:val="5C906B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2811BDA"/>
    <w:multiLevelType w:val="hybridMultilevel"/>
    <w:tmpl w:val="5F52591A"/>
    <w:lvl w:ilvl="0" w:tplc="9474A57A">
      <w:start w:val="1"/>
      <w:numFmt w:val="bullet"/>
      <w:lvlText w:val=""/>
      <w:lvlJc w:val="left"/>
      <w:pPr>
        <w:ind w:left="1080" w:hanging="360"/>
      </w:pPr>
      <w:rPr>
        <w:rFonts w:ascii="Symbol" w:hAnsi="Symbol" w:hint="default"/>
        <w:color w:val="auto"/>
        <w:sz w:val="20"/>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3BA076F"/>
    <w:multiLevelType w:val="hybridMultilevel"/>
    <w:tmpl w:val="9AA67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C201906"/>
    <w:multiLevelType w:val="hybridMultilevel"/>
    <w:tmpl w:val="37F289F2"/>
    <w:lvl w:ilvl="0" w:tplc="73DEA3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9"/>
  </w:num>
  <w:num w:numId="3">
    <w:abstractNumId w:val="14"/>
  </w:num>
  <w:num w:numId="4">
    <w:abstractNumId w:val="13"/>
  </w:num>
  <w:num w:numId="5">
    <w:abstractNumId w:val="25"/>
  </w:num>
  <w:num w:numId="6">
    <w:abstractNumId w:val="11"/>
  </w:num>
  <w:num w:numId="7">
    <w:abstractNumId w:val="15"/>
  </w:num>
  <w:num w:numId="8">
    <w:abstractNumId w:val="4"/>
  </w:num>
  <w:num w:numId="9">
    <w:abstractNumId w:val="12"/>
  </w:num>
  <w:num w:numId="10">
    <w:abstractNumId w:val="21"/>
  </w:num>
  <w:num w:numId="11">
    <w:abstractNumId w:val="17"/>
  </w:num>
  <w:num w:numId="12">
    <w:abstractNumId w:val="1"/>
  </w:num>
  <w:num w:numId="13">
    <w:abstractNumId w:val="18"/>
  </w:num>
  <w:num w:numId="14">
    <w:abstractNumId w:val="7"/>
  </w:num>
  <w:num w:numId="15">
    <w:abstractNumId w:val="0"/>
  </w:num>
  <w:num w:numId="16">
    <w:abstractNumId w:val="9"/>
  </w:num>
  <w:num w:numId="17">
    <w:abstractNumId w:val="24"/>
  </w:num>
  <w:num w:numId="18">
    <w:abstractNumId w:val="22"/>
  </w:num>
  <w:num w:numId="19">
    <w:abstractNumId w:val="10"/>
  </w:num>
  <w:num w:numId="20">
    <w:abstractNumId w:val="3"/>
  </w:num>
  <w:num w:numId="21">
    <w:abstractNumId w:val="5"/>
  </w:num>
  <w:num w:numId="22">
    <w:abstractNumId w:val="16"/>
  </w:num>
  <w:num w:numId="23">
    <w:abstractNumId w:val="6"/>
  </w:num>
  <w:num w:numId="24">
    <w:abstractNumId w:val="2"/>
  </w:num>
  <w:num w:numId="25">
    <w:abstractNumId w:val="23"/>
  </w:num>
  <w:num w:numId="2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attachedTemplate r:id="rId1"/>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4121"/>
    <o:shapelayout v:ext="edit">
      <o:idmap v:ext="edit" data="4"/>
    </o:shapelayout>
  </w:hdrShapeDefaults>
  <w:footnotePr>
    <w:footnote w:id="-1"/>
    <w:footnote w:id="0"/>
  </w:footnotePr>
  <w:endnotePr>
    <w:endnote w:id="-1"/>
    <w:endnote w:id="0"/>
  </w:endnotePr>
  <w:compat/>
  <w:rsids>
    <w:rsidRoot w:val="00426FC9"/>
    <w:rsid w:val="00007D22"/>
    <w:rsid w:val="00007D6A"/>
    <w:rsid w:val="000324CB"/>
    <w:rsid w:val="0004126E"/>
    <w:rsid w:val="0005796E"/>
    <w:rsid w:val="00070D46"/>
    <w:rsid w:val="00091396"/>
    <w:rsid w:val="000934C3"/>
    <w:rsid w:val="000C459D"/>
    <w:rsid w:val="000F3BA6"/>
    <w:rsid w:val="00112085"/>
    <w:rsid w:val="0012312B"/>
    <w:rsid w:val="00163606"/>
    <w:rsid w:val="0017144F"/>
    <w:rsid w:val="00173C80"/>
    <w:rsid w:val="001757E0"/>
    <w:rsid w:val="0018071E"/>
    <w:rsid w:val="0018085D"/>
    <w:rsid w:val="00181BF0"/>
    <w:rsid w:val="001A34E1"/>
    <w:rsid w:val="001A55C7"/>
    <w:rsid w:val="001A57B9"/>
    <w:rsid w:val="001C6D35"/>
    <w:rsid w:val="001D13C0"/>
    <w:rsid w:val="001D5406"/>
    <w:rsid w:val="001D5D30"/>
    <w:rsid w:val="001E4B56"/>
    <w:rsid w:val="001E5E52"/>
    <w:rsid w:val="001E664A"/>
    <w:rsid w:val="001F1211"/>
    <w:rsid w:val="001F1959"/>
    <w:rsid w:val="001F2010"/>
    <w:rsid w:val="001F2F13"/>
    <w:rsid w:val="001F470A"/>
    <w:rsid w:val="00204767"/>
    <w:rsid w:val="00207F3E"/>
    <w:rsid w:val="00215467"/>
    <w:rsid w:val="002370F0"/>
    <w:rsid w:val="0025329E"/>
    <w:rsid w:val="00254B78"/>
    <w:rsid w:val="00271378"/>
    <w:rsid w:val="00271A0A"/>
    <w:rsid w:val="002737D4"/>
    <w:rsid w:val="0029379C"/>
    <w:rsid w:val="002971EB"/>
    <w:rsid w:val="002C3FC1"/>
    <w:rsid w:val="002D326B"/>
    <w:rsid w:val="002E064A"/>
    <w:rsid w:val="002E1ED8"/>
    <w:rsid w:val="002E283B"/>
    <w:rsid w:val="002E2998"/>
    <w:rsid w:val="002F5D43"/>
    <w:rsid w:val="002F6950"/>
    <w:rsid w:val="00321390"/>
    <w:rsid w:val="00321652"/>
    <w:rsid w:val="00336117"/>
    <w:rsid w:val="00350115"/>
    <w:rsid w:val="00350843"/>
    <w:rsid w:val="003572C2"/>
    <w:rsid w:val="0037122D"/>
    <w:rsid w:val="00380F6F"/>
    <w:rsid w:val="003B5A59"/>
    <w:rsid w:val="003C3D33"/>
    <w:rsid w:val="003C5D75"/>
    <w:rsid w:val="003D50E8"/>
    <w:rsid w:val="003E6923"/>
    <w:rsid w:val="00401578"/>
    <w:rsid w:val="00422D0C"/>
    <w:rsid w:val="00424FF7"/>
    <w:rsid w:val="00426DCC"/>
    <w:rsid w:val="00426FC9"/>
    <w:rsid w:val="00456349"/>
    <w:rsid w:val="00457888"/>
    <w:rsid w:val="00464F80"/>
    <w:rsid w:val="00485CC7"/>
    <w:rsid w:val="004919A3"/>
    <w:rsid w:val="00497594"/>
    <w:rsid w:val="004A462C"/>
    <w:rsid w:val="004C5FF2"/>
    <w:rsid w:val="004D5117"/>
    <w:rsid w:val="004D52D3"/>
    <w:rsid w:val="00504431"/>
    <w:rsid w:val="00527CBB"/>
    <w:rsid w:val="00535D96"/>
    <w:rsid w:val="00565E93"/>
    <w:rsid w:val="00576900"/>
    <w:rsid w:val="0058073C"/>
    <w:rsid w:val="005825F0"/>
    <w:rsid w:val="00587598"/>
    <w:rsid w:val="005A2EDE"/>
    <w:rsid w:val="005A3D93"/>
    <w:rsid w:val="005A7B5C"/>
    <w:rsid w:val="005B0A4B"/>
    <w:rsid w:val="005B1B91"/>
    <w:rsid w:val="005C46CC"/>
    <w:rsid w:val="005D19D0"/>
    <w:rsid w:val="005E16D7"/>
    <w:rsid w:val="00600FFE"/>
    <w:rsid w:val="00636410"/>
    <w:rsid w:val="00640546"/>
    <w:rsid w:val="006459B7"/>
    <w:rsid w:val="006503BC"/>
    <w:rsid w:val="00670B56"/>
    <w:rsid w:val="006842A4"/>
    <w:rsid w:val="00692304"/>
    <w:rsid w:val="006A65B9"/>
    <w:rsid w:val="006A74FA"/>
    <w:rsid w:val="006B3DBE"/>
    <w:rsid w:val="006B6B8C"/>
    <w:rsid w:val="006D4A2B"/>
    <w:rsid w:val="006E5F68"/>
    <w:rsid w:val="006F4F9C"/>
    <w:rsid w:val="00717481"/>
    <w:rsid w:val="00727B2F"/>
    <w:rsid w:val="00731484"/>
    <w:rsid w:val="0073794C"/>
    <w:rsid w:val="00750A99"/>
    <w:rsid w:val="00752A9B"/>
    <w:rsid w:val="00770352"/>
    <w:rsid w:val="007727ED"/>
    <w:rsid w:val="007934B6"/>
    <w:rsid w:val="007A1D40"/>
    <w:rsid w:val="007C1EBF"/>
    <w:rsid w:val="007D5C12"/>
    <w:rsid w:val="007D7EF1"/>
    <w:rsid w:val="007E0EF4"/>
    <w:rsid w:val="007E2637"/>
    <w:rsid w:val="007E39D0"/>
    <w:rsid w:val="00811FEC"/>
    <w:rsid w:val="00817A99"/>
    <w:rsid w:val="00823C74"/>
    <w:rsid w:val="0082418D"/>
    <w:rsid w:val="00824F0B"/>
    <w:rsid w:val="00825A9D"/>
    <w:rsid w:val="00844844"/>
    <w:rsid w:val="00845B87"/>
    <w:rsid w:val="00872E9C"/>
    <w:rsid w:val="00873E8D"/>
    <w:rsid w:val="0087594E"/>
    <w:rsid w:val="00877F68"/>
    <w:rsid w:val="008A0E31"/>
    <w:rsid w:val="008A2418"/>
    <w:rsid w:val="008B2A3A"/>
    <w:rsid w:val="008C21BD"/>
    <w:rsid w:val="00921B3B"/>
    <w:rsid w:val="00931E7E"/>
    <w:rsid w:val="00942DD4"/>
    <w:rsid w:val="00946BD7"/>
    <w:rsid w:val="00946E22"/>
    <w:rsid w:val="0095132D"/>
    <w:rsid w:val="00955C3B"/>
    <w:rsid w:val="009650AE"/>
    <w:rsid w:val="00985204"/>
    <w:rsid w:val="009A2BF8"/>
    <w:rsid w:val="009A5954"/>
    <w:rsid w:val="009C417A"/>
    <w:rsid w:val="009C4928"/>
    <w:rsid w:val="009C4D0B"/>
    <w:rsid w:val="009C6965"/>
    <w:rsid w:val="009D2285"/>
    <w:rsid w:val="009E231E"/>
    <w:rsid w:val="00A11E26"/>
    <w:rsid w:val="00A20206"/>
    <w:rsid w:val="00A24513"/>
    <w:rsid w:val="00A652A8"/>
    <w:rsid w:val="00A851D4"/>
    <w:rsid w:val="00A8666C"/>
    <w:rsid w:val="00A942EB"/>
    <w:rsid w:val="00AA1A1D"/>
    <w:rsid w:val="00AA48A9"/>
    <w:rsid w:val="00AB6AFE"/>
    <w:rsid w:val="00AC12B4"/>
    <w:rsid w:val="00AC7528"/>
    <w:rsid w:val="00AD0274"/>
    <w:rsid w:val="00AD6471"/>
    <w:rsid w:val="00AD71FD"/>
    <w:rsid w:val="00AE0C5F"/>
    <w:rsid w:val="00AE19AF"/>
    <w:rsid w:val="00B22ABD"/>
    <w:rsid w:val="00B30E8D"/>
    <w:rsid w:val="00B4203B"/>
    <w:rsid w:val="00B443B1"/>
    <w:rsid w:val="00B51858"/>
    <w:rsid w:val="00B62B3E"/>
    <w:rsid w:val="00B771F5"/>
    <w:rsid w:val="00B774C3"/>
    <w:rsid w:val="00B96E23"/>
    <w:rsid w:val="00BA6F86"/>
    <w:rsid w:val="00BC6A00"/>
    <w:rsid w:val="00BD2841"/>
    <w:rsid w:val="00BD6A58"/>
    <w:rsid w:val="00BF02DB"/>
    <w:rsid w:val="00BF4472"/>
    <w:rsid w:val="00C02A5C"/>
    <w:rsid w:val="00C11F93"/>
    <w:rsid w:val="00C231F2"/>
    <w:rsid w:val="00C50E45"/>
    <w:rsid w:val="00C51785"/>
    <w:rsid w:val="00C57A3A"/>
    <w:rsid w:val="00C60FA0"/>
    <w:rsid w:val="00C74E53"/>
    <w:rsid w:val="00C95E99"/>
    <w:rsid w:val="00CA1852"/>
    <w:rsid w:val="00CA2D44"/>
    <w:rsid w:val="00CA3D16"/>
    <w:rsid w:val="00CB11BB"/>
    <w:rsid w:val="00CB2CC7"/>
    <w:rsid w:val="00CC2183"/>
    <w:rsid w:val="00CC5932"/>
    <w:rsid w:val="00CE4D90"/>
    <w:rsid w:val="00CF1905"/>
    <w:rsid w:val="00CF560A"/>
    <w:rsid w:val="00CF5C5E"/>
    <w:rsid w:val="00D05227"/>
    <w:rsid w:val="00D17C4E"/>
    <w:rsid w:val="00D21EF7"/>
    <w:rsid w:val="00D3089D"/>
    <w:rsid w:val="00D46D3A"/>
    <w:rsid w:val="00D50AE9"/>
    <w:rsid w:val="00DA1840"/>
    <w:rsid w:val="00DB0BBF"/>
    <w:rsid w:val="00DB7444"/>
    <w:rsid w:val="00DC2878"/>
    <w:rsid w:val="00DD3A7C"/>
    <w:rsid w:val="00E0509E"/>
    <w:rsid w:val="00E169AC"/>
    <w:rsid w:val="00E46E82"/>
    <w:rsid w:val="00E52858"/>
    <w:rsid w:val="00E55650"/>
    <w:rsid w:val="00E622EE"/>
    <w:rsid w:val="00E6716F"/>
    <w:rsid w:val="00E73C08"/>
    <w:rsid w:val="00E81542"/>
    <w:rsid w:val="00E815F6"/>
    <w:rsid w:val="00E8429F"/>
    <w:rsid w:val="00E85A8B"/>
    <w:rsid w:val="00E90CF9"/>
    <w:rsid w:val="00E958BA"/>
    <w:rsid w:val="00EA4428"/>
    <w:rsid w:val="00EA5B14"/>
    <w:rsid w:val="00EC1598"/>
    <w:rsid w:val="00EE2FAA"/>
    <w:rsid w:val="00EE3E41"/>
    <w:rsid w:val="00EE6AC2"/>
    <w:rsid w:val="00F038C7"/>
    <w:rsid w:val="00F10358"/>
    <w:rsid w:val="00F32F09"/>
    <w:rsid w:val="00F42DEA"/>
    <w:rsid w:val="00F73592"/>
    <w:rsid w:val="00F77482"/>
    <w:rsid w:val="00F80BF2"/>
    <w:rsid w:val="00F90DC8"/>
    <w:rsid w:val="00FC0A4E"/>
    <w:rsid w:val="00FE36FA"/>
    <w:rsid w:val="00FE7E09"/>
    <w:rsid w:val="00FF2017"/>
    <w:rsid w:val="00FF4749"/>
  </w:rsids>
  <m:mathPr>
    <m:mathFont m:val="Lucida Grande"/>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12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AD71FD"/>
    <w:rPr>
      <w:rFonts w:ascii="Times New Roman" w:eastAsia="Times New Roman" w:hAnsi="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nhideWhenUsed/>
    <w:rsid w:val="00AD71FD"/>
    <w:pPr>
      <w:tabs>
        <w:tab w:val="center" w:pos="4320"/>
        <w:tab w:val="right" w:pos="8640"/>
      </w:tabs>
    </w:pPr>
  </w:style>
  <w:style w:type="character" w:customStyle="1" w:styleId="HeaderChar">
    <w:name w:val="Header Char"/>
    <w:basedOn w:val="DefaultParagraphFont"/>
    <w:link w:val="Header"/>
    <w:rsid w:val="00AD71FD"/>
  </w:style>
  <w:style w:type="paragraph" w:styleId="Footer">
    <w:name w:val="footer"/>
    <w:basedOn w:val="Normal"/>
    <w:link w:val="FooterChar"/>
    <w:unhideWhenUsed/>
    <w:rsid w:val="00AD71FD"/>
    <w:pPr>
      <w:tabs>
        <w:tab w:val="center" w:pos="4320"/>
        <w:tab w:val="right" w:pos="8640"/>
      </w:tabs>
    </w:pPr>
  </w:style>
  <w:style w:type="character" w:customStyle="1" w:styleId="FooterChar">
    <w:name w:val="Footer Char"/>
    <w:basedOn w:val="DefaultParagraphFont"/>
    <w:link w:val="Footer"/>
    <w:rsid w:val="00AD71FD"/>
  </w:style>
  <w:style w:type="paragraph" w:styleId="BalloonText">
    <w:name w:val="Balloon Text"/>
    <w:basedOn w:val="Normal"/>
    <w:link w:val="BalloonTextChar"/>
    <w:rsid w:val="00E55650"/>
    <w:rPr>
      <w:rFonts w:ascii="Lucida Grande" w:hAnsi="Lucida Grande" w:cs="Lucida Grande"/>
      <w:sz w:val="18"/>
      <w:szCs w:val="18"/>
    </w:rPr>
  </w:style>
  <w:style w:type="character" w:customStyle="1" w:styleId="BalloonTextChar">
    <w:name w:val="Balloon Text Char"/>
    <w:basedOn w:val="DefaultParagraphFont"/>
    <w:link w:val="BalloonText"/>
    <w:rsid w:val="00E55650"/>
    <w:rPr>
      <w:rFonts w:ascii="Lucida Grande" w:eastAsia="Times New Roman" w:hAnsi="Lucida Grande" w:cs="Lucida Grande"/>
      <w:sz w:val="18"/>
      <w:szCs w:val="18"/>
    </w:rPr>
  </w:style>
  <w:style w:type="paragraph" w:styleId="BodyText">
    <w:name w:val="Body Text"/>
    <w:basedOn w:val="Normal"/>
    <w:link w:val="BodyTextChar"/>
    <w:uiPriority w:val="99"/>
    <w:unhideWhenUsed/>
    <w:rsid w:val="00670B56"/>
    <w:pPr>
      <w:spacing w:after="120"/>
    </w:pPr>
    <w:rPr>
      <w:rFonts w:ascii="Cambria" w:eastAsia="Cambria" w:hAnsi="Cambria"/>
    </w:rPr>
  </w:style>
  <w:style w:type="character" w:customStyle="1" w:styleId="BodyTextChar">
    <w:name w:val="Body Text Char"/>
    <w:basedOn w:val="DefaultParagraphFont"/>
    <w:link w:val="BodyText"/>
    <w:uiPriority w:val="99"/>
    <w:rsid w:val="00670B56"/>
  </w:style>
  <w:style w:type="character" w:styleId="PageNumber">
    <w:name w:val="page number"/>
    <w:basedOn w:val="DefaultParagraphFont"/>
    <w:rsid w:val="00670B56"/>
  </w:style>
  <w:style w:type="paragraph" w:styleId="ListParagraph">
    <w:name w:val="List Paragraph"/>
    <w:basedOn w:val="Normal"/>
    <w:uiPriority w:val="34"/>
    <w:qFormat/>
    <w:rsid w:val="00877F68"/>
    <w:pPr>
      <w:spacing w:after="200"/>
      <w:ind w:left="720"/>
      <w:contextualSpacing/>
    </w:pPr>
    <w:rPr>
      <w:rFonts w:asciiTheme="minorHAnsi" w:eastAsiaTheme="minorHAnsi" w:hAnsiTheme="minorHAnsi" w:cstheme="minorBidi"/>
    </w:rPr>
  </w:style>
  <w:style w:type="table" w:styleId="TableGrid">
    <w:name w:val="Table Grid"/>
    <w:basedOn w:val="TableNormal"/>
    <w:uiPriority w:val="59"/>
    <w:rsid w:val="00877F68"/>
    <w:rPr>
      <w:rFonts w:asciiTheme="minorHAnsi" w:eastAsiaTheme="minorHAnsi" w:hAnsiTheme="minorHAnsi" w:cstheme="minorBid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877F68"/>
    <w:pPr>
      <w:autoSpaceDE w:val="0"/>
      <w:autoSpaceDN w:val="0"/>
      <w:adjustRightInd w:val="0"/>
    </w:pPr>
    <w:rPr>
      <w:rFonts w:ascii="Arial" w:eastAsiaTheme="minorHAnsi" w:hAnsi="Arial" w:cs="Arial"/>
      <w:color w:val="000000"/>
    </w:rPr>
  </w:style>
  <w:style w:type="character" w:styleId="CommentReference">
    <w:name w:val="annotation reference"/>
    <w:basedOn w:val="DefaultParagraphFont"/>
    <w:rsid w:val="00921B3B"/>
    <w:rPr>
      <w:sz w:val="18"/>
      <w:szCs w:val="18"/>
    </w:rPr>
  </w:style>
  <w:style w:type="paragraph" w:styleId="CommentText">
    <w:name w:val="annotation text"/>
    <w:basedOn w:val="Normal"/>
    <w:link w:val="CommentTextChar"/>
    <w:rsid w:val="00921B3B"/>
  </w:style>
  <w:style w:type="character" w:customStyle="1" w:styleId="CommentTextChar">
    <w:name w:val="Comment Text Char"/>
    <w:basedOn w:val="DefaultParagraphFont"/>
    <w:link w:val="CommentText"/>
    <w:rsid w:val="00921B3B"/>
    <w:rPr>
      <w:rFonts w:ascii="Times New Roman" w:eastAsia="Times New Roman" w:hAnsi="Times New Roman"/>
    </w:rPr>
  </w:style>
  <w:style w:type="paragraph" w:styleId="CommentSubject">
    <w:name w:val="annotation subject"/>
    <w:basedOn w:val="CommentText"/>
    <w:next w:val="CommentText"/>
    <w:link w:val="CommentSubjectChar"/>
    <w:rsid w:val="00921B3B"/>
    <w:rPr>
      <w:b/>
      <w:bCs/>
      <w:sz w:val="20"/>
      <w:szCs w:val="20"/>
    </w:rPr>
  </w:style>
  <w:style w:type="character" w:customStyle="1" w:styleId="CommentSubjectChar">
    <w:name w:val="Comment Subject Char"/>
    <w:basedOn w:val="CommentTextChar"/>
    <w:link w:val="CommentSubject"/>
    <w:rsid w:val="00921B3B"/>
    <w:rPr>
      <w:b/>
      <w:bCs/>
      <w:sz w:val="20"/>
      <w:szCs w:val="20"/>
    </w:rPr>
  </w:style>
  <w:style w:type="character" w:styleId="HTMLCode">
    <w:name w:val="HTML Code"/>
    <w:basedOn w:val="DefaultParagraphFont"/>
    <w:uiPriority w:val="99"/>
    <w:rsid w:val="009D2285"/>
    <w:rPr>
      <w:rFonts w:ascii="Courier" w:eastAsiaTheme="minorHAnsi" w:hAnsi="Courier" w:cs="Courier"/>
      <w:sz w:val="20"/>
    </w:rPr>
  </w:style>
  <w:style w:type="character" w:styleId="Emphasis">
    <w:name w:val="Emphasis"/>
    <w:basedOn w:val="DefaultParagraphFont"/>
    <w:uiPriority w:val="20"/>
    <w:rsid w:val="00321652"/>
    <w:rPr>
      <w: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27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71FD"/>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71FD"/>
    <w:pPr>
      <w:tabs>
        <w:tab w:val="center" w:pos="4320"/>
        <w:tab w:val="right" w:pos="8640"/>
      </w:tabs>
    </w:pPr>
  </w:style>
  <w:style w:type="character" w:customStyle="1" w:styleId="HeaderChar">
    <w:name w:val="Header Char"/>
    <w:basedOn w:val="DefaultParagraphFont"/>
    <w:link w:val="Header"/>
    <w:uiPriority w:val="99"/>
    <w:rsid w:val="00AD71FD"/>
  </w:style>
  <w:style w:type="paragraph" w:styleId="Footer">
    <w:name w:val="footer"/>
    <w:basedOn w:val="Normal"/>
    <w:link w:val="FooterChar"/>
    <w:uiPriority w:val="99"/>
    <w:unhideWhenUsed/>
    <w:rsid w:val="00AD71FD"/>
    <w:pPr>
      <w:tabs>
        <w:tab w:val="center" w:pos="4320"/>
        <w:tab w:val="right" w:pos="8640"/>
      </w:tabs>
    </w:pPr>
  </w:style>
  <w:style w:type="character" w:customStyle="1" w:styleId="FooterChar">
    <w:name w:val="Footer Char"/>
    <w:basedOn w:val="DefaultParagraphFont"/>
    <w:link w:val="Footer"/>
    <w:uiPriority w:val="99"/>
    <w:rsid w:val="00AD71FD"/>
  </w:style>
  <w:style w:type="paragraph" w:styleId="BalloonText">
    <w:name w:val="Balloon Text"/>
    <w:basedOn w:val="Normal"/>
    <w:link w:val="BalloonTextChar"/>
    <w:rsid w:val="00E55650"/>
    <w:rPr>
      <w:rFonts w:ascii="Lucida Grande" w:hAnsi="Lucida Grande" w:cs="Lucida Grande"/>
      <w:sz w:val="18"/>
      <w:szCs w:val="18"/>
    </w:rPr>
  </w:style>
  <w:style w:type="character" w:customStyle="1" w:styleId="BalloonTextChar">
    <w:name w:val="Balloon Text Char"/>
    <w:basedOn w:val="DefaultParagraphFont"/>
    <w:link w:val="BalloonText"/>
    <w:rsid w:val="00E55650"/>
    <w:rPr>
      <w:rFonts w:ascii="Lucida Grande" w:eastAsia="Times New Roman" w:hAnsi="Lucida Grande" w:cs="Lucida Grande"/>
      <w:sz w:val="18"/>
      <w:szCs w:val="18"/>
    </w:rPr>
  </w:style>
</w:styles>
</file>

<file path=word/webSettings.xml><?xml version="1.0" encoding="utf-8"?>
<w:webSettings xmlns:r="http://schemas.openxmlformats.org/officeDocument/2006/relationships" xmlns:w="http://schemas.openxmlformats.org/wordprocessingml/2006/main">
  <w:divs>
    <w:div w:id="3828986">
      <w:bodyDiv w:val="1"/>
      <w:marLeft w:val="0"/>
      <w:marRight w:val="0"/>
      <w:marTop w:val="0"/>
      <w:marBottom w:val="0"/>
      <w:divBdr>
        <w:top w:val="none" w:sz="0" w:space="0" w:color="auto"/>
        <w:left w:val="none" w:sz="0" w:space="0" w:color="auto"/>
        <w:bottom w:val="none" w:sz="0" w:space="0" w:color="auto"/>
        <w:right w:val="none" w:sz="0" w:space="0" w:color="auto"/>
      </w:divBdr>
    </w:div>
    <w:div w:id="161435990">
      <w:bodyDiv w:val="1"/>
      <w:marLeft w:val="0"/>
      <w:marRight w:val="0"/>
      <w:marTop w:val="0"/>
      <w:marBottom w:val="0"/>
      <w:divBdr>
        <w:top w:val="none" w:sz="0" w:space="0" w:color="auto"/>
        <w:left w:val="none" w:sz="0" w:space="0" w:color="auto"/>
        <w:bottom w:val="none" w:sz="0" w:space="0" w:color="auto"/>
        <w:right w:val="none" w:sz="0" w:space="0" w:color="auto"/>
      </w:divBdr>
    </w:div>
    <w:div w:id="434593075">
      <w:bodyDiv w:val="1"/>
      <w:marLeft w:val="0"/>
      <w:marRight w:val="0"/>
      <w:marTop w:val="0"/>
      <w:marBottom w:val="0"/>
      <w:divBdr>
        <w:top w:val="none" w:sz="0" w:space="0" w:color="auto"/>
        <w:left w:val="none" w:sz="0" w:space="0" w:color="auto"/>
        <w:bottom w:val="none" w:sz="0" w:space="0" w:color="auto"/>
        <w:right w:val="none" w:sz="0" w:space="0" w:color="auto"/>
      </w:divBdr>
    </w:div>
    <w:div w:id="723069233">
      <w:bodyDiv w:val="1"/>
      <w:marLeft w:val="0"/>
      <w:marRight w:val="0"/>
      <w:marTop w:val="0"/>
      <w:marBottom w:val="0"/>
      <w:divBdr>
        <w:top w:val="none" w:sz="0" w:space="0" w:color="auto"/>
        <w:left w:val="none" w:sz="0" w:space="0" w:color="auto"/>
        <w:bottom w:val="none" w:sz="0" w:space="0" w:color="auto"/>
        <w:right w:val="none" w:sz="0" w:space="0" w:color="auto"/>
      </w:divBdr>
    </w:div>
    <w:div w:id="737168671">
      <w:bodyDiv w:val="1"/>
      <w:marLeft w:val="0"/>
      <w:marRight w:val="0"/>
      <w:marTop w:val="0"/>
      <w:marBottom w:val="0"/>
      <w:divBdr>
        <w:top w:val="none" w:sz="0" w:space="0" w:color="auto"/>
        <w:left w:val="none" w:sz="0" w:space="0" w:color="auto"/>
        <w:bottom w:val="none" w:sz="0" w:space="0" w:color="auto"/>
        <w:right w:val="none" w:sz="0" w:space="0" w:color="auto"/>
      </w:divBdr>
    </w:div>
    <w:div w:id="943457529">
      <w:bodyDiv w:val="1"/>
      <w:marLeft w:val="0"/>
      <w:marRight w:val="0"/>
      <w:marTop w:val="0"/>
      <w:marBottom w:val="0"/>
      <w:divBdr>
        <w:top w:val="none" w:sz="0" w:space="0" w:color="auto"/>
        <w:left w:val="none" w:sz="0" w:space="0" w:color="auto"/>
        <w:bottom w:val="none" w:sz="0" w:space="0" w:color="auto"/>
        <w:right w:val="none" w:sz="0" w:space="0" w:color="auto"/>
      </w:divBdr>
    </w:div>
    <w:div w:id="1084257481">
      <w:bodyDiv w:val="1"/>
      <w:marLeft w:val="0"/>
      <w:marRight w:val="0"/>
      <w:marTop w:val="0"/>
      <w:marBottom w:val="0"/>
      <w:divBdr>
        <w:top w:val="none" w:sz="0" w:space="0" w:color="auto"/>
        <w:left w:val="none" w:sz="0" w:space="0" w:color="auto"/>
        <w:bottom w:val="none" w:sz="0" w:space="0" w:color="auto"/>
        <w:right w:val="none" w:sz="0" w:space="0" w:color="auto"/>
      </w:divBdr>
    </w:div>
    <w:div w:id="1200167798">
      <w:bodyDiv w:val="1"/>
      <w:marLeft w:val="0"/>
      <w:marRight w:val="0"/>
      <w:marTop w:val="0"/>
      <w:marBottom w:val="0"/>
      <w:divBdr>
        <w:top w:val="none" w:sz="0" w:space="0" w:color="auto"/>
        <w:left w:val="none" w:sz="0" w:space="0" w:color="auto"/>
        <w:bottom w:val="none" w:sz="0" w:space="0" w:color="auto"/>
        <w:right w:val="none" w:sz="0" w:space="0" w:color="auto"/>
      </w:divBdr>
      <w:divsChild>
        <w:div w:id="748818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1444276">
      <w:bodyDiv w:val="1"/>
      <w:marLeft w:val="0"/>
      <w:marRight w:val="0"/>
      <w:marTop w:val="0"/>
      <w:marBottom w:val="0"/>
      <w:divBdr>
        <w:top w:val="none" w:sz="0" w:space="0" w:color="auto"/>
        <w:left w:val="none" w:sz="0" w:space="0" w:color="auto"/>
        <w:bottom w:val="none" w:sz="0" w:space="0" w:color="auto"/>
        <w:right w:val="none" w:sz="0" w:space="0" w:color="auto"/>
      </w:divBdr>
    </w:div>
    <w:div w:id="1547332423">
      <w:bodyDiv w:val="1"/>
      <w:marLeft w:val="0"/>
      <w:marRight w:val="0"/>
      <w:marTop w:val="0"/>
      <w:marBottom w:val="0"/>
      <w:divBdr>
        <w:top w:val="none" w:sz="0" w:space="0" w:color="auto"/>
        <w:left w:val="none" w:sz="0" w:space="0" w:color="auto"/>
        <w:bottom w:val="none" w:sz="0" w:space="0" w:color="auto"/>
        <w:right w:val="none" w:sz="0" w:space="0" w:color="auto"/>
      </w:divBdr>
    </w:div>
    <w:div w:id="1637176613">
      <w:bodyDiv w:val="1"/>
      <w:marLeft w:val="0"/>
      <w:marRight w:val="0"/>
      <w:marTop w:val="0"/>
      <w:marBottom w:val="0"/>
      <w:divBdr>
        <w:top w:val="none" w:sz="0" w:space="0" w:color="auto"/>
        <w:left w:val="none" w:sz="0" w:space="0" w:color="auto"/>
        <w:bottom w:val="none" w:sz="0" w:space="0" w:color="auto"/>
        <w:right w:val="none" w:sz="0" w:space="0" w:color="auto"/>
      </w:divBdr>
    </w:div>
    <w:div w:id="1814715409">
      <w:bodyDiv w:val="1"/>
      <w:marLeft w:val="0"/>
      <w:marRight w:val="0"/>
      <w:marTop w:val="0"/>
      <w:marBottom w:val="0"/>
      <w:divBdr>
        <w:top w:val="none" w:sz="0" w:space="0" w:color="auto"/>
        <w:left w:val="none" w:sz="0" w:space="0" w:color="auto"/>
        <w:bottom w:val="none" w:sz="0" w:space="0" w:color="auto"/>
        <w:right w:val="none" w:sz="0" w:space="0" w:color="auto"/>
      </w:divBdr>
    </w:div>
    <w:div w:id="2054697113">
      <w:bodyDiv w:val="1"/>
      <w:marLeft w:val="0"/>
      <w:marRight w:val="0"/>
      <w:marTop w:val="0"/>
      <w:marBottom w:val="0"/>
      <w:divBdr>
        <w:top w:val="none" w:sz="0" w:space="0" w:color="auto"/>
        <w:left w:val="none" w:sz="0" w:space="0" w:color="auto"/>
        <w:bottom w:val="none" w:sz="0" w:space="0" w:color="auto"/>
        <w:right w:val="none" w:sz="0" w:space="0" w:color="auto"/>
      </w:divBdr>
    </w:div>
    <w:div w:id="20956645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printerSettings" Target="printerSettings/printerSettings1.bin"/><Relationship Id="rId12" Type="http://schemas.openxmlformats.org/officeDocument/2006/relationships/fontTable" Target="fontTable.xml"/><Relationship Id="rId13" Type="http://schemas.openxmlformats.org/officeDocument/2006/relationships/theme" Target="theme/theme1.xml"/><Relationship Id="rId22"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ibarkin:Library:Mail%20Downloads:CISGSElectronic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F80698-2D48-0040-BD64-621DBFDC1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CISGSElectronicLetterhead.dot</Template>
  <TotalTime>15</TotalTime>
  <Pages>9</Pages>
  <Words>3670</Words>
  <Characters>20923</Characters>
  <Application>Microsoft Macintosh Word</Application>
  <DocSecurity>0</DocSecurity>
  <Lines>174</Lines>
  <Paragraphs>41</Paragraphs>
  <ScaleCrop>false</ScaleCrop>
  <HeadingPairs>
    <vt:vector size="2" baseType="variant">
      <vt:variant>
        <vt:lpstr>Title</vt:lpstr>
      </vt:variant>
      <vt:variant>
        <vt:i4>1</vt:i4>
      </vt:variant>
    </vt:vector>
  </HeadingPairs>
  <TitlesOfParts>
    <vt:vector size="1" baseType="lpstr">
      <vt:lpstr/>
    </vt:vector>
  </TitlesOfParts>
  <Company>Michigan State University</Company>
  <LinksUpToDate>false</LinksUpToDate>
  <CharactersWithSpaces>25694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b</dc:creator>
  <cp:keywords/>
  <cp:lastModifiedBy>Julie Libarkin</cp:lastModifiedBy>
  <cp:revision>3</cp:revision>
  <cp:lastPrinted>2012-09-03T20:35:00Z</cp:lastPrinted>
  <dcterms:created xsi:type="dcterms:W3CDTF">2014-09-12T13:50:00Z</dcterms:created>
  <dcterms:modified xsi:type="dcterms:W3CDTF">2014-09-12T14:06:00Z</dcterms:modified>
</cp:coreProperties>
</file>