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Rapport d'audit de sécurité du code source</w:t>
      </w:r>
    </w:p>
    <w:p>
      <w:pPr>
        <w:jc w:val="center"/>
      </w:pPr>
      <w:r>
        <w:rPr>
          <w:color w:val="6B7280"/>
          <w:sz w:val="28"/>
        </w:rPr>
        <w:t>ACRA — Augmented Cyber Risk Analysis</w:t>
      </w:r>
    </w:p>
    <w:p>
      <w:pPr>
        <w:jc w:val="center"/>
      </w:pPr>
      <w:r>
        <w:rPr>
          <w:sz w:val="21"/>
        </w:rPr>
        <w:t>Application : ACRA (Next.js 16 · next-auth 4 · Prisma 5 · PostgreSQL)</w:t>
        <w:br/>
      </w:r>
      <w:r>
        <w:rPr>
          <w:sz w:val="21"/>
        </w:rPr>
        <w:t>Périmètre : ebios-rm/src — 42 routes API</w:t>
        <w:br/>
      </w:r>
      <w:r>
        <w:rPr>
          <w:sz w:val="21"/>
        </w:rPr>
        <w:t>Date : 6 juillet 2026   ·   Type : re-audit (delta vs 2026-06-10)</w:t>
        <w:br/>
      </w:r>
      <w:r>
        <w:rPr>
          <w:sz w:val="21"/>
        </w:rPr>
        <w:t>Référentiels : OWASP Top 10 2021 · CWE Top 25 2024 · patterns SAST</w:t>
        <w:br/>
      </w:r>
    </w:p>
    <w:p>
      <w:pPr>
        <w:jc w:val="center"/>
      </w:pPr>
      <w:r>
        <w:rPr>
          <w:b/>
          <w:color w:val="15803D"/>
          <w:sz w:val="32"/>
        </w:rPr>
        <w:t>Score de risque global : ~2,8 / 10</w:t>
      </w:r>
    </w:p>
    <w:p>
      <w:pPr>
        <w:jc w:val="center"/>
      </w:pPr>
      <w:r>
        <w:rPr>
          <w:color w:val="15803D"/>
          <w:sz w:val="24"/>
        </w:rPr>
        <w:t>Niveau : FAIBLE  —  posture nettement améliorée (4,6 → 2,8)</w:t>
      </w:r>
    </w:p>
    <w:p>
      <w:r>
        <w:br w:type="page"/>
      </w:r>
    </w:p>
    <w:p>
      <w:r>
        <w:rPr>
          <w:b/>
          <w:color w:val="1E3A8A"/>
          <w:sz w:val="32"/>
        </w:rPr>
        <w:t>1. Résumé exécutif</w:t>
      </w:r>
    </w:p>
    <w:p>
      <w:r>
        <w:rPr>
          <w:b w:val="0"/>
          <w:sz w:val="21"/>
        </w:rPr>
        <w:t>La base de code présente une posture de sécurité solide. Aucune vulnérabilité critique ni élevée n'a été identifiée. Le re-audit confirme la correction du finding ÉLEVÉ (injection CSV/formule) et de deux findings MOYENS (secrets en clair, mass-assignment) relevés en juin 2026, ainsi que le retrait de la fonctionnalité IA. Les items résiduels relèvent d'incohérences de durcissement et de choix d'exploitation.</w:t>
      </w:r>
    </w:p>
    <w:p>
      <w:r>
        <w:rPr>
          <w:b/>
          <w:color w:val="1E3A8A"/>
          <w:sz w:val="24"/>
        </w:rPr>
        <w:t>Synthèse par sévérité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Sévérité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720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Findings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🟡 Moyen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R01 anti-brute-force · R02 amorçage SUPER_ADMIN</w:t>
            </w:r>
          </w:p>
        </w:tc>
      </w:tr>
      <w:tr>
        <w:tc>
          <w:tcPr>
            <w:tcW w:type="dxa" w:w="1872"/>
            <w:shd w:val="clear" w:color="auto" w:fill="F1F5F9"/>
          </w:tcPr>
          <w:p>
            <w:r>
              <w:rPr>
                <w:sz w:val="18"/>
              </w:rPr>
              <w:t>🟢 Faible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0"/>
            <w:shd w:val="clear" w:color="auto" w:fill="F1F5F9"/>
          </w:tcPr>
          <w:p>
            <w:r>
              <w:rPr>
                <w:sz w:val="18"/>
              </w:rPr>
              <w:t>R03 DoS cardinalité · R04 blobs JSON · R05 uid Math.random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🟠 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R06 secrets dans l'artefact de build</w:t>
            </w:r>
          </w:p>
        </w:tc>
      </w:tr>
      <w:tr>
        <w:tc>
          <w:tcPr>
            <w:tcW w:type="dxa" w:w="1872"/>
            <w:shd w:val="clear" w:color="auto" w:fill="F1F5F9"/>
          </w:tcPr>
          <w:p>
            <w:r>
              <w:rPr>
                <w:sz w:val="18"/>
              </w:rPr>
              <w:t>⚪ Info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0"/>
            <w:shd w:val="clear" w:color="auto" w:fill="F1F5F9"/>
          </w:tcPr>
          <w:p>
            <w:r>
              <w:rPr>
                <w:sz w:val="18"/>
              </w:rPr>
              <w:t>R07 dangerouslySetInnerHTML statique</w:t>
            </w:r>
          </w:p>
        </w:tc>
      </w:tr>
    </w:tbl>
    <w:p/>
    <w:p>
      <w:r>
        <w:rPr>
          <w:b/>
          <w:color w:val="1E3A8A"/>
          <w:sz w:val="24"/>
        </w:rPr>
        <w:t>Top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7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Titre</w:t>
            </w:r>
          </w:p>
        </w:tc>
        <w:tc>
          <w:tcPr>
            <w:tcW w:type="dxa" w:w="158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Sévérité</w:t>
            </w:r>
          </w:p>
        </w:tc>
        <w:tc>
          <w:tcPr>
            <w:tcW w:type="dxa" w:w="115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CVSS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Amorçage : 1er inscrit anonyme = SUPER_ADMIN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5760"/>
            <w:shd w:val="clear" w:color="auto" w:fill="F1F5F9"/>
          </w:tcPr>
          <w:p>
            <w:r>
              <w:rPr>
                <w:sz w:val="18"/>
              </w:rPr>
              <w:t>Anti-brute-force contournable (mémoire + IP falsifiable)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R06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Secrets dans .next/standalone/.env (build)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Ops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5760"/>
            <w:shd w:val="clear" w:color="auto" w:fill="F1F5F9"/>
          </w:tcPr>
          <w:p>
            <w:r>
              <w:rPr>
                <w:sz w:val="18"/>
              </w:rPr>
              <w:t>Cardinalité des tableaux non bornée (DoS)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R04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Blobs JSON sans validation de schéma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3.1</w:t>
            </w:r>
          </w:p>
        </w:tc>
      </w:tr>
    </w:tbl>
    <w:p/>
    <w:p>
      <w:r>
        <w:rPr>
          <w:b/>
          <w:color w:val="1E3A8A"/>
          <w:sz w:val="32"/>
        </w:rPr>
        <w:t>2. Évolution depuis l'audit du 10 juin 2026</w:t>
      </w:r>
    </w:p>
    <w:p>
      <w:r>
        <w:rPr>
          <w:b w:val="0"/>
          <w:sz w:val="21"/>
        </w:rPr>
        <w:t>Le précédent audit avait attribué un score de 4,6/10 (MOYEN) avec 7 findings. Les corrections suivantes ont été vérifiées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Finding 2026-06-10</w:t>
            </w:r>
          </w:p>
        </w:tc>
        <w:tc>
          <w:tcPr>
            <w:tcW w:type="dxa" w:w="489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Statut vérifié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F002 HIGH — Injection CSV/formule (export audit-log)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✅ Corrigé (sanitizeForSpreadsheet / toCsvCell)</w:t>
            </w:r>
          </w:p>
        </w:tc>
      </w:tr>
      <w:tr>
        <w:tc>
          <w:tcPr>
            <w:tcW w:type="dxa" w:w="4896"/>
            <w:shd w:val="clear" w:color="auto" w:fill="F1F5F9"/>
          </w:tcPr>
          <w:p>
            <w:r>
              <w:rPr>
                <w:sz w:val="18"/>
              </w:rPr>
              <w:t>F005 MEDIUM — Secrets SSO/SMS en clair</w:t>
            </w:r>
          </w:p>
        </w:tc>
        <w:tc>
          <w:tcPr>
            <w:tcW w:type="dxa" w:w="4896"/>
            <w:shd w:val="clear" w:color="auto" w:fill="F1F5F9"/>
          </w:tcPr>
          <w:p>
            <w:r>
              <w:rPr>
                <w:sz w:val="18"/>
              </w:rPr>
              <w:t>✅ Corrigé — AES-256-GCM au repos (IV + tag, scrypt)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F006 LOW — Mass-assignment A2/A3/A4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✅ Corrigé — allowlists workshop-sanitize</w:t>
            </w:r>
          </w:p>
        </w:tc>
      </w:tr>
      <w:tr>
        <w:tc>
          <w:tcPr>
            <w:tcW w:type="dxa" w:w="4896"/>
            <w:shd w:val="clear" w:color="auto" w:fill="F1F5F9"/>
          </w:tcPr>
          <w:p>
            <w:r>
              <w:rPr>
                <w:sz w:val="18"/>
              </w:rPr>
              <w:t>F007 LOW — Injection de prompt IA</w:t>
            </w:r>
          </w:p>
        </w:tc>
        <w:tc>
          <w:tcPr>
            <w:tcW w:type="dxa" w:w="4896"/>
            <w:shd w:val="clear" w:color="auto" w:fill="F1F5F9"/>
          </w:tcPr>
          <w:p>
            <w:r>
              <w:rPr>
                <w:sz w:val="18"/>
              </w:rPr>
              <w:t>✅ Éliminé — ai-suggest = tombstone (404)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F003 MEDIUM — Rate-limit/lockout contournable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🟡 Ouvert → R01</w:t>
            </w:r>
          </w:p>
        </w:tc>
      </w:tr>
      <w:tr>
        <w:tc>
          <w:tcPr>
            <w:tcW w:type="dxa" w:w="4896"/>
            <w:shd w:val="clear" w:color="auto" w:fill="F1F5F9"/>
          </w:tcPr>
          <w:p>
            <w:r>
              <w:rPr>
                <w:sz w:val="18"/>
              </w:rPr>
              <w:t>F004 MEDIUM — Inscription ouverte + 1er ADMIN</w:t>
            </w:r>
          </w:p>
        </w:tc>
        <w:tc>
          <w:tcPr>
            <w:tcW w:type="dxa" w:w="4896"/>
            <w:shd w:val="clear" w:color="auto" w:fill="F1F5F9"/>
          </w:tcPr>
          <w:p>
            <w:r>
              <w:rPr>
                <w:sz w:val="18"/>
              </w:rPr>
              <w:t>🟡 Ouvert (risque accepté) → R02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F001 MEDIUM — Secrets dans .next/standalone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🟠 Ops → R06</w:t>
            </w:r>
          </w:p>
        </w:tc>
      </w:tr>
    </w:tbl>
    <w:p/>
    <w:p>
      <w:r>
        <w:rPr>
          <w:b/>
          <w:color w:val="1E3A8A"/>
          <w:sz w:val="32"/>
        </w:rPr>
        <w:t>3. Méthodologie et surface d'attaque</w:t>
      </w:r>
    </w:p>
    <w:p>
      <w:r>
        <w:rPr>
          <w:b w:val="0"/>
          <w:sz w:val="21"/>
        </w:rPr>
        <w:t>Analyse statique (grep SAST : secrets, injection SQL/commande, crypto faible, XSS, logs sensibles) puis revue sémantique des points d'entrée : authentification (next-auth), 42 routes API, isolation multi-organisation, gestion des secrets, et les ajouts récents (mention de protection, versions/révisions, radar SR/OV, opérateurs ET/OU, méthodes de vraisemblance, packs sectoriels, autorités NIS2, CSP à nonce).</w:t>
      </w:r>
    </w:p>
    <w:p>
      <w:r>
        <w:rPr>
          <w:b w:val="0"/>
          <w:sz w:val="21"/>
        </w:rPr>
        <w:t>Points d'entrée : 42 route handlers Next.js (App Router). Authentification centralisée par next-auth (JWT). Accès aux données via Prisma (requêtes paramétrées). Aucune requête SQL brute hormis un health-check SELECT 1.</w:t>
      </w:r>
    </w:p>
    <w:p>
      <w:r>
        <w:rPr>
          <w:b/>
          <w:color w:val="1E3A8A"/>
          <w:sz w:val="32"/>
        </w:rPr>
        <w:t>4. Findings détaillés</w:t>
      </w:r>
    </w:p>
    <w:p>
      <w:r>
        <w:rPr>
          <w:b/>
          <w:color w:val="C2410C"/>
          <w:sz w:val="24"/>
        </w:rPr>
        <w:t>[R01] Anti-brute-force contournable (rate-limit en mémoire + IP falsifiable)</w:t>
      </w:r>
    </w:p>
    <w:p>
      <w:r>
        <w:rPr>
          <w:b w:val="0"/>
          <w:color w:val="6B7280"/>
          <w:sz w:val="19"/>
        </w:rPr>
        <w:t>Sévérité : Moyen   ·   CVSS 3.1 : 5.3 (AV:N/AC:L/PR:N/UI:N/S:U/C:L/I:N/A:N)</w:t>
      </w:r>
    </w:p>
    <w:p>
      <w:r>
        <w:rPr>
          <w:b w:val="0"/>
          <w:color w:val="6B7280"/>
          <w:sz w:val="19"/>
        </w:rPr>
        <w:t>CWE-307/290/770   ·   A07:2021   ·   Fichier : src/lib/auth.ts:98-104 · src/lib/logger.ts:161-170</w:t>
      </w:r>
    </w:p>
    <w:p>
      <w:r>
        <w:rPr>
          <w:b w:val="0"/>
          <w:sz w:val="21"/>
        </w:rPr>
        <w:t>Observation. Le rate-limit de login est en mémoire (non partagé entre instances) et indexé sur l'email ; getClientIp fait confiance à X-Forwarded-For / X-Real-IP falsifiables. Cumul : contournement des limites par IP et par répartition sur plusieurs emails ; réinitialisation à chaque redéploiement. Atténué par le lockout par compte et bcrypt.</w:t>
      </w:r>
    </w:p>
    <w:p>
      <w:r>
        <w:rPr>
          <w:b w:val="0"/>
          <w:sz w:val="21"/>
        </w:rPr>
        <w:t>Recommandation. IP de confiance (dernier hop / allowlist proxy), 2ᵉ clé de rate-limit par IP au login, store partagé (Redis) en multi-instance, CAPTCHA après N échecs.</w:t>
      </w:r>
    </w:p>
    <w:p>
      <w:r>
        <w:rPr>
          <w:b/>
          <w:color w:val="C2410C"/>
          <w:sz w:val="24"/>
        </w:rPr>
        <w:t>[R02] Amorçage de privilège : premier inscrit anonyme = SUPER_ADMIN</w:t>
      </w:r>
    </w:p>
    <w:p>
      <w:r>
        <w:rPr>
          <w:b w:val="0"/>
          <w:color w:val="6B7280"/>
          <w:sz w:val="19"/>
        </w:rPr>
        <w:t>Sévérité : Moyen   ·   CVSS 3.1 : 6.5 (AV:N/AC:L/PR:N/UI:N/S:U/C:L/I:L/A:L)</w:t>
      </w:r>
    </w:p>
    <w:p>
      <w:r>
        <w:rPr>
          <w:b w:val="0"/>
          <w:color w:val="6B7280"/>
          <w:sz w:val="19"/>
        </w:rPr>
        <w:t>CWE-269/862   ·   A01:2021   ·   Fichier : src/app/api/auth/register/route.ts:88-98</w:t>
      </w:r>
    </w:p>
    <w:p>
      <w:r>
        <w:rPr>
          <w:b w:val="0"/>
          <w:sz w:val="21"/>
        </w:rPr>
        <w:t>Observation. L'endpoint /api/auth/register est public ; si la table user est vide (déploiement neuf / reset), le premier compte créé reçoit le rôle SUPER_ADMIN. Course à l'amorçage : un attaquant plus rapide que l'exploitant prend le contrôle complet. Atténué par un rate-limit d'inscription (5/h par IP).</w:t>
      </w:r>
    </w:p>
    <w:p>
      <w:r>
        <w:rPr>
          <w:b w:val="0"/>
          <w:sz w:val="21"/>
        </w:rPr>
        <w:t>Recommandation. Provisionner l'ADMIN initial hors-ligne (seed/CLI/variable d'env) ; ne jamais attribuer SUPER_ADMIN via un endpoint public ; gater l'inscription (invitation, domaine autorisé, feature-flag).</w:t>
      </w:r>
    </w:p>
    <w:p>
      <w:r>
        <w:rPr>
          <w:b/>
          <w:color w:val="15803D"/>
          <w:sz w:val="24"/>
        </w:rPr>
        <w:t>[R03] Cardinalité des tableaux / taille des corps JSON non bornées</w:t>
      </w:r>
    </w:p>
    <w:p>
      <w:r>
        <w:rPr>
          <w:b w:val="0"/>
          <w:color w:val="6B7280"/>
          <w:sz w:val="19"/>
        </w:rPr>
        <w:t>Sévérité : Faible   ·   CVSS 3.1 : 4.3 (AV:N/AC:L/PR:L/UI:N/S:U/C:N/I:N/A:L)</w:t>
      </w:r>
    </w:p>
    <w:p>
      <w:r>
        <w:rPr>
          <w:b w:val="0"/>
          <w:color w:val="6B7280"/>
          <w:sz w:val="19"/>
        </w:rPr>
        <w:t>CWE-400   ·   A04:2021   ·   Fichier : workshop/[num]/route.ts · import/route.ts · analyses/route.ts</w:t>
      </w:r>
    </w:p>
    <w:p>
      <w:r>
        <w:rPr>
          <w:b w:val="0"/>
          <w:sz w:val="21"/>
        </w:rPr>
        <w:t>Observation. Les champs texte sont bornés (slice) mais le nombre d'items des tableaux (sources, scénarios, actions élémentaires, mesures) et la taille globale de req.json() ne le sont pas : un utilisateur authentifié avec droit d'édition peut soumettre un corps volumineux → consommation mémoire/CPU (createMany). Nouveau au re-audit.</w:t>
      </w:r>
    </w:p>
    <w:p>
      <w:r>
        <w:rPr>
          <w:b w:val="0"/>
          <w:sz w:val="21"/>
        </w:rPr>
        <w:t>Recommandation. Borner la cardinalité (ex. ≤ 500 par catégorie) avant createMany ; poser une limite de taille de corps (handler ou reverse-proxy).</w:t>
      </w:r>
    </w:p>
    <w:p>
      <w:r>
        <w:rPr>
          <w:b/>
          <w:color w:val="15803D"/>
          <w:sz w:val="24"/>
        </w:rPr>
        <w:t>[R04] Blobs JSON stockés sans validation de schéma</w:t>
      </w:r>
    </w:p>
    <w:p>
      <w:r>
        <w:rPr>
          <w:b w:val="0"/>
          <w:color w:val="6B7280"/>
          <w:sz w:val="19"/>
        </w:rPr>
        <w:t>Sévérité : Faible   ·   CVSS 3.1 : 3.1 (AV:N/AC:L/PR:L/UI:N/S:U/C:N/I:L/A:N)</w:t>
      </w:r>
    </w:p>
    <w:p>
      <w:r>
        <w:rPr>
          <w:b w:val="0"/>
          <w:color w:val="6B7280"/>
          <w:sz w:val="19"/>
        </w:rPr>
        <w:t>CWE-20   ·   A04:2021   ·   Fichier : src/lib/workshop-sanitize.ts (json)</w:t>
      </w:r>
    </w:p>
    <w:p>
      <w:r>
        <w:rPr>
          <w:b w:val="0"/>
          <w:sz w:val="21"/>
        </w:rPr>
        <w:t>Observation. Le helper json() ne valide que le type ; les blobs actionsElementaires / mesuresEcosysteme conservent des clés arbitraires du client. Atténué en profondeur : normalisation à la lecture (normalizeOperateur/Methode, aggregateVraisemblance bornée) et échappement au rendu (React/PDF). Aucun sink dangereux.</w:t>
      </w:r>
    </w:p>
    <w:p>
      <w:r>
        <w:rPr>
          <w:b w:val="0"/>
          <w:sz w:val="21"/>
        </w:rPr>
        <w:t>Recommandation. Appliquer une allowlist des clés dans les blobs JSON (comme l'allowlist déjà en place pour les mesures A5).</w:t>
      </w:r>
    </w:p>
    <w:p>
      <w:r>
        <w:rPr>
          <w:b/>
          <w:color w:val="15803D"/>
          <w:sz w:val="24"/>
        </w:rPr>
        <w:t>[R05] Math.random() pour les identifiants d'éléments d'UI</w:t>
      </w:r>
    </w:p>
    <w:p>
      <w:r>
        <w:rPr>
          <w:b w:val="0"/>
          <w:color w:val="6B7280"/>
          <w:sz w:val="19"/>
        </w:rPr>
        <w:t>Sévérité : Faible   ·   CVSS 3.1 : 2.0 (AV:N/AC:H/PR:L/UI:N/S:U/C:N/I:L/A:N)</w:t>
      </w:r>
    </w:p>
    <w:p>
      <w:r>
        <w:rPr>
          <w:b w:val="0"/>
          <w:color w:val="6B7280"/>
          <w:sz w:val="19"/>
        </w:rPr>
        <w:t>CWE-330   ·   A02:2021   ·   Fichier : src/components/workshops/Atelier{1..5}.tsx · actions/page.tsx:97</w:t>
      </w:r>
    </w:p>
    <w:p>
      <w:r>
        <w:rPr>
          <w:b w:val="0"/>
          <w:sz w:val="21"/>
        </w:rPr>
        <w:t>Observation. Les ids d'items générés côté client (uid()) servent de clés React et d'ids d'items JSON — usage non-cryptographique. Aucun ne sert de jeton de sécurité ; risque théorique de collision intra-analyse seulement. Non exploitable.</w:t>
      </w:r>
    </w:p>
    <w:p>
      <w:r>
        <w:rPr>
          <w:b w:val="0"/>
          <w:sz w:val="21"/>
        </w:rPr>
        <w:t>Recommandation. Hygiène : aligner uid() sur crypto.randomUUID(), déjà adopté pour la route d'import (#109).</w:t>
      </w:r>
    </w:p>
    <w:p>
      <w:r>
        <w:rPr>
          <w:b/>
          <w:color w:val="C2410C"/>
          <w:sz w:val="24"/>
        </w:rPr>
        <w:t>[R06] Secrets dans l'artefact de build standalone</w:t>
      </w:r>
    </w:p>
    <w:p>
      <w:r>
        <w:rPr>
          <w:b w:val="0"/>
          <w:color w:val="6B7280"/>
          <w:sz w:val="19"/>
        </w:rPr>
        <w:t>Sévérité : Ops   ·   CVSS 3.1 : 5.5 (AV:L/AC:L/PR:L/UI:N/S:U/C:H/I:N/A:N)</w:t>
      </w:r>
    </w:p>
    <w:p>
      <w:r>
        <w:rPr>
          <w:b w:val="0"/>
          <w:color w:val="6B7280"/>
          <w:sz w:val="19"/>
        </w:rPr>
        <w:t>CWE-200/538   ·   A05:2021   ·   Fichier : .next/standalone/**/.env (généré)</w:t>
      </w:r>
    </w:p>
    <w:p>
      <w:r>
        <w:rPr>
          <w:b w:val="0"/>
          <w:sz w:val="21"/>
        </w:rPr>
        <w:t>Observation. Le fichier .next/standalone/**/.env généré peut contenir des secrets en clair. Atténué : .dockerignore exclut .env et .next (l'image Docker est saine). Risque résiduel sur tout déploiement manuel du dossier standalone.</w:t>
      </w:r>
    </w:p>
    <w:p>
      <w:r>
        <w:rPr>
          <w:b w:val="0"/>
          <w:sz w:val="21"/>
        </w:rPr>
        <w:t>Recommandation. Purger .env de la sortie de build (find .next/standalone -name .env -delete en post-build) ; injecter les secrets uniquement au runtime ; faire tourner les secrets en cas de fuite possible.</w:t>
      </w:r>
    </w:p>
    <w:p>
      <w:r>
        <w:rPr>
          <w:b/>
          <w:color w:val="6B7280"/>
          <w:sz w:val="24"/>
        </w:rPr>
        <w:t>[R07] dangerouslySetInnerHTML (thème + JSON-LD statiques)</w:t>
      </w:r>
    </w:p>
    <w:p>
      <w:r>
        <w:rPr>
          <w:b w:val="0"/>
          <w:color w:val="6B7280"/>
          <w:sz w:val="19"/>
        </w:rPr>
        <w:t>Sévérité : Info   ·   CVSS 3.1 : 0.0 (—)</w:t>
      </w:r>
    </w:p>
    <w:p>
      <w:r>
        <w:rPr>
          <w:b w:val="0"/>
          <w:color w:val="6B7280"/>
          <w:sz w:val="19"/>
        </w:rPr>
        <w:t>CWE-79   ·   A03:2021   ·   Fichier : src/app/layout.tsx:83 · src/app/page.tsx:59</w:t>
      </w:r>
    </w:p>
    <w:p>
      <w:r>
        <w:rPr>
          <w:b w:val="0"/>
          <w:sz w:val="21"/>
        </w:rPr>
        <w:t>Observation. Script de thème sous nonce CSP (constante statique) et JSON.stringify d'un objet JSON-LD statique. Aucune donnée utilisateur → non exploitable.</w:t>
      </w:r>
    </w:p>
    <w:p>
      <w:r>
        <w:rPr>
          <w:b w:val="0"/>
          <w:sz w:val="21"/>
        </w:rPr>
        <w:t>Recommandation. Aucune action requise ; documenté pour traçabilité.</w:t>
      </w:r>
    </w:p>
    <w:p>
      <w:r>
        <w:rPr>
          <w:b/>
          <w:color w:val="1E3A8A"/>
          <w:sz w:val="32"/>
        </w:rPr>
        <w:t>5. Points forts (defense-in-depth)</w:t>
      </w:r>
    </w:p>
    <w:p>
      <w:pPr>
        <w:pStyle w:val="ListBullet"/>
      </w:pPr>
      <w:r>
        <w:rPr>
          <w:sz w:val="20"/>
        </w:rPr>
        <w:t>A01 Contrôle d'accès : isolation multi-organisation (analyseAccessWhere), gardes canViewAnalyse/canEditAnalyse, guard de scope org. Aucune IDOR identifiée.</w:t>
      </w:r>
    </w:p>
    <w:p>
      <w:pPr>
        <w:pStyle w:val="ListBullet"/>
      </w:pPr>
      <w:r>
        <w:rPr>
          <w:sz w:val="20"/>
        </w:rPr>
        <w:t>A02 Cryptographie : secrets SMTP/SMS chiffrés au repos en AES-256-GCM (IV aléatoire, tag d'authentification, dérivation scrypt) ; bcrypt coût 12 ; aucun secret en dur.</w:t>
      </w:r>
    </w:p>
    <w:p>
      <w:pPr>
        <w:pStyle w:val="ListBullet"/>
      </w:pPr>
      <w:r>
        <w:rPr>
          <w:sz w:val="20"/>
        </w:rPr>
        <w:t>A03 Injection : Prisma paramétré ; unique $queryRaw = SELECT 1 (sans interpolation) ; aucun exec/eval/child_process.</w:t>
      </w:r>
    </w:p>
    <w:p>
      <w:pPr>
        <w:pStyle w:val="ListBullet"/>
      </w:pPr>
      <w:r>
        <w:rPr>
          <w:sz w:val="20"/>
        </w:rPr>
        <w:t>A05 Configuration : CSP à nonce + strict-dynamic en production, HSTS, X-Frame-Options DENY, X-Content-Type-Options nosniff, Referrer-Policy ; pas de CORS permissif.</w:t>
      </w:r>
    </w:p>
    <w:p>
      <w:pPr>
        <w:pStyle w:val="ListBullet"/>
      </w:pPr>
      <w:r>
        <w:rPr>
          <w:sz w:val="20"/>
        </w:rPr>
        <w:t>A06 Dépendances : npm audit = 0 CVE critique/élevée (prod) ; audit intégré à la CI.</w:t>
      </w:r>
    </w:p>
    <w:p>
      <w:pPr>
        <w:pStyle w:val="ListBullet"/>
      </w:pPr>
      <w:r>
        <w:rPr>
          <w:sz w:val="20"/>
        </w:rPr>
        <w:t>A07 Authentification : MFA, verrouillage de compte, sessions JWT courtes, journal d'audit.</w:t>
      </w:r>
    </w:p>
    <w:p>
      <w:pPr>
        <w:pStyle w:val="ListBullet"/>
      </w:pPr>
      <w:r>
        <w:rPr>
          <w:sz w:val="20"/>
        </w:rPr>
        <w:t>Décision « no AI » respectée : endpoint ai-suggest = tombstone (404, aucun appel externe, aucune lecture de clé API).</w:t>
      </w:r>
    </w:p>
    <w:p>
      <w:pPr>
        <w:pStyle w:val="ListBullet"/>
      </w:pPr>
      <w:r>
        <w:rPr>
          <w:sz w:val="20"/>
        </w:rPr>
        <w:t>Ajouts récents (mention de protection, versions/révisions, radar SR/OV, opérateurs ET/OU, méthodes de vraisemblance, packs sectoriels, autorités NIS2) : validation/normalisation systématique côté serveur (enums, slice, clamp, allowlists) et gardes d'authentification correctes — aucun nouveau finding de sécurité.</w:t>
      </w:r>
    </w:p>
    <w:p>
      <w:r>
        <w:rPr>
          <w:b/>
          <w:color w:val="1E3A8A"/>
          <w:sz w:val="32"/>
        </w:rPr>
        <w:t>6. Roadmap de remédiation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86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8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29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Échéance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Neutraliser l'amorçage SUPER_ADMIN public (seed hors-ligne) + modèle d'inscription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Sprint+1</w:t>
            </w:r>
          </w:p>
        </w:tc>
      </w:tr>
      <w:tr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5184"/>
            <w:shd w:val="clear" w:color="auto" w:fill="F1F5F9"/>
          </w:tcPr>
          <w:p>
            <w:r>
              <w:rPr>
                <w:sz w:val="18"/>
              </w:rPr>
              <w:t>IP de confiance + rate-limit par IP au login + store Redis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Sprint+1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Borner la cardinalité des tableaux avant createMany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Sprint+2</w:t>
            </w:r>
          </w:p>
        </w:tc>
      </w:tr>
      <w:tr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R06</w:t>
            </w:r>
          </w:p>
        </w:tc>
        <w:tc>
          <w:tcPr>
            <w:tcW w:type="dxa" w:w="5184"/>
            <w:shd w:val="clear" w:color="auto" w:fill="F1F5F9"/>
          </w:tcPr>
          <w:p>
            <w:r>
              <w:rPr>
                <w:sz w:val="18"/>
              </w:rPr>
              <w:t>Purger .env du standalone + rotation si fuite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Ops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R04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Allowlist des clés dans les blobs JSON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Backlog</w:t>
            </w:r>
          </w:p>
        </w:tc>
      </w:tr>
      <w:tr>
        <w:tc>
          <w:tcPr>
            <w:tcW w:type="dxa" w:w="1152"/>
            <w:shd w:val="clear" w:color="auto" w:fill="F1F5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R05</w:t>
            </w:r>
          </w:p>
        </w:tc>
        <w:tc>
          <w:tcPr>
            <w:tcW w:type="dxa" w:w="5184"/>
            <w:shd w:val="clear" w:color="auto" w:fill="F1F5F9"/>
          </w:tcPr>
          <w:p>
            <w:r>
              <w:rPr>
                <w:sz w:val="18"/>
              </w:rPr>
              <w:t>uid() → crypto.randomUUID()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Faible</w:t>
            </w:r>
          </w:p>
        </w:tc>
        <w:tc>
          <w:tcPr>
            <w:tcW w:type="dxa" w:w="1440"/>
            <w:shd w:val="clear" w:color="auto" w:fill="F1F5F9"/>
          </w:tcPr>
          <w:p>
            <w:r>
              <w:rPr>
                <w:sz w:val="18"/>
              </w:rPr>
              <w:t>Backlog</w:t>
            </w:r>
          </w:p>
        </w:tc>
      </w:tr>
    </w:tbl>
    <w:p/>
    <w:p>
      <w:r>
        <w:rPr>
          <w:b/>
          <w:color w:val="1E3A8A"/>
          <w:sz w:val="32"/>
        </w:rPr>
        <w:t>7. Score de maturité sécurité (SMS) : 3,4 /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Axe</w:t>
            </w:r>
          </w:p>
        </w:tc>
        <w:tc>
          <w:tcPr>
            <w:tcW w:type="dxa" w:w="100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67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Authentification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bcrypt 12, MFA, lockout, audit trail — reste anti-brute-force IP/multi-instance (R01)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sz w:val="18"/>
              </w:rPr>
              <w:t>Data Protection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768"/>
            <w:shd w:val="clear" w:color="auto" w:fill="F1F5F9"/>
          </w:tcPr>
          <w:p>
            <w:r>
              <w:rPr>
                <w:sz w:val="18"/>
              </w:rPr>
              <w:t>hash fort + chiffrement AES-GCM au repos + mention de protection/classification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Dépendances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0 CVE critique/élevée, npm audit CI — pas de SBOM automatisé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768"/>
            <w:shd w:val="clear" w:color="auto" w:fill="F1F5F9"/>
          </w:tcPr>
          <w:p>
            <w:r>
              <w:rPr>
                <w:sz w:val="18"/>
              </w:rPr>
              <w:t>CSP nonce / HSTS / dockerignore — R02 (amorçage) &amp; R06 (build)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audit trail structuré, redaction — pas de SIEM/alerting temps réel</w:t>
            </w:r>
          </w:p>
        </w:tc>
      </w:tr>
    </w:tbl>
    <w:p/>
    <w:p>
      <w:r>
        <w:rPr>
          <w:b w:val="0"/>
          <w:color w:val="6B7280"/>
          <w:sz w:val="18"/>
        </w:rPr>
        <w:t>Références : OWASP Top 10 2021 (owasp.org/Top10) · CWE Top 25 2024 (cwe.mitre.org/top25) · CVSS 3.1 (first.org/cvss) · NVD (nvd.nist.gov).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