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5B5BD6"/>
          <w:sz w:val="96"/>
          <w:szCs w:val="96"/>
        </w:rPr>
        <w:t xml:space="preserve">ACRA</w:t>
      </w:r>
    </w:p>
    <w:p>
      <w:pPr>
        <w:jc w:val="center"/>
      </w:pPr>
      <w:r>
        <w:rPr>
          <w:color w:val="555555"/>
          <w:sz w:val="28"/>
          <w:szCs w:val="28"/>
        </w:rPr>
        <w:t xml:space="preserve">Augmented Cyber Risk Analysis</w:t>
      </w:r>
    </w:p>
    <w:p>
      <w:pPr>
        <w:spacing w:before="520"/>
        <w:jc w:val="center"/>
      </w:pPr>
      <w:r>
        <w:rPr>
          <w:b/>
          <w:bCs/>
          <w:color w:val="1A1A2E"/>
          <w:sz w:val="52"/>
          <w:szCs w:val="52"/>
        </w:rPr>
        <w:t xml:space="preserve">Rapport d’audit UX / Design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Heuristiques de Nielsen · WCAG 2.1 AA · Principes Gestalt</w:t>
      </w:r>
    </w:p>
    <w:p>
      <w:pPr>
        <w:spacing w:before="520"/>
        <w:jc w:val="center"/>
      </w:pPr>
      <w:r>
        <w:rPr>
          <w:color w:val="444444"/>
          <w:sz w:val="30"/>
          <w:szCs w:val="30"/>
        </w:rPr>
        <w:t xml:space="preserve">Score UX composite : </w:t>
      </w:r>
      <w:r>
        <w:rPr>
          <w:b/>
          <w:bCs/>
          <w:color w:val="BF9000"/>
          <w:sz w:val="40"/>
          <w:szCs w:val="40"/>
        </w:rPr>
        <w:t xml:space="preserve">7.1 / 10</w:t>
      </w:r>
      <w:r>
        <w:rPr>
          <w:b/>
          <w:bCs/>
          <w:color w:val="BF9000"/>
          <w:sz w:val="26"/>
          <w:szCs w:val="26"/>
        </w:rPr>
        <w:t xml:space="preserve">   (Acceptable)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Périmètre : application web Next.js — 20 écrans authentifiés</w:t>
      </w:r>
    </w:p>
    <w:p>
      <w:pPr>
        <w:jc w:val="center"/>
      </w:pPr>
      <w:r>
        <w:rPr>
          <w:color w:val="666666"/>
          <w:sz w:val="22"/>
          <w:szCs w:val="22"/>
        </w:rPr>
        <w:t xml:space="preserve">Mode d’accès : session authentifiée (rôle ADMINISTRATEUR)</w:t>
      </w:r>
    </w:p>
    <w:p>
      <w:pPr>
        <w:jc w:val="center"/>
      </w:pPr>
      <w:r>
        <w:rPr>
          <w:color w:val="666666"/>
          <w:sz w:val="22"/>
          <w:szCs w:val="22"/>
        </w:rPr>
        <w:t xml:space="preserve">Date de capture : 10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(Dans Word : clic droit sur le sommaire → « Mettre à jour les champs ».)</w:t>
      </w:r>
    </w:p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ACRA guide des non-spécialistes dans la conduite d’une analyse de risques EBIOS Risk Manager (compatible ISO 27005). L’audit a porté sur l’ensemble du parcours authentifié : connexion, tableau de bord, gestion des analyses, les cinq ateliers EBIOS RM, la vue des risques, le plan d’action, la configuration des échelles, le profil et la console d’administration.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Verdict global : </w:t>
      </w:r>
      <w:r>
        <w:rPr>
          <w:sz w:val="22"/>
          <w:szCs w:val="22"/>
        </w:rPr>
        <w:t xml:space="preserve">l’application offre une expérience solide et cohérente (score composite 7.1/10 — </w:t>
      </w:r>
      <w:r>
        <w:rPr>
          <w:b/>
          <w:bCs/>
          <w:color w:val="BF9000"/>
          <w:sz w:val="22"/>
          <w:szCs w:val="22"/>
        </w:rPr>
        <w:t xml:space="preserve">Acceptable</w:t>
      </w:r>
      <w:r>
        <w:rPr>
          <w:sz w:val="22"/>
          <w:szCs w:val="22"/>
        </w:rPr>
        <w:t xml:space="preserve">). Sa grande force est l’accompagnement pédagogique d’un référentiel complexe. Les axes de progrès se concentrent sur l’accessibilité (icônes émojis, contrastes) et quelques finitions (locale des dates, micro-typographie, confirmations).</w:t>
      </w:r>
    </w:p>
    <w:p>
      <w:pPr>
        <w:pStyle w:val="Heading2"/>
      </w:pPr>
      <w:r>
        <w:t xml:space="preserve">Tableau de synthèse des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060"/>
      </w:tblGrid>
      <w:tr>
        <w:trPr>
          <w:tblHeader/>
        </w:trPr>
        <w:tc>
          <w:tcPr>
            <w:tcW w:type="dxa" w:w="3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Référentiel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/ 10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Lecture</w:t>
            </w:r>
          </w:p>
        </w:tc>
      </w:tr>
      <w:tr>
        <w:tc>
          <w:tcPr>
            <w:tcW w:type="dxa" w:w="3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Heuristiques de Nielsen (utilisabilité)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Parcours guidé, progression très lisible</w:t>
            </w:r>
          </w:p>
        </w:tc>
      </w:tr>
      <w:tr>
        <w:tc>
          <w:tcPr>
            <w:tcW w:type="dxa" w:w="3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WCAG 2.1 AA (accessibilité)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6.3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12/19 critères évalués conformes</w:t>
            </w:r>
          </w:p>
        </w:tc>
      </w:tr>
      <w:tr>
        <w:tc>
          <w:tcPr>
            <w:tcW w:type="dxa" w:w="3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Principes Gestalt (perception visuelle)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Hiérarchie et regroupements clairs</w:t>
            </w:r>
          </w:p>
        </w:tc>
      </w:tr>
      <w:tr>
        <w:tc>
          <w:tcPr>
            <w:tcW w:type="dxa" w:w="3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UX COMPOSITE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7.1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</w:tr>
    </w:tbl>
    <w:p>
      <w:pPr>
        <w:spacing w:after="200" w:before="60"/>
      </w:pPr>
      <w:r>
        <w:rPr>
          <w:i/>
          <w:iCs/>
          <w:color w:val="777777"/>
          <w:sz w:val="18"/>
          <w:szCs w:val="18"/>
        </w:rPr>
        <w:t xml:space="preserve">Pondération : Nielsen 45 % · WCAG 30 % · Gestalt 25 %.</w:t>
      </w:r>
    </w:p>
    <w:p>
      <w:pPr>
        <w:pStyle w:val="Heading2"/>
      </w:pPr>
      <w:r>
        <w:t xml:space="preserve">Top 3 des points forts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Accompagnement pédagogique exemplaire </w:t>
      </w:r>
      <w:r>
        <w:t xml:space="preserve">— encadrés « Comment ça marche ? », exemples concrets dans chaque atelier, guide EBIOS RM sur le tableau de bord et descriptions de rôles intégrées. Un référentiel complexe rendu abordable pour des non-experts.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Visibilité de la progression </w:t>
      </w:r>
      <w:r>
        <w:t xml:space="preserve">— steppers des 5 ateliers, pourcentages d’avancement, badges de statut (En cours / Approuvé) et compteurs (3/3 sources, 6/6 scénarios) maintiennent l’utilisateur orienté à tout moment.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Rigueur des formulaires et de la donnée de risque </w:t>
      </w:r>
      <w:r>
        <w:t xml:space="preserve">— labels toujours visibles, textes d’aide, interface en 5 langues, et scores de risque exprimés en valeur + libellé (12/16 Critique) plutôt que par la seule couleur.</w:t>
      </w:r>
    </w:p>
    <w:p>
      <w:pPr>
        <w:pStyle w:val="Heading2"/>
      </w:pPr>
      <w:r>
        <w:t xml:space="preserve">Top 5 des axes d’amélioration prioritaires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Émojis utilisés comme icônes fonctionnelles </w:t>
      </w:r>
      <w:r>
        <w:t xml:space="preserve">(navigation, exports, KPIs, corbeille) : rendu incohérent selon l’OS, registre peu professionnel pour un outil GRC et noms accessibles manquants. → Remplacer par une bibliothèque d’icônes SVG avec aria-label.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 de date en japonais </w:t>
      </w:r>
      <w:r>
        <w:t xml:space="preserve">(« 6月9日 ») sur le tableau de bord d’administration et le journal d’audit : la locale n’est pas fixée pour le formatage. → Forcer fr-FR via Intl.DateTimeFormat.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Contrastes insuffisants </w:t>
      </w:r>
      <w:r>
        <w:t xml:space="preserve">des textes secondaires, placeholders et composants (bordures, toggles) sur fond sombre. → Vérifier et corriger pour atteindre 4.5:1 (texte) et 3:1 (composants).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Bandeau cookies recouvrant </w:t>
      </w:r>
      <w:r>
        <w:t xml:space="preserve">qui masque le bas de page (cartes « Apparence » du profil, boutons d’enregistrement). → Réserver l’espace ou positionner le bandeau sans recouvrement.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Finitions de confiance </w:t>
      </w:r>
      <w:r>
        <w:t xml:space="preserve">— espaces manquants dans le bandeau cookies (« nécessairesà »), absence de lien « Mot de passe oublié » à la connexion, et actions destructives (corbeille) sans confirmation visible. → Corriger la micro-typographie, ajouter la récupération de mot de passe et des dialogues de confirmation.</w:t>
      </w:r>
    </w:p>
    <w:p>
      <w:r>
        <w:br w:type="page"/>
      </w:r>
    </w:p>
    <w:p>
      <w:pPr>
        <w:pStyle w:val="Heading1"/>
      </w:pPr>
      <w:r>
        <w:t xml:space="preserve">2. Méthodologie</w:t>
      </w:r>
    </w:p>
    <w:p>
      <w:pPr>
        <w:pStyle w:val="Heading2"/>
      </w:pPr>
      <w:r>
        <w:t xml:space="preserve">Périmètre analysé</w:t>
      </w:r>
    </w:p>
    <w:p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Vingt vues ont été capturées en session authentifiée (rôle Administrateur) le 10 juin 2026, puis analysées visuellement. Les données affichées proviennent d’une analyse de démonstration réaliste (« CHU Métropole — Sécurité SI Patient »).</w:t>
      </w:r>
    </w:p>
    <w:p>
      <w:pPr>
        <w:pStyle w:val="ListParagraph"/>
        <w:numPr>
          <w:ilvl w:val="0"/>
          <w:numId w:val="2"/>
        </w:numPr>
      </w:pPr>
      <w:r>
        <w:t xml:space="preserve">Authentification : connexion, inscription.</w:t>
      </w:r>
    </w:p>
    <w:p>
      <w:pPr>
        <w:pStyle w:val="ListParagraph"/>
        <w:numPr>
          <w:ilvl w:val="0"/>
          <w:numId w:val="2"/>
        </w:numPr>
      </w:pPr>
      <w:r>
        <w:t xml:space="preserve">Pilotage : tableau de bord, liste des analyses, création d’analyse, détail d’analyse.</w:t>
      </w:r>
    </w:p>
    <w:p>
      <w:pPr>
        <w:pStyle w:val="ListParagraph"/>
        <w:numPr>
          <w:ilvl w:val="0"/>
          <w:numId w:val="2"/>
        </w:numPr>
      </w:pPr>
      <w:r>
        <w:t xml:space="preserve">Cœur métier : ateliers EBIOS RM 1 à 5 (cadrage, sources de risque, scénarios stratégiques, scénarios opérationnels, traitement).</w:t>
      </w:r>
    </w:p>
    <w:p>
      <w:pPr>
        <w:pStyle w:val="ListParagraph"/>
        <w:numPr>
          <w:ilvl w:val="0"/>
          <w:numId w:val="2"/>
        </w:numPr>
      </w:pPr>
      <w:r>
        <w:t xml:space="preserve">Transverse : vue globale des risques, plan d’action, configuration des échelles, profil.</w:t>
      </w:r>
    </w:p>
    <w:p>
      <w:pPr>
        <w:pStyle w:val="ListParagraph"/>
        <w:numPr>
          <w:ilvl w:val="0"/>
          <w:numId w:val="2"/>
        </w:numPr>
      </w:pPr>
      <w:r>
        <w:t xml:space="preserve">Administration : tableau de bord admin, utilisateurs, sécurité (politique de mots de passe), journal d’audit.</w:t>
      </w:r>
    </w:p>
    <w:p>
      <w:pPr>
        <w:pStyle w:val="ListParagraph"/>
        <w:numPr>
          <w:ilvl w:val="0"/>
          <w:numId w:val="2"/>
        </w:numPr>
      </w:pPr>
      <w:r>
        <w:t xml:space="preserve">Légal : mentions légales, politique de confidentialité.</w:t>
      </w:r>
    </w:p>
    <w:p>
      <w:pPr>
        <w:pStyle w:val="Heading2"/>
      </w:pPr>
      <w:r>
        <w:t xml:space="preserve">Référentiels utilisés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heuristiques de Nielsen </w:t>
      </w:r>
      <w:r>
        <w:t xml:space="preserve">— évaluation de l’utilisabilité.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WCAG 2.1 niveau AA </w:t>
      </w:r>
      <w:r>
        <w:t xml:space="preserve">— accessibilité, selon les 4 principes (Perceptible, Utilisable, Compréhensible, Robuste).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Principes Gestalt </w:t>
      </w:r>
      <w:r>
        <w:t xml:space="preserve">— cohérence et perception visuelle.</w:t>
      </w:r>
    </w:p>
    <w:p>
      <w:pPr>
        <w:pStyle w:val="Heading2"/>
      </w:pPr>
      <w:r>
        <w:t xml:space="preserve">Grille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rPr>
          <w:tblHeader/>
        </w:trP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Bloquant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Empêche l’utilisation — à corriger avant mise en production.</w:t>
            </w:r>
          </w:p>
        </w:tc>
      </w:tr>
      <w:t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Critique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Dégrade fortement l’expérience — sprint suivant.</w:t>
            </w:r>
          </w:p>
        </w:tc>
      </w:tr>
      <w:t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À améliorer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Friction notable — backlog proche.</w:t>
            </w:r>
          </w:p>
        </w:tc>
      </w:tr>
      <w:t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Conforme aux standards, améliorable à la marge.</w:t>
            </w:r>
          </w:p>
        </w:tc>
      </w:tr>
      <w:tr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Excellent</w:t>
            </w:r>
          </w:p>
        </w:tc>
        <w:tc>
          <w:tcPr>
            <w:tcW w:type="dxa" w:w="5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Dépasse les attentes — référence à conserver.</w:t>
            </w:r>
          </w:p>
        </w:tc>
      </w:tr>
    </w:tbl>
    <w:p>
      <w:pPr>
        <w:pStyle w:val="Heading2"/>
      </w:pPr>
      <w:r>
        <w:t xml:space="preserve">Limites de l’audit</w:t>
      </w:r>
    </w:p>
    <w:p>
      <w:pPr>
        <w:spacing w:after="1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Analyse fondée sur des captures statiques en thème sombre, à 1440 px. Les mesures de contraste sont des estimations visuelles (non instrumentées) ; les états dynamiques (focus clavier, survols, messages d’erreur runtime, vue mobile &lt; 768 px) n’ont pas été testés et sont notés « à vérifier » dans la grille WCAG.</w:t>
      </w:r>
    </w:p>
    <w:p>
      <w:r>
        <w:br w:type="page"/>
      </w:r>
    </w:p>
    <w:p>
      <w:pPr>
        <w:pStyle w:val="Heading1"/>
      </w:pPr>
      <w:r>
        <w:t xml:space="preserve">3. Analyse Nielsen — 10 heuristiques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Score Nielsen : </w:t>
      </w:r>
      <w:r>
        <w:rPr>
          <w:b/>
          <w:bCs/>
          <w:color w:val="5B5BD6"/>
          <w:sz w:val="22"/>
          <w:szCs w:val="22"/>
        </w:rPr>
        <w:t xml:space="preserve">7.5 / 10</w:t>
      </w:r>
      <w:r>
        <w:rPr>
          <w:color w:val="666666"/>
          <w:sz w:val="20"/>
          <w:szCs w:val="20"/>
        </w:rPr>
        <w:t xml:space="preserve">  (moyenne 3.0/4 sur 10 heuristiques)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Heuristique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Visibilité de l’état du système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H2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Correspondance système / monde réel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H3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Contrôle utilisateur et liberté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· À améliorer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H4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Cohérence et standards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H5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Prévention des erreurs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H6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Reconnaissance plutôt que rappel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 · Excellent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H7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Flexibilité et efficacité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H8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esthétique et minimaliste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H9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Aide à la récupération des erreurs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· À améliorer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H10</w:t>
            </w:r>
          </w:p>
        </w:tc>
        <w:tc>
          <w:tcPr>
            <w:tcW w:type="dxa" w:w="54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Aide et documentation</w:t>
            </w:r>
          </w:p>
        </w:tc>
        <w:tc>
          <w:tcPr>
            <w:tcW w:type="dxa" w:w="3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 · Excellent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Constats détaillés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ashboard" descr="Tableau de bord — KPIs, vue d’ensemble des analyses et avancement par atelier.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Tableau de bord — KPIs, vue d’ensemble des analyses et avancement par atelier.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[Détail analyse &gt; Stepper de progression] — </w:t>
      </w:r>
      <w:r>
        <w:rPr>
          <w:b/>
          <w:bCs/>
          <w:color w:val="1A1A2E"/>
          <w:sz w:val="21"/>
          <w:szCs w:val="21"/>
        </w:rPr>
        <w:t xml:space="preserve">Progression toujours visible (point fort)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Chaque analyse affiche un stepper des 5 ateliers avec états (validé ✓, en cours, verrouillé), un pourcentage global et des compteurs d’objets (3/3 sources, 6/6 scénarios).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L’utilisateur sait en permanence où il en est dans un processus long et séquentiel.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Conserver ce modèle ; ajouter un retour explicite de sauvegarde (toast « Enregistré ») là où il n’est pas confirmé (H1).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Mineur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Faible (&lt; 2h)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[Global &gt; Iconographie] — </w:t>
      </w:r>
      <w:r>
        <w:rPr>
          <w:b/>
          <w:bCs/>
          <w:color w:val="1A1A2E"/>
          <w:sz w:val="21"/>
          <w:szCs w:val="21"/>
        </w:rPr>
        <w:t xml:space="preserve">Émojis employés comme icônes fonctionnelles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Émojis utilisés pour la navigation, les boutons d’export (PDF/Excel/CSV/JSON), les KPIs et l’action de suppression (corbeille).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Rendu et alignement incohérents selon l’OS/police, registre informel pour un outil GRC, et action non annoncée aux lecteurs d’écran.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Remplacer les émojis par une bibliothèque d’icônes SVG (Lucide, Heroicons) avec aria-label, pour la cohérence (H4) et l’accessibilité (WCAG 1.1.1/4.1.2).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Critique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Moyen (0.5–2j)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[Atelier 1 &gt; Encadrés d’aide] — </w:t>
      </w:r>
      <w:r>
        <w:rPr>
          <w:b/>
          <w:bCs/>
          <w:color w:val="1A1A2E"/>
          <w:sz w:val="21"/>
          <w:szCs w:val="21"/>
        </w:rPr>
        <w:t xml:space="preserve">Aide contextuelle riche (point fort)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Chaque atelier ouvre sur un encadré explicatif et propose des exemples concrets sectoriels ; le tableau de bord embarque un « Guide — Ateliers EBIOS RM ».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Réduit fortement la courbe d’apprentissage d’un référentiel exigeant pour un public non-expert.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Maintenir ; envisager une aide « juste-à-temps » repliable pour les utilisateurs experts afin d’alléger l’écran (H7/H8).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Mineur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Moyen (0.5–2j)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[Analyses / Admin &gt; Actions destructives] — </w:t>
      </w:r>
      <w:r>
        <w:rPr>
          <w:b/>
          <w:bCs/>
          <w:color w:val="1A1A2E"/>
          <w:sz w:val="21"/>
          <w:szCs w:val="21"/>
        </w:rPr>
        <w:t xml:space="preserve">Suppression sans garde-fou visible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Les analyses (icône corbeille) et les comptes utilisateurs (« Supprimer ») exposent des actions irréversibles sans confirmation apparente.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Risque de perte de données ou de suppression de compte par erreur (H3/H5).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Ajouter un dialogue de confirmation décrivant l’objet supprimé (et son caractère définitif) avant exécution.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Critique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Faible (&lt; 2h)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[Connexion &gt; Récupération de compte] — </w:t>
      </w:r>
      <w:r>
        <w:rPr>
          <w:b/>
          <w:bCs/>
          <w:color w:val="1A1A2E"/>
          <w:sz w:val="21"/>
          <w:szCs w:val="21"/>
        </w:rPr>
        <w:t xml:space="preserve">Pas de « Mot de passe oublié »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L’écran de connexion propose « Se connecter » et « Créer un compte » mais aucun lien de réinitialisation de mot de passe.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Un utilisateur ayant oublié son mot de passe est bloqué, sans sortie de secours (H3).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Ajouter un lien « Mot de passe oublié ? » déclenchant un flux de réinitialisation.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Amélioration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Moyen (0.5–2j)</w:t>
      </w:r>
    </w:p>
    <w:p>
      <w:pPr>
        <w:spacing w:after="40" w:before="160"/>
      </w:pPr>
      <w:r>
        <w:rPr>
          <w:b/>
          <w:bCs/>
          <w:color w:val="5B5BD6"/>
          <w:sz w:val="21"/>
          <w:szCs w:val="21"/>
        </w:rPr>
        <w:t xml:space="preserve">[Global &gt; Recherche] — </w:t>
      </w:r>
      <w:r>
        <w:rPr>
          <w:b/>
          <w:bCs/>
          <w:color w:val="1A1A2E"/>
          <w:sz w:val="21"/>
          <w:szCs w:val="21"/>
        </w:rPr>
        <w:t xml:space="preserve">Accélérateurs pour utilisateurs avancés (point fort)</w:t>
      </w:r>
    </w:p>
    <w:p>
      <w:pPr>
        <w:spacing w:after="40"/>
      </w:pPr>
      <w:r>
        <w:rPr>
          <w:b/>
          <w:bCs/>
          <w:color w:val="444444"/>
          <w:sz w:val="19"/>
          <w:szCs w:val="19"/>
        </w:rPr>
        <w:t xml:space="preserve">Observation : </w:t>
      </w:r>
      <w:r>
        <w:rPr>
          <w:color w:val="333333"/>
          <w:sz w:val="19"/>
          <w:szCs w:val="19"/>
        </w:rPr>
        <w:t xml:space="preserve">Palette de recherche avec raccourci ⌘K, filtres par statut/priorité/niveau, et « Analyse express » pour démarrer rapidement.</w:t>
      </w:r>
    </w:p>
    <w:p>
      <w:pPr>
        <w:spacing w:after="40"/>
      </w:pPr>
      <w:r>
        <w:rPr>
          <w:b/>
          <w:bCs/>
          <w:color w:val="B05A00"/>
          <w:sz w:val="19"/>
          <w:szCs w:val="19"/>
        </w:rPr>
        <w:t xml:space="preserve">Impact utilisateur : </w:t>
      </w:r>
      <w:r>
        <w:rPr>
          <w:color w:val="333333"/>
          <w:sz w:val="19"/>
          <w:szCs w:val="19"/>
        </w:rPr>
        <w:t xml:space="preserve">Les utilisateurs réguliers gagnent en efficacité sans pénaliser les débutants.</w:t>
      </w:r>
    </w:p>
    <w:p>
      <w:pPr>
        <w:spacing w:after="40"/>
      </w:pPr>
      <w:r>
        <w:rPr>
          <w:b/>
          <w:bCs/>
          <w:color w:val="1F6E43"/>
          <w:sz w:val="19"/>
          <w:szCs w:val="19"/>
        </w:rPr>
        <w:t xml:space="preserve">Recommandation : </w:t>
      </w:r>
      <w:r>
        <w:rPr>
          <w:color w:val="333333"/>
          <w:sz w:val="19"/>
          <w:szCs w:val="19"/>
        </w:rPr>
        <w:t xml:space="preserve">Documenter les raccourcis (page d’aide ou indice au survol) pour favoriser leur découverte (H7).</w:t>
      </w:r>
    </w:p>
    <w:p>
      <w:pPr>
        <w:spacing w:after="120"/>
      </w:pPr>
      <w:r>
        <w:rPr>
          <w:b/>
          <w:bCs/>
          <w:color w:val="444444"/>
          <w:sz w:val="18"/>
          <w:szCs w:val="18"/>
        </w:rPr>
        <w:t xml:space="preserve">Priorité : </w:t>
      </w:r>
      <w:r>
        <w:rPr>
          <w:color w:val="333333"/>
          <w:sz w:val="18"/>
          <w:szCs w:val="18"/>
        </w:rPr>
        <w:t xml:space="preserve">Mineur   </w:t>
      </w:r>
      <w:r>
        <w:rPr>
          <w:b/>
          <w:bCs/>
          <w:color w:val="444444"/>
          <w:sz w:val="18"/>
          <w:szCs w:val="18"/>
        </w:rPr>
        <w:t xml:space="preserve">Effort : </w:t>
      </w:r>
      <w:r>
        <w:rPr>
          <w:color w:val="333333"/>
          <w:sz w:val="18"/>
          <w:szCs w:val="18"/>
        </w:rPr>
        <w:t xml:space="preserve">Faible (&lt; 2h)</w:t>
      </w:r>
    </w:p>
    <w:p>
      <w:r>
        <w:br w:type="page"/>
      </w:r>
    </w:p>
    <w:p>
      <w:pPr>
        <w:pStyle w:val="Heading1"/>
      </w:pPr>
      <w:r>
        <w:t xml:space="preserve">4. Analyse WCAG 2.1 — Accessibilité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Score WCAG : </w:t>
      </w:r>
      <w:r>
        <w:rPr>
          <w:b/>
          <w:bCs/>
          <w:color w:val="5B5BD6"/>
          <w:sz w:val="22"/>
          <w:szCs w:val="22"/>
        </w:rPr>
        <w:t xml:space="preserve">6.3 / 10</w:t>
      </w:r>
      <w:r>
        <w:rPr>
          <w:color w:val="666666"/>
          <w:sz w:val="20"/>
          <w:szCs w:val="20"/>
        </w:rPr>
        <w:t xml:space="preserve">  (12 conformes / 19 critères évalués ; 5 non testés)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50"/>
        <w:gridCol w:w="1700"/>
        <w:gridCol w:w="2810"/>
      </w:tblGrid>
      <w:tr>
        <w:trPr>
          <w:tblHeader/>
        </w:trP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Constat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1.1.1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Contenu non textuel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Les icônes sont des émojis (corbeille, exports, KPIs) sans alternative textuelle exploitable.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1.3.1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Information et relations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Labels visibles, structure en sections et tableaux sémantiques.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1.3.3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Caractéristiques sensorielles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Pas d’instruction reposant uniquement sur la forme/position.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Utilisation de la couleur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Les scores de risque combinent valeur (12/16) + libellé, pas seulement la couleur.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1.4.3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Contraste (texte)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Textes secondaires gris et placeholders sur fond sombre potentiellement &lt; 4.5:1.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1.4.4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Redimensionnement texte 200 %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0B0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 testé sur cette campagne.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1.4.10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Redistribution 320 px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0B0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Vue mobile non capturée.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1.4.11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Contraste des composants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Bordures de champs et toggles à faible contraste sur fond sombre.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1.4.12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Espacement du texte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0B0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 testé.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2.1.1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Clavier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Composants natifs + palette ⌘K suggérant un support clavier.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2.1.2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Pas de piège clavier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Aucun piège détecté sur les vues inspectées.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2.4.1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Contournement de blocs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Lien « aller au contenu principal » non détecté.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2.4.3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Ordre du focus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Ordre DOM logique (vertical, gauche-droite).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2.4.4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Objet du lien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Liens explicites (« Traiter → », « Voir tout »).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2.4.6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En-têtes et étiquettes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Titres et labels descriptifs, hiérarchie claire.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2.4.7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Visibilité du focus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0B0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Anneau de focus non observable sur captures.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2.5.3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Étiquette dans le nom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Boutons icône-seule (corbeille, exports) : nom accessible probablement absent.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3.1.1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Langue de la page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Dates rendues au format japonais (6月9日) : locale non fixée pour le formatage.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3.2.1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 focus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Pas de changement de contexte au focus.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3.2.2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À la saisie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Saisie sans effet de bord inattendu.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3.3.1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Identification des erreurs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0B0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Champs requis marqués ; messages d’erreur runtime non capturés.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3.3.2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Étiquettes ou instructions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Labels visibles systématiques + textes d’aide. Point fort.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3.3.4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Prévention des erreurs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Avertissement avant changement d’échelle ; e-mail non modifiable expliqué.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Nom, rôle, valeur</w:t>
            </w:r>
          </w:p>
        </w:tc>
        <w:tc>
          <w:tcPr>
            <w:tcW w:type="dxa" w:w="7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281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Boutons icône-seule et toggles : rôles/états ARIA à confirmer.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Points marquants par catégorie</w:t>
      </w:r>
    </w:p>
    <w:p>
      <w:pPr>
        <w:spacing w:after="100"/>
      </w:pPr>
      <w:r>
        <w:rPr>
          <w:b/>
          <w:bCs/>
        </w:rPr>
        <w:t xml:space="preserve">Perceptible — </w:t>
      </w:r>
      <w:r>
        <w:t xml:space="preserve">bon usage non-color-only des risques (1.4.1) ; à corriger : alternatives textuelles des icônes émojis (1.1.1) et contrastes du texte secondaire et des composants sur fond sombre (1.4.3 / 1.4.11).</w:t>
      </w:r>
    </w:p>
    <w:p>
      <w:pPr>
        <w:spacing w:after="100"/>
      </w:pPr>
      <w:r>
        <w:rPr>
          <w:b/>
          <w:bCs/>
        </w:rPr>
        <w:t xml:space="preserve">Utilisable — </w:t>
      </w:r>
      <w:r>
        <w:t xml:space="preserve">libellés et en-têtes descriptifs (2.4.6), liens explicites (2.4.4) ; manque un lien d’évitement (2.4.1) et des noms accessibles sur les boutons icône-seule (2.5.3).</w:t>
      </w:r>
    </w:p>
    <w:p>
      <w:pPr>
        <w:spacing w:after="100"/>
      </w:pPr>
      <w:r>
        <w:rPr>
          <w:b/>
          <w:bCs/>
        </w:rPr>
        <w:t xml:space="preserve">Compréhensible — </w:t>
      </w:r>
      <w:r>
        <w:t xml:space="preserve">force majeure du produit : labels visibles et instructions systématiques (3.3.2). Réserve : le formatage des dates n’est pas fixé sur la locale française (3.1.1).</w:t>
      </w:r>
    </w:p>
    <w:p>
      <w:pPr>
        <w:spacing w:after="120"/>
      </w:pPr>
      <w:r>
        <w:rPr>
          <w:b/>
          <w:bCs/>
        </w:rPr>
        <w:t xml:space="preserve">Robuste — </w:t>
      </w:r>
      <w:r>
        <w:t xml:space="preserve">composants natifs globalement sains ; à fiabiliser : rôles/états ARIA des boutons icône et des toggles (4.1.2).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in_audit" descr="Journal d’audit — les horodatages s’affichent au format japonais (« 6月9日 »), symptôme d’une locale non fixée." title="admin_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Journal d’audit — les horodatages s’affichent au format japonais (« 6月9日 »), symptôme d’une locale non fixée.</w:t>
      </w:r>
    </w:p>
    <w:p>
      <w:r>
        <w:br w:type="page"/>
      </w:r>
    </w:p>
    <w:p>
      <w:pPr>
        <w:pStyle w:val="Heading1"/>
      </w:pPr>
      <w:r>
        <w:t xml:space="preserve">5. Analyse Gestalt — Perception visuelle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Score Gestalt : </w:t>
      </w:r>
      <w:r>
        <w:rPr>
          <w:b/>
          <w:bCs/>
          <w:color w:val="5B5BD6"/>
          <w:sz w:val="22"/>
          <w:szCs w:val="22"/>
        </w:rPr>
        <w:t xml:space="preserve">7.5 / 10</w:t>
      </w:r>
      <w:r>
        <w:rPr>
          <w:color w:val="666666"/>
          <w:sz w:val="20"/>
          <w:szCs w:val="20"/>
        </w:rPr>
        <w:t xml:space="preserve">  (moyenne 3.0/4 sur 5 principes évalués)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500"/>
        <w:gridCol w:w="4660"/>
      </w:tblGrid>
      <w:tr>
        <w:trPr>
          <w:tblHeader/>
        </w:trP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Constat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G1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Proximité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Cartes regroupant les informations liées, espacements cohérents séparant les groupes.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G2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Similarité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Styles de boutons cohérents et couleurs sémantiques (rouge=critique, vert=résiduel) ; émojis hétérogènes en réserve.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G3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Continuité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Tableaux alignés et steppers d’ateliers guidant le regard d’une étape à l’autre.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G4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Clôture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Cartes et conteneurs bien délimités, troncatures signalées par « … ».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G5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Figure / Fond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Acceptable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Thème sombre faisant ressortir les cartes ; quelques panneaux à faible séparation et bandeau cookies recouvrant.</w:t>
            </w:r>
          </w:p>
        </w:tc>
      </w:tr>
      <w:tr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G6</w:t>
            </w:r>
          </w:p>
        </w:tc>
        <w:tc>
          <w:tcPr>
            <w:tcW w:type="dxa" w:w="23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Destin commun</w:t>
            </w:r>
          </w:p>
        </w:tc>
        <w:tc>
          <w:tcPr>
            <w:tcW w:type="dxa" w:w="1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N/A</w:t>
            </w:r>
          </w:p>
        </w:tc>
        <w:tc>
          <w:tcPr>
            <w:tcW w:type="dxa" w:w="46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Animations/états de survol non évaluables sur captures statiques.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risques" descr="Vue globale des risques — alignement en colonnes, scores codés valeur+couleur, filtres par niveau." title="ris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Vue globale des risques — alignement en colonnes, scores codés valeur+couleur, filtres par niveau.</w:t>
      </w:r>
    </w:p>
    <w:p>
      <w:pPr>
        <w:spacing w:after="120"/>
      </w:pPr>
      <w:r>
        <w:rPr>
          <w:b/>
          <w:bCs/>
        </w:rPr>
        <w:t xml:space="preserve">Synthèse — </w:t>
      </w:r>
      <w:r>
        <w:t xml:space="preserve">la perception visuelle est maîtrisée : regroupements par cartes (proximité), couleurs sémantiques cohérentes (similarité), alignements de tableaux nets (continuité) et conteneurs bien délimités (clôture). Les seuls bémols touchent la relation figure/fond — quelques panneaux peu séparés du fond sombre et le bandeau cookies qui recouvre le contenu bas de page.</w:t>
      </w:r>
    </w:p>
    <w:p>
      <w:r>
        <w:br w:type="page"/>
      </w:r>
    </w:p>
    <w:p>
      <w:pPr>
        <w:pStyle w:val="Heading1"/>
      </w:pPr>
      <w:r>
        <w:t xml:space="preserve">6. Roadmap de corrections</w:t>
      </w:r>
    </w:p>
    <w:p>
      <w:pPr>
        <w:spacing w:after="140"/>
        <w:rPr>
          <w:sz w:val="21"/>
          <w:szCs w:val="21"/>
        </w:rPr>
      </w:pPr>
      <w:r>
        <w:rPr>
          <w:sz w:val="21"/>
          <w:szCs w:val="21"/>
        </w:rPr>
        <w:t xml:space="preserve">Actions classées par priorité décroissante. L’effort est indicatif (un développeur familier de la 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700"/>
        <w:gridCol w:w="1100"/>
        <w:gridCol w:w="1000"/>
        <w:gridCol w:w="900"/>
      </w:tblGrid>
      <w:tr>
        <w:trPr>
          <w:tblHeader/>
        </w:trP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Équipe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Confirmation des actions destructives (suppression analyse / compte)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Élevé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Remplacer les émojis par des icônes SVG + aria-label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Élevé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 / Design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Fixer la locale fr-FR du formatage des dates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Corriger les contrastes (texte secondaire, placeholders, composants)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Élevé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Design / 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Repositionner le bandeau cookies (sans recouvrement)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Ajouter le lien « Mot de passe oublié »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Full-stack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Corriger la micro-typographie du bandeau cookies (espaces)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Mineur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Lien d’évitement « aller au contenu principal »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Rendre le focus clavier visible et documenter les raccourcis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  <w:tr>
        <w:tc>
          <w:tcPr>
            <w:tcW w:type="dxa" w:w="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0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Retour de sauvegarde explicite (toasts) sur les ateliers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Mineur</w:t>
            </w:r>
          </w:p>
        </w:tc>
        <w:tc>
          <w:tcPr>
            <w:tcW w:type="dxa" w:w="11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Front</w:t>
            </w:r>
          </w:p>
        </w:tc>
      </w:tr>
    </w:tbl>
    <w:p>
      <w:pPr>
        <w:spacing w:after="160"/>
      </w:pPr>
      <w:r>
        <w:t xml:space="preserve"/>
      </w:r>
    </w:p>
    <w:p>
      <w:pPr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Séquencement conseillé : traiter d’abord les éléments 1 à 3 (gains de sécurité d’usage, d’accessibilité et de crédibilité à faible coût), puis la passe contraste (4) et les finitions (5 à 10).</w:t>
      </w:r>
    </w:p>
    <w:p>
      <w:r>
        <w:br w:type="page"/>
      </w:r>
    </w:p>
    <w:p>
      <w:pPr>
        <w:pStyle w:val="Heading1"/>
      </w:pPr>
      <w:r>
        <w:t xml:space="preserve">7. Annexes</w:t>
      </w:r>
    </w:p>
    <w:p>
      <w:pPr>
        <w:pStyle w:val="Heading2"/>
      </w:pPr>
      <w:r>
        <w:t xml:space="preserve">Glossaire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EBIOS RM </w:t>
      </w:r>
      <w:r>
        <w:t xml:space="preserve">— méthode française d’analyse de risques cyber (ANSSI), structurée en 5 ateliers.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Heuristiques de Nielsen </w:t>
      </w:r>
      <w:r>
        <w:t xml:space="preserve">— 10 grands principes d’utilisabilité des interfaces.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WCAG 2.1 AA </w:t>
      </w:r>
      <w:r>
        <w:t xml:space="preserve">— normes d’accessibilité du W3C ; AA est le niveau de référence réglementaire.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Gestalt </w:t>
      </w:r>
      <w:r>
        <w:t xml:space="preserve">— principes de perception visuelle (proximité, similarité, continuité, clôture, figure/fond, destin commun).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GRC </w:t>
      </w:r>
      <w:r>
        <w:t xml:space="preserve">— Gouvernance, Risques et Conformité.</w:t>
      </w:r>
    </w:p>
    <w:p>
      <w:pPr>
        <w:pStyle w:val="Heading2"/>
      </w:pPr>
      <w:r>
        <w:t xml:space="preserve">Ressources &amp; outils recommandés</w:t>
      </w:r>
    </w:p>
    <w:p>
      <w:pPr>
        <w:pStyle w:val="ListParagraph"/>
        <w:numPr>
          <w:ilvl w:val="0"/>
          <w:numId w:val="2"/>
        </w:numPr>
      </w:pPr>
      <w:r>
        <w:t xml:space="preserve">Nielsen Norman Group — 10 heuristiques : nngroup.com/articles/ten-usability-heuristics/</w:t>
      </w:r>
    </w:p>
    <w:p>
      <w:pPr>
        <w:pStyle w:val="ListParagraph"/>
        <w:numPr>
          <w:ilvl w:val="0"/>
          <w:numId w:val="2"/>
        </w:numPr>
      </w:pPr>
      <w:r>
        <w:t xml:space="preserve">WCAG 2.1 (W3C) : w3.org/TR/WCAG21/</w:t>
      </w:r>
    </w:p>
    <w:p>
      <w:pPr>
        <w:pStyle w:val="ListParagraph"/>
        <w:numPr>
          <w:ilvl w:val="0"/>
          <w:numId w:val="2"/>
        </w:numPr>
      </w:pPr>
      <w:r>
        <w:t xml:space="preserve">Vérificateur de contraste : webaim.org/resources/contrastchecker/</w:t>
      </w:r>
    </w:p>
    <w:p>
      <w:pPr>
        <w:pStyle w:val="ListParagraph"/>
        <w:numPr>
          <w:ilvl w:val="0"/>
          <w:numId w:val="2"/>
        </w:numPr>
      </w:pPr>
      <w:r>
        <w:t xml:space="preserve">ARIA Authoring Practices : w3.org/WAI/ARIA/apg/</w:t>
      </w:r>
    </w:p>
    <w:p>
      <w:pPr>
        <w:pStyle w:val="ListParagraph"/>
        <w:numPr>
          <w:ilvl w:val="0"/>
          <w:numId w:val="2"/>
        </w:numPr>
      </w:pPr>
      <w:r>
        <w:t xml:space="preserve">Bibliothèques d’icônes SVG : lucide.dev · heroicons.com</w:t>
      </w:r>
    </w:p>
    <w:p>
      <w:pPr>
        <w:pStyle w:val="Heading2"/>
      </w:pPr>
      <w:r>
        <w:t xml:space="preserve">Inventaire des écrans illustrés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analyse_new" descr="Création d’analyse — labels visibles, champ requis marqué, aide contextuelle." title="analyse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Création d’analyse — labels visibles, champ requis marqué, aide contextuelle.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profile" descr="Profil — sélateur de langue (5 langues) et thème ; le bandeau cookies recouvre les cartes « Apparence ».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Profil — sélateur de langue (5 langues) et thème ; le bandeau cookies recouvre les cartes « Apparence ».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admin_security" descr="Sécurité — politique de mots de passe et verrouillage de compte entièrement configurables." title="admin_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Sécurité — politique de mots de passe et verrouillage de compte entièrement configurables.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ACRA — Audit UX /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5BD6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3A5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A466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B5BD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cc6a975316cf2bf51c0c53de7b88aaf67a0afd.png"/><Relationship Id="rId10" Type="http://schemas.openxmlformats.org/officeDocument/2006/relationships/image" Target="media/e687164eca17fd14066fa64ef570d1bd2b6d4774.png"/><Relationship Id="rId11" Type="http://schemas.openxmlformats.org/officeDocument/2006/relationships/image" Target="media/29d864f5671a0734e33e074e29fafec3bd424df9.png"/><Relationship Id="rId12" Type="http://schemas.openxmlformats.org/officeDocument/2006/relationships/image" Target="media/3d0fd79a3ad2df96d25e37e478be22c894512b3a.png"/><Relationship Id="rId13" Type="http://schemas.openxmlformats.org/officeDocument/2006/relationships/image" Target="media/d4bdef1aff4039f308bb29f4b99f6976e06078cc.png"/><Relationship Id="rId14" Type="http://schemas.openxmlformats.org/officeDocument/2006/relationships/image" Target="media/b021a325f55d488f90b7213d4e3636bfc5f71ab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ACRA — Rapport d’audit UX / Design</dc:title>
  <dc:creator>Audit UX ACRA</dc:creator>
  <cp:lastModifiedBy>Un-named</cp:lastModifiedBy>
  <cp:revision>1</cp:revision>
  <dcterms:created xsi:type="dcterms:W3CDTF">2026-06-09T23:23:10.640Z</dcterms:created>
  <dcterms:modified xsi:type="dcterms:W3CDTF">2026-06-09T23:23:10.641Z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