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z w:val="72"/>
          <w:szCs w:val="72"/>
        </w:rPr>
        <w:t xml:space="preserve">ACRA</w:t>
      </w:r>
    </w:p>
    <w:p>
      <w:pPr>
        <w:spacing w:after="600"/>
        <w:jc w:val="center"/>
      </w:pPr>
      <w:r>
        <w:rPr>
          <w:color w:val="2E75B6"/>
          <w:sz w:val="28"/>
          <w:szCs w:val="28"/>
        </w:rPr>
        <w:t xml:space="preserve">Augmented Cyber Risk Analysis</w:t>
      </w:r>
    </w:p>
    <w:p>
      <w:pPr>
        <w:spacing w:after="120"/>
        <w:jc w:val="center"/>
      </w:pPr>
      <w:r>
        <w:rPr>
          <w:b/>
          <w:bCs/>
          <w:color w:val="000000"/>
          <w:sz w:val="36"/>
          <w:szCs w:val="36"/>
        </w:rPr>
        <w:t xml:space="preserve">Rapport de contre-audit de sécurité du code source</w:t>
      </w:r>
    </w:p>
    <w:p>
      <w:pPr>
        <w:spacing w:after="800"/>
        <w:jc w:val="center"/>
      </w:pPr>
      <w:r>
        <w:rPr>
          <w:color w:val="595959"/>
          <w:sz w:val="24"/>
          <w:szCs w:val="24"/>
        </w:rPr>
        <w:t xml:space="preserve">Findings, correctifs appliqués et risques résiduels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120"/>
        <w:gridCol w:w="6240"/>
      </w:tblGrid>
      <w:tr>
        <w:tc>
          <w:tcPr>
            <w:tcW w:type="dxa" w:w="3120"/>
            <w:shd w:fill="D9E2F3" w:val="clear"/>
            <w:tcMar>
              <w:top w:type="dxa" w:w="60"/>
              <w:left w:type="dxa" w:w="110"/>
              <w:bottom w:type="dxa" w:w="60"/>
              <w:right w:type="dxa" w:w="110"/>
            </w:tcMar>
            <w:vAlign w:val="center"/>
          </w:tcPr>
          <w:p>
            <w:pPr>
              <w:jc w:val="left"/>
            </w:pPr>
            <w:r>
              <w:rPr>
                <w:b/>
                <w:bCs/>
                <w:color w:val="1F3864"/>
              </w:rPr>
              <w:t xml:space="preserve">Application</w:t>
            </w:r>
          </w:p>
        </w:tc>
        <w:tc>
          <w:tcPr>
            <w:tcW w:type="dxa" w:w="6240"/>
            <w:shd w:fill="FFFFFF" w:val="clear"/>
            <w:tcMar>
              <w:top w:type="dxa" w:w="60"/>
              <w:left w:type="dxa" w:w="110"/>
              <w:bottom w:type="dxa" w:w="60"/>
              <w:right w:type="dxa" w:w="110"/>
            </w:tcMar>
            <w:vAlign w:val="center"/>
          </w:tcPr>
          <w:p>
            <w:pPr>
              <w:jc w:val="left"/>
            </w:pPr>
            <w:r>
              <w:t xml:space="preserve">ACRA — EBIOS RM (Next.js 16 / Prisma / next-auth)</w:t>
            </w:r>
          </w:p>
        </w:tc>
      </w:tr>
      <w:tr>
        <w:tc>
          <w:tcPr>
            <w:tcW w:type="dxa" w:w="3120"/>
            <w:shd w:fill="D9E2F3" w:val="clear"/>
            <w:tcMar>
              <w:top w:type="dxa" w:w="60"/>
              <w:left w:type="dxa" w:w="110"/>
              <w:bottom w:type="dxa" w:w="60"/>
              <w:right w:type="dxa" w:w="110"/>
            </w:tcMar>
            <w:vAlign w:val="center"/>
          </w:tcPr>
          <w:p>
            <w:pPr>
              <w:jc w:val="left"/>
            </w:pPr>
            <w:r>
              <w:rPr>
                <w:b/>
                <w:bCs/>
                <w:color w:val="1F3864"/>
              </w:rPr>
              <w:t xml:space="preserve">Périmètre</w:t>
            </w:r>
          </w:p>
        </w:tc>
        <w:tc>
          <w:tcPr>
            <w:tcW w:type="dxa" w:w="6240"/>
            <w:shd w:fill="F2F2F2" w:val="clear"/>
            <w:tcMar>
              <w:top w:type="dxa" w:w="60"/>
              <w:left w:type="dxa" w:w="110"/>
              <w:bottom w:type="dxa" w:w="60"/>
              <w:right w:type="dxa" w:w="110"/>
            </w:tcMar>
            <w:vAlign w:val="center"/>
          </w:tcPr>
          <w:p>
            <w:pPr>
              <w:jc w:val="left"/>
            </w:pPr>
            <w:r>
              <w:t xml:space="preserve">ebios-rm/src — ~27 700 lignes (TypeScript)</w:t>
            </w:r>
          </w:p>
        </w:tc>
      </w:tr>
      <w:tr>
        <w:tc>
          <w:tcPr>
            <w:tcW w:type="dxa" w:w="3120"/>
            <w:shd w:fill="D9E2F3" w:val="clear"/>
            <w:tcMar>
              <w:top w:type="dxa" w:w="60"/>
              <w:left w:type="dxa" w:w="110"/>
              <w:bottom w:type="dxa" w:w="60"/>
              <w:right w:type="dxa" w:w="110"/>
            </w:tcMar>
            <w:vAlign w:val="center"/>
          </w:tcPr>
          <w:p>
            <w:pPr>
              <w:jc w:val="left"/>
            </w:pPr>
            <w:r>
              <w:rPr>
                <w:b/>
                <w:bCs/>
                <w:color w:val="1F3864"/>
              </w:rPr>
              <w:t xml:space="preserve">Référentiels</w:t>
            </w:r>
          </w:p>
        </w:tc>
        <w:tc>
          <w:tcPr>
            <w:tcW w:type="dxa" w:w="6240"/>
            <w:shd w:fill="FFFFFF" w:val="clear"/>
            <w:tcMar>
              <w:top w:type="dxa" w:w="60"/>
              <w:left w:type="dxa" w:w="110"/>
              <w:bottom w:type="dxa" w:w="60"/>
              <w:right w:type="dxa" w:w="110"/>
            </w:tcMar>
            <w:vAlign w:val="center"/>
          </w:tcPr>
          <w:p>
            <w:pPr>
              <w:jc w:val="left"/>
            </w:pPr>
            <w:r>
              <w:t xml:space="preserve">OWASP Top 10 2021 · CWE Top 25 · patterns SAST · OWASP LLM</w:t>
            </w:r>
          </w:p>
        </w:tc>
      </w:tr>
      <w:tr>
        <w:tc>
          <w:tcPr>
            <w:tcW w:type="dxa" w:w="3120"/>
            <w:shd w:fill="D9E2F3" w:val="clear"/>
            <w:tcMar>
              <w:top w:type="dxa" w:w="60"/>
              <w:left w:type="dxa" w:w="110"/>
              <w:bottom w:type="dxa" w:w="60"/>
              <w:right w:type="dxa" w:w="110"/>
            </w:tcMar>
            <w:vAlign w:val="center"/>
          </w:tcPr>
          <w:p>
            <w:pPr>
              <w:jc w:val="left"/>
            </w:pPr>
            <w:r>
              <w:rPr>
                <w:b/>
                <w:bCs/>
                <w:color w:val="1F3864"/>
              </w:rPr>
              <w:t xml:space="preserve">Date du rapport</w:t>
            </w:r>
          </w:p>
        </w:tc>
        <w:tc>
          <w:tcPr>
            <w:tcW w:type="dxa" w:w="6240"/>
            <w:shd w:fill="F2F2F2" w:val="clear"/>
            <w:tcMar>
              <w:top w:type="dxa" w:w="60"/>
              <w:left w:type="dxa" w:w="110"/>
              <w:bottom w:type="dxa" w:w="60"/>
              <w:right w:type="dxa" w:w="110"/>
            </w:tcMar>
            <w:vAlign w:val="center"/>
          </w:tcPr>
          <w:p>
            <w:pPr>
              <w:jc w:val="left"/>
            </w:pPr>
            <w:r>
              <w:t xml:space="preserve">12 juin 2026</w:t>
            </w:r>
          </w:p>
        </w:tc>
      </w:tr>
      <w:tr>
        <w:tc>
          <w:tcPr>
            <w:tcW w:type="dxa" w:w="3120"/>
            <w:shd w:fill="D9E2F3" w:val="clear"/>
            <w:tcMar>
              <w:top w:type="dxa" w:w="60"/>
              <w:left w:type="dxa" w:w="110"/>
              <w:bottom w:type="dxa" w:w="60"/>
              <w:right w:type="dxa" w:w="110"/>
            </w:tcMar>
            <w:vAlign w:val="center"/>
          </w:tcPr>
          <w:p>
            <w:pPr>
              <w:jc w:val="left"/>
            </w:pPr>
            <w:r>
              <w:rPr>
                <w:b/>
                <w:bCs/>
                <w:color w:val="1F3864"/>
              </w:rPr>
              <w:t xml:space="preserve">Type</w:t>
            </w:r>
          </w:p>
        </w:tc>
        <w:tc>
          <w:tcPr>
            <w:tcW w:type="dxa" w:w="6240"/>
            <w:shd w:fill="FFFFFF" w:val="clear"/>
            <w:tcMar>
              <w:top w:type="dxa" w:w="60"/>
              <w:left w:type="dxa" w:w="110"/>
              <w:bottom w:type="dxa" w:w="60"/>
              <w:right w:type="dxa" w:w="110"/>
            </w:tcMar>
            <w:vAlign w:val="center"/>
          </w:tcPr>
          <w:p>
            <w:pPr>
              <w:jc w:val="left"/>
            </w:pPr>
            <w:r>
              <w:t xml:space="preserve">Contre-audit (audit initial + correctifs vérifiés)</w:t>
            </w:r>
          </w:p>
        </w:tc>
      </w:tr>
      <w:tr>
        <w:tc>
          <w:tcPr>
            <w:tcW w:type="dxa" w:w="3120"/>
            <w:shd w:fill="D9E2F3" w:val="clear"/>
            <w:tcMar>
              <w:top w:type="dxa" w:w="60"/>
              <w:left w:type="dxa" w:w="110"/>
              <w:bottom w:type="dxa" w:w="60"/>
              <w:right w:type="dxa" w:w="110"/>
            </w:tcMar>
            <w:vAlign w:val="center"/>
          </w:tcPr>
          <w:p>
            <w:pPr>
              <w:jc w:val="left"/>
            </w:pPr>
            <w:r>
              <w:rPr>
                <w:b/>
                <w:bCs/>
                <w:color w:val="1F3864"/>
              </w:rPr>
              <w:t xml:space="preserve">Validation</w:t>
            </w:r>
          </w:p>
        </w:tc>
        <w:tc>
          <w:tcPr>
            <w:tcW w:type="dxa" w:w="6240"/>
            <w:shd w:fill="F2F2F2" w:val="clear"/>
            <w:tcMar>
              <w:top w:type="dxa" w:w="60"/>
              <w:left w:type="dxa" w:w="110"/>
              <w:bottom w:type="dxa" w:w="60"/>
              <w:right w:type="dxa" w:w="110"/>
            </w:tcMar>
            <w:vAlign w:val="center"/>
          </w:tcPr>
          <w:p>
            <w:pPr>
              <w:jc w:val="left"/>
            </w:pPr>
            <w:r>
              <w:t xml:space="preserve">189 tests unitaires — 100 % au vert · 0 erreur TypeScript</w:t>
            </w:r>
          </w:p>
        </w:tc>
      </w:tr>
    </w:tbl>
    <w:p>
      <w:pPr>
        <w:spacing w:after="80"/>
      </w:pPr>
      <w:r>
        <w:t xml:space="preserve"/>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F2F2F2" w:val="clear"/>
            <w:tcMar>
              <w:top w:type="dxa" w:w="60"/>
              <w:left w:type="dxa" w:w="110"/>
              <w:bottom w:type="dxa" w:w="60"/>
              <w:right w:type="dxa" w:w="110"/>
            </w:tcMar>
            <w:vAlign w:val="center"/>
          </w:tcPr>
          <w:p>
            <w:pPr>
              <w:jc w:val="left"/>
            </w:pPr>
            <w:r>
              <w:rPr>
                <w:b/>
                <w:bCs/>
                <w:sz w:val="26"/>
                <w:szCs w:val="26"/>
              </w:rPr>
              <w:t xml:space="preserve">Score de risque global : </w:t>
            </w:r>
            <w:r>
              <w:rPr>
                <w:b/>
                <w:bCs/>
                <w:color w:val="C55A11"/>
                <w:sz w:val="26"/>
                <w:szCs w:val="26"/>
              </w:rPr>
              <w:t xml:space="preserve">4,6 / 10 — MOYEN</w:t>
            </w:r>
          </w:p>
        </w:tc>
      </w:tr>
    </w:tbl>
    <w:p>
      <w:r>
        <w:br w:type="page"/>
      </w:r>
    </w:p>
    <w:p>
      <w:pPr>
        <w:pStyle w:val="Heading1"/>
      </w:pPr>
      <w:r>
        <w:t xml:space="preserve">1. Résumé exécutif</w:t>
      </w:r>
    </w:p>
    <w:p>
      <w:r>
        <w:t xml:space="preserve">Ce rapport de contre-audit fait suite à l’audit statique du code source d’ACRA. Il consolide les vulnérabilités identifiées, l’état des correctifs appliqués lors de la même session, et les risques résiduels nécessitant une décision ou une action d’exploitation.</w:t>
      </w:r>
    </w:p>
    <w:p>
      <w:r>
        <w:t xml:space="preserve">La base de code est globalement bien durcie (Prisma paramétré, bcrypt cost 12, contrôle d’accès cohérent, en-têtes/CSP solides). Les findings relèvent principalement d’</w:t>
      </w:r>
      <w:r>
        <w:rPr>
          <w:i/>
          <w:iCs/>
        </w:rPr>
        <w:t xml:space="preserve">incohérences de durcissement</w:t>
      </w:r>
      <w:r>
        <w:t xml:space="preserve"> — un mécanisme sécurisé à un endroit, oublié sur son jumeau — plutôt que de failles béantes.</w:t>
      </w:r>
    </w:p>
    <w:p>
      <w:pPr>
        <w:spacing w:after="80"/>
      </w:pPr>
      <w:r>
        <w:t xml:space="preserve"/>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40"/>
        <w:gridCol w:w="2340"/>
        <w:gridCol w:w="2340"/>
        <w:gridCol w:w="2340"/>
      </w:tblGrid>
      <w:tr>
        <w:tc>
          <w:tcPr>
            <w:tcW w:type="dxa" w:w="2340"/>
            <w:shd w:fill="FCE4E4" w:val="clear"/>
            <w:tcMar>
              <w:top w:type="dxa" w:w="60"/>
              <w:left w:type="dxa" w:w="110"/>
              <w:bottom w:type="dxa" w:w="60"/>
              <w:right w:type="dxa" w:w="110"/>
            </w:tcMar>
            <w:vAlign w:val="center"/>
          </w:tcPr>
          <w:p>
            <w:pPr>
              <w:jc w:val="center"/>
            </w:pPr>
            <w:r>
              <w:rPr>
                <w:b/>
                <w:bCs/>
                <w:color w:val="C00000"/>
              </w:rPr>
              <w:t xml:space="preserve">1 HIGH</w:t>
            </w:r>
          </w:p>
        </w:tc>
        <w:tc>
          <w:tcPr>
            <w:tcW w:type="dxa" w:w="2340"/>
            <w:shd w:fill="FBE9DC" w:val="clear"/>
            <w:tcMar>
              <w:top w:type="dxa" w:w="60"/>
              <w:left w:type="dxa" w:w="110"/>
              <w:bottom w:type="dxa" w:w="60"/>
              <w:right w:type="dxa" w:w="110"/>
            </w:tcMar>
            <w:vAlign w:val="center"/>
          </w:tcPr>
          <w:p>
            <w:pPr>
              <w:jc w:val="center"/>
            </w:pPr>
            <w:r>
              <w:rPr>
                <w:b/>
                <w:bCs/>
                <w:color w:val="C55A11"/>
              </w:rPr>
              <w:t xml:space="preserve">4 MEDIUM</w:t>
            </w:r>
          </w:p>
        </w:tc>
        <w:tc>
          <w:tcPr>
            <w:tcW w:type="dxa" w:w="2340"/>
            <w:shd w:fill="FFF6D9" w:val="clear"/>
            <w:tcMar>
              <w:top w:type="dxa" w:w="60"/>
              <w:left w:type="dxa" w:w="110"/>
              <w:bottom w:type="dxa" w:w="60"/>
              <w:right w:type="dxa" w:w="110"/>
            </w:tcMar>
            <w:vAlign w:val="center"/>
          </w:tcPr>
          <w:p>
            <w:pPr>
              <w:jc w:val="center"/>
            </w:pPr>
            <w:r>
              <w:rPr>
                <w:b/>
                <w:bCs/>
                <w:color w:val="BF8F00"/>
              </w:rPr>
              <w:t xml:space="preserve">2 LOW</w:t>
            </w:r>
          </w:p>
        </w:tc>
        <w:tc>
          <w:tcPr>
            <w:tcW w:type="dxa" w:w="2340"/>
            <w:shd w:fill="E2EFD9" w:val="clear"/>
            <w:tcMar>
              <w:top w:type="dxa" w:w="60"/>
              <w:left w:type="dxa" w:w="110"/>
              <w:bottom w:type="dxa" w:w="60"/>
              <w:right w:type="dxa" w:w="110"/>
            </w:tcMar>
            <w:vAlign w:val="center"/>
          </w:tcPr>
          <w:p>
            <w:pPr>
              <w:jc w:val="center"/>
            </w:pPr>
            <w:r>
              <w:rPr>
                <w:b/>
                <w:bCs/>
                <w:color w:val="548235"/>
              </w:rPr>
              <w:t xml:space="preserve">5 corrigés/atténués</w:t>
            </w:r>
          </w:p>
        </w:tc>
      </w:tr>
    </w:tbl>
    <w:p>
      <w:pPr>
        <w:spacing w:after="80"/>
      </w:pPr>
      <w:r>
        <w:t xml:space="preserve"/>
      </w:r>
    </w:p>
    <w:p>
      <w:r>
        <w:rPr>
          <w:b/>
          <w:bCs/>
        </w:rPr>
        <w:t xml:space="preserve">Sur 7 findings, 5 ont été corrigés ou atténués et vérifiés par des tests ; 2 relèvent de l’exploitation/configuration et 1 a été explicitement accepté par l’exploitant.</w:t>
      </w:r>
    </w:p>
    <w:p>
      <w:pPr>
        <w:spacing w:after="80"/>
      </w:pPr>
      <w:r>
        <w:t xml:space="preserve"/>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760"/>
        <w:gridCol w:w="3600"/>
        <w:gridCol w:w="1100"/>
        <w:gridCol w:w="800"/>
        <w:gridCol w:w="3100"/>
      </w:tblGrid>
      <w:tr>
        <w:trPr>
          <w:tblHeader/>
        </w:trPr>
        <w:tc>
          <w:tcPr>
            <w:tcW w:type="dxa" w:w="760"/>
            <w:shd w:fill="1F3864" w:val="clear"/>
            <w:tcMar>
              <w:top w:type="dxa" w:w="60"/>
              <w:left w:type="dxa" w:w="110"/>
              <w:bottom w:type="dxa" w:w="60"/>
              <w:right w:type="dxa" w:w="110"/>
            </w:tcMar>
            <w:vAlign w:val="center"/>
          </w:tcPr>
          <w:p>
            <w:pPr>
              <w:jc w:val="center"/>
            </w:pPr>
            <w:r>
              <w:rPr>
                <w:b/>
                <w:bCs/>
                <w:color w:val="FFFFFF"/>
              </w:rPr>
              <w:t xml:space="preserve">ID</w:t>
            </w:r>
          </w:p>
        </w:tc>
        <w:tc>
          <w:tcPr>
            <w:tcW w:type="dxa" w:w="3600"/>
            <w:shd w:fill="1F3864" w:val="clear"/>
            <w:tcMar>
              <w:top w:type="dxa" w:w="60"/>
              <w:left w:type="dxa" w:w="110"/>
              <w:bottom w:type="dxa" w:w="60"/>
              <w:right w:type="dxa" w:w="110"/>
            </w:tcMar>
            <w:vAlign w:val="center"/>
          </w:tcPr>
          <w:p>
            <w:pPr>
              <w:jc w:val="left"/>
            </w:pPr>
            <w:r>
              <w:rPr>
                <w:b/>
                <w:bCs/>
                <w:color w:val="FFFFFF"/>
              </w:rPr>
              <w:t xml:space="preserve">Vulnérabilité</w:t>
            </w:r>
          </w:p>
        </w:tc>
        <w:tc>
          <w:tcPr>
            <w:tcW w:type="dxa" w:w="1100"/>
            <w:shd w:fill="1F3864" w:val="clear"/>
            <w:tcMar>
              <w:top w:type="dxa" w:w="60"/>
              <w:left w:type="dxa" w:w="110"/>
              <w:bottom w:type="dxa" w:w="60"/>
              <w:right w:type="dxa" w:w="110"/>
            </w:tcMar>
            <w:vAlign w:val="center"/>
          </w:tcPr>
          <w:p>
            <w:pPr>
              <w:jc w:val="center"/>
            </w:pPr>
            <w:r>
              <w:rPr>
                <w:b/>
                <w:bCs/>
                <w:color w:val="FFFFFF"/>
              </w:rPr>
              <w:t xml:space="preserve">Sévérité</w:t>
            </w:r>
          </w:p>
        </w:tc>
        <w:tc>
          <w:tcPr>
            <w:tcW w:type="dxa" w:w="800"/>
            <w:shd w:fill="1F3864" w:val="clear"/>
            <w:tcMar>
              <w:top w:type="dxa" w:w="60"/>
              <w:left w:type="dxa" w:w="110"/>
              <w:bottom w:type="dxa" w:w="60"/>
              <w:right w:type="dxa" w:w="110"/>
            </w:tcMar>
            <w:vAlign w:val="center"/>
          </w:tcPr>
          <w:p>
            <w:pPr>
              <w:jc w:val="center"/>
            </w:pPr>
            <w:r>
              <w:rPr>
                <w:b/>
                <w:bCs/>
                <w:color w:val="FFFFFF"/>
              </w:rPr>
              <w:t xml:space="preserve">CVSS</w:t>
            </w:r>
          </w:p>
        </w:tc>
        <w:tc>
          <w:tcPr>
            <w:tcW w:type="dxa" w:w="3100"/>
            <w:shd w:fill="1F3864" w:val="clear"/>
            <w:tcMar>
              <w:top w:type="dxa" w:w="60"/>
              <w:left w:type="dxa" w:w="110"/>
              <w:bottom w:type="dxa" w:w="60"/>
              <w:right w:type="dxa" w:w="110"/>
            </w:tcMar>
            <w:vAlign w:val="center"/>
          </w:tcPr>
          <w:p>
            <w:pPr>
              <w:jc w:val="left"/>
            </w:pPr>
            <w:r>
              <w:rPr>
                <w:b/>
                <w:bCs/>
                <w:color w:val="FFFFFF"/>
              </w:rPr>
              <w:t xml:space="preserve">Statut</w:t>
            </w:r>
          </w:p>
        </w:tc>
      </w:tr>
      <w:tr>
        <w:tc>
          <w:tcPr>
            <w:tcW w:type="dxa" w:w="760"/>
            <w:tcMar>
              <w:top w:type="dxa" w:w="60"/>
              <w:left w:type="dxa" w:w="110"/>
              <w:bottom w:type="dxa" w:w="60"/>
              <w:right w:type="dxa" w:w="110"/>
            </w:tcMar>
            <w:vAlign w:val="center"/>
          </w:tcPr>
          <w:p>
            <w:pPr>
              <w:jc w:val="center"/>
            </w:pPr>
            <w:r>
              <w:rPr>
                <w:b/>
                <w:bCs/>
              </w:rPr>
              <w:t xml:space="preserve">F002</w:t>
            </w:r>
          </w:p>
        </w:tc>
        <w:tc>
          <w:tcPr>
            <w:tcW w:type="dxa" w:w="3600"/>
            <w:tcMar>
              <w:top w:type="dxa" w:w="60"/>
              <w:left w:type="dxa" w:w="110"/>
              <w:bottom w:type="dxa" w:w="60"/>
              <w:right w:type="dxa" w:w="110"/>
            </w:tcMar>
            <w:vAlign w:val="center"/>
          </w:tcPr>
          <w:p>
            <w:pPr>
              <w:jc w:val="left"/>
            </w:pPr>
            <w:r>
              <w:t xml:space="preserve">Injection de formule CSV — export du journal d’audit</w:t>
            </w:r>
          </w:p>
        </w:tc>
        <w:tc>
          <w:tcPr>
            <w:tcW w:type="dxa" w:w="1100"/>
            <w:tcMar>
              <w:top w:type="dxa" w:w="60"/>
              <w:left w:type="dxa" w:w="110"/>
              <w:bottom w:type="dxa" w:w="60"/>
              <w:right w:type="dxa" w:w="110"/>
            </w:tcMar>
            <w:vAlign w:val="center"/>
          </w:tcPr>
          <w:p>
            <w:pPr>
              <w:jc w:val="center"/>
            </w:pPr>
            <w:r>
              <w:rPr>
                <w:b/>
                <w:bCs/>
                <w:color w:val="C00000"/>
              </w:rPr>
              <w:t xml:space="preserve">HIGH</w:t>
            </w:r>
          </w:p>
        </w:tc>
        <w:tc>
          <w:tcPr>
            <w:tcW w:type="dxa" w:w="800"/>
            <w:tcMar>
              <w:top w:type="dxa" w:w="60"/>
              <w:left w:type="dxa" w:w="110"/>
              <w:bottom w:type="dxa" w:w="60"/>
              <w:right w:type="dxa" w:w="110"/>
            </w:tcMar>
            <w:vAlign w:val="center"/>
          </w:tcPr>
          <w:p>
            <w:pPr>
              <w:jc w:val="center"/>
            </w:pPr>
            <w:r>
              <w:t xml:space="preserve">6.5</w:t>
            </w:r>
          </w:p>
        </w:tc>
        <w:tc>
          <w:tcPr>
            <w:tcW w:type="dxa" w:w="3100"/>
            <w:tcMar>
              <w:top w:type="dxa" w:w="60"/>
              <w:left w:type="dxa" w:w="110"/>
              <w:bottom w:type="dxa" w:w="60"/>
              <w:right w:type="dxa" w:w="110"/>
            </w:tcMar>
            <w:vAlign w:val="center"/>
          </w:tcPr>
          <w:p>
            <w:pPr>
              <w:jc w:val="left"/>
            </w:pPr>
            <w:r>
              <w:rPr>
                <w:b/>
                <w:bCs/>
                <w:color w:val="548235"/>
              </w:rPr>
              <w:t xml:space="preserve">CORRIGÉ</w:t>
            </w:r>
          </w:p>
        </w:tc>
      </w:tr>
      <w:tr>
        <w:tc>
          <w:tcPr>
            <w:tcW w:type="dxa" w:w="760"/>
            <w:tcMar>
              <w:top w:type="dxa" w:w="60"/>
              <w:left w:type="dxa" w:w="110"/>
              <w:bottom w:type="dxa" w:w="60"/>
              <w:right w:type="dxa" w:w="110"/>
            </w:tcMar>
            <w:vAlign w:val="center"/>
          </w:tcPr>
          <w:p>
            <w:pPr>
              <w:jc w:val="center"/>
            </w:pPr>
            <w:r>
              <w:rPr>
                <w:b/>
                <w:bCs/>
              </w:rPr>
              <w:t xml:space="preserve">F005</w:t>
            </w:r>
          </w:p>
        </w:tc>
        <w:tc>
          <w:tcPr>
            <w:tcW w:type="dxa" w:w="3600"/>
            <w:tcMar>
              <w:top w:type="dxa" w:w="60"/>
              <w:left w:type="dxa" w:w="110"/>
              <w:bottom w:type="dxa" w:w="60"/>
              <w:right w:type="dxa" w:w="110"/>
            </w:tcMar>
            <w:vAlign w:val="center"/>
          </w:tcPr>
          <w:p>
            <w:pPr>
              <w:jc w:val="left"/>
            </w:pPr>
            <w:r>
              <w:t xml:space="preserve">Secrets SSO / SMS stockés (et journalisés) en clair</w:t>
            </w:r>
          </w:p>
        </w:tc>
        <w:tc>
          <w:tcPr>
            <w:tcW w:type="dxa" w:w="1100"/>
            <w:tcMar>
              <w:top w:type="dxa" w:w="60"/>
              <w:left w:type="dxa" w:w="110"/>
              <w:bottom w:type="dxa" w:w="60"/>
              <w:right w:type="dxa" w:w="110"/>
            </w:tcMar>
            <w:vAlign w:val="center"/>
          </w:tcPr>
          <w:p>
            <w:pPr>
              <w:jc w:val="center"/>
            </w:pPr>
            <w:r>
              <w:rPr>
                <w:b/>
                <w:bCs/>
                <w:color w:val="C55A11"/>
              </w:rPr>
              <w:t xml:space="preserve">MEDIUM</w:t>
            </w:r>
          </w:p>
        </w:tc>
        <w:tc>
          <w:tcPr>
            <w:tcW w:type="dxa" w:w="800"/>
            <w:tcMar>
              <w:top w:type="dxa" w:w="60"/>
              <w:left w:type="dxa" w:w="110"/>
              <w:bottom w:type="dxa" w:w="60"/>
              <w:right w:type="dxa" w:w="110"/>
            </w:tcMar>
            <w:vAlign w:val="center"/>
          </w:tcPr>
          <w:p>
            <w:pPr>
              <w:jc w:val="center"/>
            </w:pPr>
            <w:r>
              <w:t xml:space="preserve">5.5</w:t>
            </w:r>
          </w:p>
        </w:tc>
        <w:tc>
          <w:tcPr>
            <w:tcW w:type="dxa" w:w="3100"/>
            <w:tcMar>
              <w:top w:type="dxa" w:w="60"/>
              <w:left w:type="dxa" w:w="110"/>
              <w:bottom w:type="dxa" w:w="60"/>
              <w:right w:type="dxa" w:w="110"/>
            </w:tcMar>
            <w:vAlign w:val="center"/>
          </w:tcPr>
          <w:p>
            <w:pPr>
              <w:jc w:val="left"/>
            </w:pPr>
            <w:r>
              <w:rPr>
                <w:b/>
                <w:bCs/>
                <w:color w:val="548235"/>
              </w:rPr>
              <w:t xml:space="preserve">CORRIGÉ</w:t>
            </w:r>
          </w:p>
        </w:tc>
      </w:tr>
      <w:tr>
        <w:tc>
          <w:tcPr>
            <w:tcW w:type="dxa" w:w="760"/>
            <w:tcMar>
              <w:top w:type="dxa" w:w="60"/>
              <w:left w:type="dxa" w:w="110"/>
              <w:bottom w:type="dxa" w:w="60"/>
              <w:right w:type="dxa" w:w="110"/>
            </w:tcMar>
            <w:vAlign w:val="center"/>
          </w:tcPr>
          <w:p>
            <w:pPr>
              <w:jc w:val="center"/>
            </w:pPr>
            <w:r>
              <w:rPr>
                <w:b/>
                <w:bCs/>
              </w:rPr>
              <w:t xml:space="preserve">F003</w:t>
            </w:r>
          </w:p>
        </w:tc>
        <w:tc>
          <w:tcPr>
            <w:tcW w:type="dxa" w:w="3600"/>
            <w:tcMar>
              <w:top w:type="dxa" w:w="60"/>
              <w:left w:type="dxa" w:w="110"/>
              <w:bottom w:type="dxa" w:w="60"/>
              <w:right w:type="dxa" w:w="110"/>
            </w:tcMar>
            <w:vAlign w:val="center"/>
          </w:tcPr>
          <w:p>
            <w:pPr>
              <w:jc w:val="left"/>
            </w:pPr>
            <w:r>
              <w:t xml:space="preserve">Anti-brute-force / rate-limiting contournable</w:t>
            </w:r>
          </w:p>
        </w:tc>
        <w:tc>
          <w:tcPr>
            <w:tcW w:type="dxa" w:w="1100"/>
            <w:tcMar>
              <w:top w:type="dxa" w:w="60"/>
              <w:left w:type="dxa" w:w="110"/>
              <w:bottom w:type="dxa" w:w="60"/>
              <w:right w:type="dxa" w:w="110"/>
            </w:tcMar>
            <w:vAlign w:val="center"/>
          </w:tcPr>
          <w:p>
            <w:pPr>
              <w:jc w:val="center"/>
            </w:pPr>
            <w:r>
              <w:rPr>
                <w:b/>
                <w:bCs/>
                <w:color w:val="C55A11"/>
              </w:rPr>
              <w:t xml:space="preserve">MEDIUM</w:t>
            </w:r>
          </w:p>
        </w:tc>
        <w:tc>
          <w:tcPr>
            <w:tcW w:type="dxa" w:w="800"/>
            <w:tcMar>
              <w:top w:type="dxa" w:w="60"/>
              <w:left w:type="dxa" w:w="110"/>
              <w:bottom w:type="dxa" w:w="60"/>
              <w:right w:type="dxa" w:w="110"/>
            </w:tcMar>
            <w:vAlign w:val="center"/>
          </w:tcPr>
          <w:p>
            <w:pPr>
              <w:jc w:val="center"/>
            </w:pPr>
            <w:r>
              <w:t xml:space="preserve">5.3</w:t>
            </w:r>
          </w:p>
        </w:tc>
        <w:tc>
          <w:tcPr>
            <w:tcW w:type="dxa" w:w="3100"/>
            <w:tcMar>
              <w:top w:type="dxa" w:w="60"/>
              <w:left w:type="dxa" w:w="110"/>
              <w:bottom w:type="dxa" w:w="60"/>
              <w:right w:type="dxa" w:w="110"/>
            </w:tcMar>
            <w:vAlign w:val="center"/>
          </w:tcPr>
          <w:p>
            <w:pPr>
              <w:jc w:val="left"/>
            </w:pPr>
            <w:r>
              <w:rPr>
                <w:b/>
                <w:bCs/>
                <w:color w:val="BF8F00"/>
              </w:rPr>
              <w:t xml:space="preserve">À TRAITER (ops)</w:t>
            </w:r>
          </w:p>
        </w:tc>
      </w:tr>
      <w:tr>
        <w:tc>
          <w:tcPr>
            <w:tcW w:type="dxa" w:w="760"/>
            <w:tcMar>
              <w:top w:type="dxa" w:w="60"/>
              <w:left w:type="dxa" w:w="110"/>
              <w:bottom w:type="dxa" w:w="60"/>
              <w:right w:type="dxa" w:w="110"/>
            </w:tcMar>
            <w:vAlign w:val="center"/>
          </w:tcPr>
          <w:p>
            <w:pPr>
              <w:jc w:val="center"/>
            </w:pPr>
            <w:r>
              <w:rPr>
                <w:b/>
                <w:bCs/>
              </w:rPr>
              <w:t xml:space="preserve">F006</w:t>
            </w:r>
          </w:p>
        </w:tc>
        <w:tc>
          <w:tcPr>
            <w:tcW w:type="dxa" w:w="3600"/>
            <w:tcMar>
              <w:top w:type="dxa" w:w="60"/>
              <w:left w:type="dxa" w:w="110"/>
              <w:bottom w:type="dxa" w:w="60"/>
              <w:right w:type="dxa" w:w="110"/>
            </w:tcMar>
            <w:vAlign w:val="center"/>
          </w:tcPr>
          <w:p>
            <w:pPr>
              <w:jc w:val="left"/>
            </w:pPr>
            <w:r>
              <w:t xml:space="preserve">Assignation de masse partielle (sauvegarde des ateliers)</w:t>
            </w:r>
          </w:p>
        </w:tc>
        <w:tc>
          <w:tcPr>
            <w:tcW w:type="dxa" w:w="1100"/>
            <w:tcMar>
              <w:top w:type="dxa" w:w="60"/>
              <w:left w:type="dxa" w:w="110"/>
              <w:bottom w:type="dxa" w:w="60"/>
              <w:right w:type="dxa" w:w="110"/>
            </w:tcMar>
            <w:vAlign w:val="center"/>
          </w:tcPr>
          <w:p>
            <w:pPr>
              <w:jc w:val="center"/>
            </w:pPr>
            <w:r>
              <w:rPr>
                <w:b/>
                <w:bCs/>
                <w:color w:val="BF8F00"/>
              </w:rPr>
              <w:t xml:space="preserve">LOW</w:t>
            </w:r>
          </w:p>
        </w:tc>
        <w:tc>
          <w:tcPr>
            <w:tcW w:type="dxa" w:w="800"/>
            <w:tcMar>
              <w:top w:type="dxa" w:w="60"/>
              <w:left w:type="dxa" w:w="110"/>
              <w:bottom w:type="dxa" w:w="60"/>
              <w:right w:type="dxa" w:w="110"/>
            </w:tcMar>
            <w:vAlign w:val="center"/>
          </w:tcPr>
          <w:p>
            <w:pPr>
              <w:jc w:val="center"/>
            </w:pPr>
            <w:r>
              <w:t xml:space="preserve">4.3</w:t>
            </w:r>
          </w:p>
        </w:tc>
        <w:tc>
          <w:tcPr>
            <w:tcW w:type="dxa" w:w="3100"/>
            <w:tcMar>
              <w:top w:type="dxa" w:w="60"/>
              <w:left w:type="dxa" w:w="110"/>
              <w:bottom w:type="dxa" w:w="60"/>
              <w:right w:type="dxa" w:w="110"/>
            </w:tcMar>
            <w:vAlign w:val="center"/>
          </w:tcPr>
          <w:p>
            <w:pPr>
              <w:jc w:val="left"/>
            </w:pPr>
            <w:r>
              <w:rPr>
                <w:b/>
                <w:bCs/>
                <w:color w:val="548235"/>
              </w:rPr>
              <w:t xml:space="preserve">CORRIGÉ</w:t>
            </w:r>
          </w:p>
        </w:tc>
      </w:tr>
      <w:tr>
        <w:tc>
          <w:tcPr>
            <w:tcW w:type="dxa" w:w="760"/>
            <w:tcMar>
              <w:top w:type="dxa" w:w="60"/>
              <w:left w:type="dxa" w:w="110"/>
              <w:bottom w:type="dxa" w:w="60"/>
              <w:right w:type="dxa" w:w="110"/>
            </w:tcMar>
            <w:vAlign w:val="center"/>
          </w:tcPr>
          <w:p>
            <w:pPr>
              <w:jc w:val="center"/>
            </w:pPr>
            <w:r>
              <w:rPr>
                <w:b/>
                <w:bCs/>
              </w:rPr>
              <w:t xml:space="preserve">F007</w:t>
            </w:r>
          </w:p>
        </w:tc>
        <w:tc>
          <w:tcPr>
            <w:tcW w:type="dxa" w:w="3600"/>
            <w:tcMar>
              <w:top w:type="dxa" w:w="60"/>
              <w:left w:type="dxa" w:w="110"/>
              <w:bottom w:type="dxa" w:w="60"/>
              <w:right w:type="dxa" w:w="110"/>
            </w:tcMar>
            <w:vAlign w:val="center"/>
          </w:tcPr>
          <w:p>
            <w:pPr>
              <w:jc w:val="left"/>
            </w:pPr>
            <w:r>
              <w:t xml:space="preserve">Injection de prompt (suggestions IA)</w:t>
            </w:r>
          </w:p>
        </w:tc>
        <w:tc>
          <w:tcPr>
            <w:tcW w:type="dxa" w:w="1100"/>
            <w:tcMar>
              <w:top w:type="dxa" w:w="60"/>
              <w:left w:type="dxa" w:w="110"/>
              <w:bottom w:type="dxa" w:w="60"/>
              <w:right w:type="dxa" w:w="110"/>
            </w:tcMar>
            <w:vAlign w:val="center"/>
          </w:tcPr>
          <w:p>
            <w:pPr>
              <w:jc w:val="center"/>
            </w:pPr>
            <w:r>
              <w:rPr>
                <w:b/>
                <w:bCs/>
                <w:color w:val="BF8F00"/>
              </w:rPr>
              <w:t xml:space="preserve">LOW</w:t>
            </w:r>
          </w:p>
        </w:tc>
        <w:tc>
          <w:tcPr>
            <w:tcW w:type="dxa" w:w="800"/>
            <w:tcMar>
              <w:top w:type="dxa" w:w="60"/>
              <w:left w:type="dxa" w:w="110"/>
              <w:bottom w:type="dxa" w:w="60"/>
              <w:right w:type="dxa" w:w="110"/>
            </w:tcMar>
            <w:vAlign w:val="center"/>
          </w:tcPr>
          <w:p>
            <w:pPr>
              <w:jc w:val="center"/>
            </w:pPr>
            <w:r>
              <w:t xml:space="preserve">3.5</w:t>
            </w:r>
          </w:p>
        </w:tc>
        <w:tc>
          <w:tcPr>
            <w:tcW w:type="dxa" w:w="3100"/>
            <w:tcMar>
              <w:top w:type="dxa" w:w="60"/>
              <w:left w:type="dxa" w:w="110"/>
              <w:bottom w:type="dxa" w:w="60"/>
              <w:right w:type="dxa" w:w="110"/>
            </w:tcMar>
            <w:vAlign w:val="center"/>
          </w:tcPr>
          <w:p>
            <w:pPr>
              <w:jc w:val="left"/>
            </w:pPr>
            <w:r>
              <w:rPr>
                <w:b/>
                <w:bCs/>
                <w:color w:val="548235"/>
              </w:rPr>
              <w:t xml:space="preserve">ATTÉNUÉ</w:t>
            </w:r>
          </w:p>
        </w:tc>
      </w:tr>
      <w:tr>
        <w:tc>
          <w:tcPr>
            <w:tcW w:type="dxa" w:w="760"/>
            <w:tcMar>
              <w:top w:type="dxa" w:w="60"/>
              <w:left w:type="dxa" w:w="110"/>
              <w:bottom w:type="dxa" w:w="60"/>
              <w:right w:type="dxa" w:w="110"/>
            </w:tcMar>
            <w:vAlign w:val="center"/>
          </w:tcPr>
          <w:p>
            <w:pPr>
              <w:jc w:val="center"/>
            </w:pPr>
            <w:r>
              <w:rPr>
                <w:b/>
                <w:bCs/>
              </w:rPr>
              <w:t xml:space="preserve">F001</w:t>
            </w:r>
          </w:p>
        </w:tc>
        <w:tc>
          <w:tcPr>
            <w:tcW w:type="dxa" w:w="3600"/>
            <w:tcMar>
              <w:top w:type="dxa" w:w="60"/>
              <w:left w:type="dxa" w:w="110"/>
              <w:bottom w:type="dxa" w:w="60"/>
              <w:right w:type="dxa" w:w="110"/>
            </w:tcMar>
            <w:vAlign w:val="center"/>
          </w:tcPr>
          <w:p>
            <w:pPr>
              <w:jc w:val="left"/>
            </w:pPr>
            <w:r>
              <w:t xml:space="preserve">Secrets réels dupliqués dans la sortie de build</w:t>
            </w:r>
          </w:p>
        </w:tc>
        <w:tc>
          <w:tcPr>
            <w:tcW w:type="dxa" w:w="1100"/>
            <w:tcMar>
              <w:top w:type="dxa" w:w="60"/>
              <w:left w:type="dxa" w:w="110"/>
              <w:bottom w:type="dxa" w:w="60"/>
              <w:right w:type="dxa" w:w="110"/>
            </w:tcMar>
            <w:vAlign w:val="center"/>
          </w:tcPr>
          <w:p>
            <w:pPr>
              <w:jc w:val="center"/>
            </w:pPr>
            <w:r>
              <w:rPr>
                <w:b/>
                <w:bCs/>
                <w:color w:val="C55A11"/>
              </w:rPr>
              <w:t xml:space="preserve">MEDIUM</w:t>
            </w:r>
          </w:p>
        </w:tc>
        <w:tc>
          <w:tcPr>
            <w:tcW w:type="dxa" w:w="800"/>
            <w:tcMar>
              <w:top w:type="dxa" w:w="60"/>
              <w:left w:type="dxa" w:w="110"/>
              <w:bottom w:type="dxa" w:w="60"/>
              <w:right w:type="dxa" w:w="110"/>
            </w:tcMar>
            <w:vAlign w:val="center"/>
          </w:tcPr>
          <w:p>
            <w:pPr>
              <w:jc w:val="center"/>
            </w:pPr>
            <w:r>
              <w:t xml:space="preserve">5.5</w:t>
            </w:r>
          </w:p>
        </w:tc>
        <w:tc>
          <w:tcPr>
            <w:tcW w:type="dxa" w:w="3100"/>
            <w:tcMar>
              <w:top w:type="dxa" w:w="60"/>
              <w:left w:type="dxa" w:w="110"/>
              <w:bottom w:type="dxa" w:w="60"/>
              <w:right w:type="dxa" w:w="110"/>
            </w:tcMar>
            <w:vAlign w:val="center"/>
          </w:tcPr>
          <w:p>
            <w:pPr>
              <w:jc w:val="left"/>
            </w:pPr>
            <w:r>
              <w:rPr>
                <w:b/>
                <w:bCs/>
                <w:color w:val="BF8F00"/>
              </w:rPr>
              <w:t xml:space="preserve">À TRAITER (ops)</w:t>
            </w:r>
          </w:p>
        </w:tc>
      </w:tr>
      <w:tr>
        <w:tc>
          <w:tcPr>
            <w:tcW w:type="dxa" w:w="760"/>
            <w:tcMar>
              <w:top w:type="dxa" w:w="60"/>
              <w:left w:type="dxa" w:w="110"/>
              <w:bottom w:type="dxa" w:w="60"/>
              <w:right w:type="dxa" w:w="110"/>
            </w:tcMar>
            <w:vAlign w:val="center"/>
          </w:tcPr>
          <w:p>
            <w:pPr>
              <w:jc w:val="center"/>
            </w:pPr>
            <w:r>
              <w:rPr>
                <w:b/>
                <w:bCs/>
              </w:rPr>
              <w:t xml:space="preserve">F004</w:t>
            </w:r>
          </w:p>
        </w:tc>
        <w:tc>
          <w:tcPr>
            <w:tcW w:type="dxa" w:w="3600"/>
            <w:tcMar>
              <w:top w:type="dxa" w:w="60"/>
              <w:left w:type="dxa" w:w="110"/>
              <w:bottom w:type="dxa" w:w="60"/>
              <w:right w:type="dxa" w:w="110"/>
            </w:tcMar>
            <w:vAlign w:val="center"/>
          </w:tcPr>
          <w:p>
            <w:pPr>
              <w:jc w:val="left"/>
            </w:pPr>
            <w:r>
              <w:t xml:space="preserve">Inscription anonyme ouverte + premier compte ADMIN</w:t>
            </w:r>
          </w:p>
        </w:tc>
        <w:tc>
          <w:tcPr>
            <w:tcW w:type="dxa" w:w="1100"/>
            <w:tcMar>
              <w:top w:type="dxa" w:w="60"/>
              <w:left w:type="dxa" w:w="110"/>
              <w:bottom w:type="dxa" w:w="60"/>
              <w:right w:type="dxa" w:w="110"/>
            </w:tcMar>
            <w:vAlign w:val="center"/>
          </w:tcPr>
          <w:p>
            <w:pPr>
              <w:jc w:val="center"/>
            </w:pPr>
            <w:r>
              <w:rPr>
                <w:b/>
                <w:bCs/>
                <w:color w:val="C55A11"/>
              </w:rPr>
              <w:t xml:space="preserve">MEDIUM</w:t>
            </w:r>
          </w:p>
        </w:tc>
        <w:tc>
          <w:tcPr>
            <w:tcW w:type="dxa" w:w="800"/>
            <w:tcMar>
              <w:top w:type="dxa" w:w="60"/>
              <w:left w:type="dxa" w:w="110"/>
              <w:bottom w:type="dxa" w:w="60"/>
              <w:right w:type="dxa" w:w="110"/>
            </w:tcMar>
            <w:vAlign w:val="center"/>
          </w:tcPr>
          <w:p>
            <w:pPr>
              <w:jc w:val="center"/>
            </w:pPr>
            <w:r>
              <w:t xml:space="preserve">6.5</w:t>
            </w:r>
          </w:p>
        </w:tc>
        <w:tc>
          <w:tcPr>
            <w:tcW w:type="dxa" w:w="3100"/>
            <w:tcMar>
              <w:top w:type="dxa" w:w="60"/>
              <w:left w:type="dxa" w:w="110"/>
              <w:bottom w:type="dxa" w:w="60"/>
              <w:right w:type="dxa" w:w="110"/>
            </w:tcMar>
            <w:vAlign w:val="center"/>
          </w:tcPr>
          <w:p>
            <w:pPr>
              <w:jc w:val="left"/>
            </w:pPr>
            <w:r>
              <w:rPr>
                <w:b/>
                <w:bCs/>
                <w:color w:val="2E75B6"/>
              </w:rPr>
              <w:t xml:space="preserve">RISQUE ACCEPTÉ</w:t>
            </w:r>
          </w:p>
        </w:tc>
      </w:tr>
    </w:tbl>
    <w:p>
      <w:r>
        <w:br w:type="page"/>
      </w:r>
    </w:p>
    <w:p>
      <w:pPr>
        <w:pStyle w:val="Heading1"/>
      </w:pPr>
      <w:r>
        <w:t xml:space="preserve">2. Méthodologie</w:t>
      </w:r>
    </w:p>
    <w:p>
      <w:r>
        <w:t xml:space="preserve">Analyse statique du code source combinant cartographie de la surface d’attaque (points d’entrée API, authentification, gestion des secrets, couche de données) et revue ciblée des fichiers sensibles.</w:t>
      </w:r>
    </w:p>
    <w:p>
      <w:r>
        <w:rPr>
          <w:b/>
          <w:bCs/>
        </w:rPr>
        <w:t xml:space="preserve">Référentiels : </w:t>
      </w:r>
      <w:r>
        <w:t xml:space="preserve">OWASP Top 10 2021, CWE Top 25, patterns SAST (injection, secrets, crypto faible, mass assignment) et OWASP LLM pour la fonctionnalité IA.</w:t>
      </w:r>
    </w:p>
    <w:p>
      <w:r>
        <w:rPr>
          <w:b/>
          <w:bCs/>
        </w:rPr>
        <w:t xml:space="preserve">Scoring : </w:t>
      </w:r>
      <w:r>
        <w:t xml:space="preserve">CVSS 3.1 estimé par finding. Méthode de correction : TDD conforme aux règles du dépôt (test d’abord, implémentation, vérification npm test au vert).</w:t>
      </w:r>
    </w:p>
    <w:p>
      <w:r>
        <w:rPr>
          <w:b/>
          <w:bCs/>
        </w:rPr>
        <w:t xml:space="preserve">Périmètre : </w:t>
      </w:r>
      <w:r>
        <w:t xml:space="preserve">application ebios-rm (~27 700 lignes TypeScript). Exclusions : tests d’intrusion dynamiques, revue d’infrastructure, audit des dépendances tierces (CVE) hors périmètre statique.</w:t>
      </w:r>
    </w:p>
    <w:p>
      <w:r>
        <w:br w:type="page"/>
      </w:r>
    </w:p>
    <w:p>
      <w:pPr>
        <w:pStyle w:val="Heading1"/>
      </w:pPr>
      <w:r>
        <w:t xml:space="preserve">3. Findings détaillés</w:t>
      </w:r>
    </w:p>
    <w:p>
      <w:r>
        <w:t xml:space="preserve">Les findings sont présentés par sévérité décroissante. Le statut indique l’état à l’issue de la session de remédiation.</w:t>
      </w:r>
    </w:p>
    <w:p>
      <w:pPr>
        <w:pStyle w:val="Heading3"/>
      </w:pPr>
      <w:r>
        <w:t xml:space="preserve">F002 — Injection de formule CSV — export du journal d’audit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560"/>
        <w:gridCol w:w="3120"/>
        <w:gridCol w:w="1560"/>
        <w:gridCol w:w="3120"/>
      </w:tblGrid>
      <w:tr>
        <w:tc>
          <w:tcPr>
            <w:tcW w:type="dxa" w:w="1560"/>
            <w:shd w:fill="D9E2F3" w:val="clear"/>
            <w:tcMar>
              <w:top w:type="dxa" w:w="60"/>
              <w:left w:type="dxa" w:w="110"/>
              <w:bottom w:type="dxa" w:w="60"/>
              <w:right w:type="dxa" w:w="110"/>
            </w:tcMar>
            <w:vAlign w:val="center"/>
          </w:tcPr>
          <w:p>
            <w:pPr>
              <w:jc w:val="left"/>
            </w:pPr>
            <w:r>
              <w:rPr>
                <w:b/>
                <w:bCs/>
              </w:rPr>
              <w:t xml:space="preserve">Sévérité</w:t>
            </w:r>
          </w:p>
        </w:tc>
        <w:tc>
          <w:tcPr>
            <w:tcW w:type="dxa" w:w="3120"/>
            <w:tcMar>
              <w:top w:type="dxa" w:w="60"/>
              <w:left w:type="dxa" w:w="110"/>
              <w:bottom w:type="dxa" w:w="60"/>
              <w:right w:type="dxa" w:w="110"/>
            </w:tcMar>
            <w:vAlign w:val="center"/>
          </w:tcPr>
          <w:p>
            <w:pPr>
              <w:jc w:val="left"/>
            </w:pPr>
            <w:r>
              <w:rPr>
                <w:b/>
                <w:bCs/>
                <w:color w:val="C00000"/>
              </w:rPr>
              <w:t xml:space="preserve">HIGH — CVSS 6.5</w:t>
            </w:r>
          </w:p>
        </w:tc>
        <w:tc>
          <w:tcPr>
            <w:tcW w:type="dxa" w:w="1560"/>
            <w:shd w:fill="D9E2F3" w:val="clear"/>
            <w:tcMar>
              <w:top w:type="dxa" w:w="60"/>
              <w:left w:type="dxa" w:w="110"/>
              <w:bottom w:type="dxa" w:w="60"/>
              <w:right w:type="dxa" w:w="110"/>
            </w:tcMar>
            <w:vAlign w:val="center"/>
          </w:tcPr>
          <w:p>
            <w:pPr>
              <w:jc w:val="left"/>
            </w:pPr>
            <w:r>
              <w:rPr>
                <w:b/>
                <w:bCs/>
              </w:rPr>
              <w:t xml:space="preserve">Statut</w:t>
            </w:r>
          </w:p>
        </w:tc>
        <w:tc>
          <w:tcPr>
            <w:tcW w:type="dxa" w:w="3120"/>
            <w:tcMar>
              <w:top w:type="dxa" w:w="60"/>
              <w:left w:type="dxa" w:w="110"/>
              <w:bottom w:type="dxa" w:w="60"/>
              <w:right w:type="dxa" w:w="110"/>
            </w:tcMar>
            <w:vAlign w:val="center"/>
          </w:tcPr>
          <w:p>
            <w:pPr>
              <w:jc w:val="left"/>
            </w:pPr>
            <w:r>
              <w:rPr>
                <w:b/>
                <w:bCs/>
                <w:color w:val="548235"/>
              </w:rPr>
              <w:t xml:space="preserve">CORRIGÉ</w:t>
            </w:r>
          </w:p>
        </w:tc>
      </w:tr>
      <w:tr>
        <w:tc>
          <w:tcPr>
            <w:tcW w:type="dxa" w:w="1560"/>
            <w:shd w:fill="D9E2F3" w:val="clear"/>
            <w:tcMar>
              <w:top w:type="dxa" w:w="60"/>
              <w:left w:type="dxa" w:w="110"/>
              <w:bottom w:type="dxa" w:w="60"/>
              <w:right w:type="dxa" w:w="110"/>
            </w:tcMar>
            <w:vAlign w:val="center"/>
          </w:tcPr>
          <w:p>
            <w:pPr>
              <w:jc w:val="left"/>
            </w:pPr>
            <w:r>
              <w:rPr>
                <w:b/>
                <w:bCs/>
              </w:rPr>
              <w:t xml:space="preserve">CWE</w:t>
            </w:r>
          </w:p>
        </w:tc>
        <w:tc>
          <w:tcPr>
            <w:tcW w:type="dxa" w:w="3120"/>
            <w:tcMar>
              <w:top w:type="dxa" w:w="60"/>
              <w:left w:type="dxa" w:w="110"/>
              <w:bottom w:type="dxa" w:w="60"/>
              <w:right w:type="dxa" w:w="110"/>
            </w:tcMar>
            <w:vAlign w:val="center"/>
          </w:tcPr>
          <w:p>
            <w:pPr>
              <w:jc w:val="left"/>
            </w:pPr>
            <w:r>
              <w:t xml:space="preserve">CWE-1236</w:t>
            </w:r>
          </w:p>
        </w:tc>
        <w:tc>
          <w:tcPr>
            <w:tcW w:type="dxa" w:w="1560"/>
            <w:shd w:fill="D9E2F3" w:val="clear"/>
            <w:tcMar>
              <w:top w:type="dxa" w:w="60"/>
              <w:left w:type="dxa" w:w="110"/>
              <w:bottom w:type="dxa" w:w="60"/>
              <w:right w:type="dxa" w:w="110"/>
            </w:tcMar>
            <w:vAlign w:val="center"/>
          </w:tcPr>
          <w:p>
            <w:pPr>
              <w:jc w:val="left"/>
            </w:pPr>
            <w:r>
              <w:rPr>
                <w:b/>
                <w:bCs/>
              </w:rPr>
              <w:t xml:space="preserve">OWASP</w:t>
            </w:r>
          </w:p>
        </w:tc>
        <w:tc>
          <w:tcPr>
            <w:tcW w:type="dxa" w:w="3120"/>
            <w:tcMar>
              <w:top w:type="dxa" w:w="60"/>
              <w:left w:type="dxa" w:w="110"/>
              <w:bottom w:type="dxa" w:w="60"/>
              <w:right w:type="dxa" w:w="110"/>
            </w:tcMar>
            <w:vAlign w:val="center"/>
          </w:tcPr>
          <w:p>
            <w:pPr>
              <w:jc w:val="left"/>
            </w:pPr>
            <w:r>
              <w:t xml:space="preserve">A03:2021</w:t>
            </w:r>
          </w:p>
        </w:tc>
      </w:tr>
      <w:tr>
        <w:tc>
          <w:tcPr>
            <w:tcW w:type="dxa" w:w="1560"/>
            <w:shd w:fill="D9E2F3" w:val="clear"/>
            <w:tcMar>
              <w:top w:type="dxa" w:w="60"/>
              <w:left w:type="dxa" w:w="110"/>
              <w:bottom w:type="dxa" w:w="60"/>
              <w:right w:type="dxa" w:w="110"/>
            </w:tcMar>
            <w:vAlign w:val="center"/>
          </w:tcPr>
          <w:p>
            <w:pPr>
              <w:jc w:val="left"/>
            </w:pPr>
            <w:r>
              <w:rPr>
                <w:b/>
                <w:bCs/>
              </w:rPr>
              <w:t xml:space="preserve">Fichier(s)</w:t>
            </w:r>
          </w:p>
        </w:tc>
        <w:tc>
          <w:tcPr>
            <w:tcW w:type="dxa" w:w="7800"/>
            <w:gridSpan w:val="3"/>
            <w:tcMar>
              <w:top w:type="dxa" w:w="60"/>
              <w:left w:type="dxa" w:w="110"/>
              <w:bottom w:type="dxa" w:w="60"/>
              <w:right w:type="dxa" w:w="110"/>
            </w:tcMar>
          </w:tcPr>
          <w:p>
            <w:r>
              <w:rPr>
                <w:rFonts w:ascii="Consolas" w:cs="Consolas" w:eastAsia="Consolas" w:hAnsi="Consolas"/>
                <w:sz w:val="18"/>
                <w:szCs w:val="18"/>
              </w:rPr>
              <w:t xml:space="preserve">src/app/api/admin/audit-log/export/route.ts</w:t>
            </w:r>
          </w:p>
        </w:tc>
      </w:tr>
    </w:tbl>
    <w:p>
      <w:pPr>
        <w:spacing w:after="80"/>
      </w:pPr>
      <w:r>
        <w:t xml:space="preserve"/>
      </w:r>
    </w:p>
    <w:p>
      <w:r>
        <w:rPr>
          <w:b/>
          <w:bCs/>
        </w:rPr>
        <w:t xml:space="preserve">Observation. </w:t>
      </w:r>
      <w:r>
        <w:t xml:space="preserve">La fonction escapeCsv n’échappait que les guillemets, virgules et sauts de ligne, sans neutraliser les déclencheurs de formule (= + - @ TAB CR). Les champs userEmail / details provenant d’entrées attaquant (ex. inscription avec un email "=cmd|’/C calc’!A1"), un ADMIN ouvrant le CSV dans Excel/LibreOffice déclenchait l’exécution de la formule.</w:t>
      </w:r>
    </w:p>
    <w:p>
      <w:r>
        <w:rPr>
          <w:b/>
          <w:bCs/>
          <w:color w:val="548235"/>
        </w:rPr>
        <w:t xml:space="preserve">Correctif appliqué. </w:t>
      </w:r>
      <w:r>
        <w:t xml:space="preserve">Création d’une primitive partagée et testée toCsvCell() (sanitizeForSpreadsheet + échappement RFC 4180) dans src/lib/spreadsheet-safe.ts ; la route l’utilise désormais. Même primitive que l’export d’analyse → durcissement cohérent. 4 tests ajoutés.</w:t>
      </w:r>
    </w:p>
    <w:p>
      <w:pPr>
        <w:spacing w:after="80"/>
      </w:pPr>
      <w:r>
        <w:t xml:space="preserve"/>
      </w:r>
    </w:p>
    <w:p>
      <w:pPr>
        <w:pStyle w:val="Heading3"/>
      </w:pPr>
      <w:r>
        <w:t xml:space="preserve">F005 — Secrets SSO / SMS stockés (et journalisés) en clair</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560"/>
        <w:gridCol w:w="3120"/>
        <w:gridCol w:w="1560"/>
        <w:gridCol w:w="3120"/>
      </w:tblGrid>
      <w:tr>
        <w:tc>
          <w:tcPr>
            <w:tcW w:type="dxa" w:w="1560"/>
            <w:shd w:fill="D9E2F3" w:val="clear"/>
            <w:tcMar>
              <w:top w:type="dxa" w:w="60"/>
              <w:left w:type="dxa" w:w="110"/>
              <w:bottom w:type="dxa" w:w="60"/>
              <w:right w:type="dxa" w:w="110"/>
            </w:tcMar>
            <w:vAlign w:val="center"/>
          </w:tcPr>
          <w:p>
            <w:pPr>
              <w:jc w:val="left"/>
            </w:pPr>
            <w:r>
              <w:rPr>
                <w:b/>
                <w:bCs/>
              </w:rPr>
              <w:t xml:space="preserve">Sévérité</w:t>
            </w:r>
          </w:p>
        </w:tc>
        <w:tc>
          <w:tcPr>
            <w:tcW w:type="dxa" w:w="3120"/>
            <w:tcMar>
              <w:top w:type="dxa" w:w="60"/>
              <w:left w:type="dxa" w:w="110"/>
              <w:bottom w:type="dxa" w:w="60"/>
              <w:right w:type="dxa" w:w="110"/>
            </w:tcMar>
            <w:vAlign w:val="center"/>
          </w:tcPr>
          <w:p>
            <w:pPr>
              <w:jc w:val="left"/>
            </w:pPr>
            <w:r>
              <w:rPr>
                <w:b/>
                <w:bCs/>
                <w:color w:val="C55A11"/>
              </w:rPr>
              <w:t xml:space="preserve">MEDIUM — CVSS 5.5</w:t>
            </w:r>
          </w:p>
        </w:tc>
        <w:tc>
          <w:tcPr>
            <w:tcW w:type="dxa" w:w="1560"/>
            <w:shd w:fill="D9E2F3" w:val="clear"/>
            <w:tcMar>
              <w:top w:type="dxa" w:w="60"/>
              <w:left w:type="dxa" w:w="110"/>
              <w:bottom w:type="dxa" w:w="60"/>
              <w:right w:type="dxa" w:w="110"/>
            </w:tcMar>
            <w:vAlign w:val="center"/>
          </w:tcPr>
          <w:p>
            <w:pPr>
              <w:jc w:val="left"/>
            </w:pPr>
            <w:r>
              <w:rPr>
                <w:b/>
                <w:bCs/>
              </w:rPr>
              <w:t xml:space="preserve">Statut</w:t>
            </w:r>
          </w:p>
        </w:tc>
        <w:tc>
          <w:tcPr>
            <w:tcW w:type="dxa" w:w="3120"/>
            <w:tcMar>
              <w:top w:type="dxa" w:w="60"/>
              <w:left w:type="dxa" w:w="110"/>
              <w:bottom w:type="dxa" w:w="60"/>
              <w:right w:type="dxa" w:w="110"/>
            </w:tcMar>
            <w:vAlign w:val="center"/>
          </w:tcPr>
          <w:p>
            <w:pPr>
              <w:jc w:val="left"/>
            </w:pPr>
            <w:r>
              <w:rPr>
                <w:b/>
                <w:bCs/>
                <w:color w:val="548235"/>
              </w:rPr>
              <w:t xml:space="preserve">CORRIGÉ</w:t>
            </w:r>
          </w:p>
        </w:tc>
      </w:tr>
      <w:tr>
        <w:tc>
          <w:tcPr>
            <w:tcW w:type="dxa" w:w="1560"/>
            <w:shd w:fill="D9E2F3" w:val="clear"/>
            <w:tcMar>
              <w:top w:type="dxa" w:w="60"/>
              <w:left w:type="dxa" w:w="110"/>
              <w:bottom w:type="dxa" w:w="60"/>
              <w:right w:type="dxa" w:w="110"/>
            </w:tcMar>
            <w:vAlign w:val="center"/>
          </w:tcPr>
          <w:p>
            <w:pPr>
              <w:jc w:val="left"/>
            </w:pPr>
            <w:r>
              <w:rPr>
                <w:b/>
                <w:bCs/>
              </w:rPr>
              <w:t xml:space="preserve">CWE</w:t>
            </w:r>
          </w:p>
        </w:tc>
        <w:tc>
          <w:tcPr>
            <w:tcW w:type="dxa" w:w="3120"/>
            <w:tcMar>
              <w:top w:type="dxa" w:w="60"/>
              <w:left w:type="dxa" w:w="110"/>
              <w:bottom w:type="dxa" w:w="60"/>
              <w:right w:type="dxa" w:w="110"/>
            </w:tcMar>
            <w:vAlign w:val="center"/>
          </w:tcPr>
          <w:p>
            <w:pPr>
              <w:jc w:val="left"/>
            </w:pPr>
            <w:r>
              <w:t xml:space="preserve">CWE-312 / CWE-532</w:t>
            </w:r>
          </w:p>
        </w:tc>
        <w:tc>
          <w:tcPr>
            <w:tcW w:type="dxa" w:w="1560"/>
            <w:shd w:fill="D9E2F3" w:val="clear"/>
            <w:tcMar>
              <w:top w:type="dxa" w:w="60"/>
              <w:left w:type="dxa" w:w="110"/>
              <w:bottom w:type="dxa" w:w="60"/>
              <w:right w:type="dxa" w:w="110"/>
            </w:tcMar>
            <w:vAlign w:val="center"/>
          </w:tcPr>
          <w:p>
            <w:pPr>
              <w:jc w:val="left"/>
            </w:pPr>
            <w:r>
              <w:rPr>
                <w:b/>
                <w:bCs/>
              </w:rPr>
              <w:t xml:space="preserve">OWASP</w:t>
            </w:r>
          </w:p>
        </w:tc>
        <w:tc>
          <w:tcPr>
            <w:tcW w:type="dxa" w:w="3120"/>
            <w:tcMar>
              <w:top w:type="dxa" w:w="60"/>
              <w:left w:type="dxa" w:w="110"/>
              <w:bottom w:type="dxa" w:w="60"/>
              <w:right w:type="dxa" w:w="110"/>
            </w:tcMar>
            <w:vAlign w:val="center"/>
          </w:tcPr>
          <w:p>
            <w:pPr>
              <w:jc w:val="left"/>
            </w:pPr>
            <w:r>
              <w:t xml:space="preserve">A02:2021</w:t>
            </w:r>
          </w:p>
        </w:tc>
      </w:tr>
      <w:tr>
        <w:tc>
          <w:tcPr>
            <w:tcW w:type="dxa" w:w="1560"/>
            <w:shd w:fill="D9E2F3" w:val="clear"/>
            <w:tcMar>
              <w:top w:type="dxa" w:w="60"/>
              <w:left w:type="dxa" w:w="110"/>
              <w:bottom w:type="dxa" w:w="60"/>
              <w:right w:type="dxa" w:w="110"/>
            </w:tcMar>
            <w:vAlign w:val="center"/>
          </w:tcPr>
          <w:p>
            <w:pPr>
              <w:jc w:val="left"/>
            </w:pPr>
            <w:r>
              <w:rPr>
                <w:b/>
                <w:bCs/>
              </w:rPr>
              <w:t xml:space="preserve">Fichier(s)</w:t>
            </w:r>
          </w:p>
        </w:tc>
        <w:tc>
          <w:tcPr>
            <w:tcW w:type="dxa" w:w="7800"/>
            <w:gridSpan w:val="3"/>
            <w:tcMar>
              <w:top w:type="dxa" w:w="60"/>
              <w:left w:type="dxa" w:w="110"/>
              <w:bottom w:type="dxa" w:w="60"/>
              <w:right w:type="dxa" w:w="110"/>
            </w:tcMar>
          </w:tcPr>
          <w:p>
            <w:r>
              <w:rPr>
                <w:rFonts w:ascii="Consolas" w:cs="Consolas" w:eastAsia="Consolas" w:hAnsi="Consolas"/>
                <w:sz w:val="18"/>
                <w:szCs w:val="18"/>
              </w:rPr>
              <w:t xml:space="preserve">src/app/api/admin/sso-config/route.ts · .../password-policy/route.ts</w:t>
            </w:r>
          </w:p>
        </w:tc>
      </w:tr>
    </w:tbl>
    <w:p>
      <w:pPr>
        <w:spacing w:after="80"/>
      </w:pPr>
      <w:r>
        <w:t xml:space="preserve"/>
      </w:r>
    </w:p>
    <w:p>
      <w:r>
        <w:rPr>
          <w:b/>
          <w:bCs/>
        </w:rPr>
        <w:t xml:space="preserve">Observation. </w:t>
      </w:r>
      <w:r>
        <w:t xml:space="preserve">oidcClientSecret, smsApiKey et smsApiSecret étaient persistés en clair en base ; de plus le PUT password-policy journalisait ces secrets SMS en clair dans la table AuditLog.</w:t>
      </w:r>
    </w:p>
    <w:p>
      <w:r>
        <w:rPr>
          <w:b/>
          <w:bCs/>
          <w:color w:val="548235"/>
        </w:rPr>
        <w:t xml:space="preserve">Correctif appliqué. </w:t>
      </w:r>
      <w:r>
        <w:t xml:space="preserve">Nouveau module AES-256-GCM src/lib/secret-crypto.ts (chiffrement à l’écriture, déchiffrement transparent à la lecture, rétro-compatible avec les valeurs en clair existantes — sans migration de schéma). Secrets masqués avant journalisation via src/lib/audit-redact.ts. Clé via SECRETS_ENCRYPTION_KEY (repli NEXTAUTH_SECRET). 10 tests ajoutés (crypto + redaction).</w:t>
      </w:r>
    </w:p>
    <w:p>
      <w:pPr>
        <w:spacing w:after="80"/>
      </w:pPr>
      <w:r>
        <w:t xml:space="preserve"/>
      </w:r>
    </w:p>
    <w:p>
      <w:pPr>
        <w:pStyle w:val="Heading3"/>
      </w:pPr>
      <w:r>
        <w:t xml:space="preserve">F003 — Anti-brute-force / rate-limiting contournable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560"/>
        <w:gridCol w:w="3120"/>
        <w:gridCol w:w="1560"/>
        <w:gridCol w:w="3120"/>
      </w:tblGrid>
      <w:tr>
        <w:tc>
          <w:tcPr>
            <w:tcW w:type="dxa" w:w="1560"/>
            <w:shd w:fill="D9E2F3" w:val="clear"/>
            <w:tcMar>
              <w:top w:type="dxa" w:w="60"/>
              <w:left w:type="dxa" w:w="110"/>
              <w:bottom w:type="dxa" w:w="60"/>
              <w:right w:type="dxa" w:w="110"/>
            </w:tcMar>
            <w:vAlign w:val="center"/>
          </w:tcPr>
          <w:p>
            <w:pPr>
              <w:jc w:val="left"/>
            </w:pPr>
            <w:r>
              <w:rPr>
                <w:b/>
                <w:bCs/>
              </w:rPr>
              <w:t xml:space="preserve">Sévérité</w:t>
            </w:r>
          </w:p>
        </w:tc>
        <w:tc>
          <w:tcPr>
            <w:tcW w:type="dxa" w:w="3120"/>
            <w:tcMar>
              <w:top w:type="dxa" w:w="60"/>
              <w:left w:type="dxa" w:w="110"/>
              <w:bottom w:type="dxa" w:w="60"/>
              <w:right w:type="dxa" w:w="110"/>
            </w:tcMar>
            <w:vAlign w:val="center"/>
          </w:tcPr>
          <w:p>
            <w:pPr>
              <w:jc w:val="left"/>
            </w:pPr>
            <w:r>
              <w:rPr>
                <w:b/>
                <w:bCs/>
                <w:color w:val="C55A11"/>
              </w:rPr>
              <w:t xml:space="preserve">MEDIUM — CVSS 5.3</w:t>
            </w:r>
          </w:p>
        </w:tc>
        <w:tc>
          <w:tcPr>
            <w:tcW w:type="dxa" w:w="1560"/>
            <w:shd w:fill="D9E2F3" w:val="clear"/>
            <w:tcMar>
              <w:top w:type="dxa" w:w="60"/>
              <w:left w:type="dxa" w:w="110"/>
              <w:bottom w:type="dxa" w:w="60"/>
              <w:right w:type="dxa" w:w="110"/>
            </w:tcMar>
            <w:vAlign w:val="center"/>
          </w:tcPr>
          <w:p>
            <w:pPr>
              <w:jc w:val="left"/>
            </w:pPr>
            <w:r>
              <w:rPr>
                <w:b/>
                <w:bCs/>
              </w:rPr>
              <w:t xml:space="preserve">Statut</w:t>
            </w:r>
          </w:p>
        </w:tc>
        <w:tc>
          <w:tcPr>
            <w:tcW w:type="dxa" w:w="3120"/>
            <w:tcMar>
              <w:top w:type="dxa" w:w="60"/>
              <w:left w:type="dxa" w:w="110"/>
              <w:bottom w:type="dxa" w:w="60"/>
              <w:right w:type="dxa" w:w="110"/>
            </w:tcMar>
            <w:vAlign w:val="center"/>
          </w:tcPr>
          <w:p>
            <w:pPr>
              <w:jc w:val="left"/>
            </w:pPr>
            <w:r>
              <w:rPr>
                <w:b/>
                <w:bCs/>
                <w:color w:val="BF8F00"/>
              </w:rPr>
              <w:t xml:space="preserve">À TRAITER (ops)</w:t>
            </w:r>
          </w:p>
        </w:tc>
      </w:tr>
      <w:tr>
        <w:tc>
          <w:tcPr>
            <w:tcW w:type="dxa" w:w="1560"/>
            <w:shd w:fill="D9E2F3" w:val="clear"/>
            <w:tcMar>
              <w:top w:type="dxa" w:w="60"/>
              <w:left w:type="dxa" w:w="110"/>
              <w:bottom w:type="dxa" w:w="60"/>
              <w:right w:type="dxa" w:w="110"/>
            </w:tcMar>
            <w:vAlign w:val="center"/>
          </w:tcPr>
          <w:p>
            <w:pPr>
              <w:jc w:val="left"/>
            </w:pPr>
            <w:r>
              <w:rPr>
                <w:b/>
                <w:bCs/>
              </w:rPr>
              <w:t xml:space="preserve">CWE</w:t>
            </w:r>
          </w:p>
        </w:tc>
        <w:tc>
          <w:tcPr>
            <w:tcW w:type="dxa" w:w="3120"/>
            <w:tcMar>
              <w:top w:type="dxa" w:w="60"/>
              <w:left w:type="dxa" w:w="110"/>
              <w:bottom w:type="dxa" w:w="60"/>
              <w:right w:type="dxa" w:w="110"/>
            </w:tcMar>
            <w:vAlign w:val="center"/>
          </w:tcPr>
          <w:p>
            <w:pPr>
              <w:jc w:val="left"/>
            </w:pPr>
            <w:r>
              <w:t xml:space="preserve">CWE-290 / CWE-307</w:t>
            </w:r>
          </w:p>
        </w:tc>
        <w:tc>
          <w:tcPr>
            <w:tcW w:type="dxa" w:w="1560"/>
            <w:shd w:fill="D9E2F3" w:val="clear"/>
            <w:tcMar>
              <w:top w:type="dxa" w:w="60"/>
              <w:left w:type="dxa" w:w="110"/>
              <w:bottom w:type="dxa" w:w="60"/>
              <w:right w:type="dxa" w:w="110"/>
            </w:tcMar>
            <w:vAlign w:val="center"/>
          </w:tcPr>
          <w:p>
            <w:pPr>
              <w:jc w:val="left"/>
            </w:pPr>
            <w:r>
              <w:rPr>
                <w:b/>
                <w:bCs/>
              </w:rPr>
              <w:t xml:space="preserve">OWASP</w:t>
            </w:r>
          </w:p>
        </w:tc>
        <w:tc>
          <w:tcPr>
            <w:tcW w:type="dxa" w:w="3120"/>
            <w:tcMar>
              <w:top w:type="dxa" w:w="60"/>
              <w:left w:type="dxa" w:w="110"/>
              <w:bottom w:type="dxa" w:w="60"/>
              <w:right w:type="dxa" w:w="110"/>
            </w:tcMar>
            <w:vAlign w:val="center"/>
          </w:tcPr>
          <w:p>
            <w:pPr>
              <w:jc w:val="left"/>
            </w:pPr>
            <w:r>
              <w:t xml:space="preserve">A07:2021</w:t>
            </w:r>
          </w:p>
        </w:tc>
      </w:tr>
      <w:tr>
        <w:tc>
          <w:tcPr>
            <w:tcW w:type="dxa" w:w="1560"/>
            <w:shd w:fill="D9E2F3" w:val="clear"/>
            <w:tcMar>
              <w:top w:type="dxa" w:w="60"/>
              <w:left w:type="dxa" w:w="110"/>
              <w:bottom w:type="dxa" w:w="60"/>
              <w:right w:type="dxa" w:w="110"/>
            </w:tcMar>
            <w:vAlign w:val="center"/>
          </w:tcPr>
          <w:p>
            <w:pPr>
              <w:jc w:val="left"/>
            </w:pPr>
            <w:r>
              <w:rPr>
                <w:b/>
                <w:bCs/>
              </w:rPr>
              <w:t xml:space="preserve">Fichier(s)</w:t>
            </w:r>
          </w:p>
        </w:tc>
        <w:tc>
          <w:tcPr>
            <w:tcW w:type="dxa" w:w="7800"/>
            <w:gridSpan w:val="3"/>
            <w:tcMar>
              <w:top w:type="dxa" w:w="60"/>
              <w:left w:type="dxa" w:w="110"/>
              <w:bottom w:type="dxa" w:w="60"/>
              <w:right w:type="dxa" w:w="110"/>
            </w:tcMar>
          </w:tcPr>
          <w:p>
            <w:r>
              <w:rPr>
                <w:rFonts w:ascii="Consolas" w:cs="Consolas" w:eastAsia="Consolas" w:hAnsi="Consolas"/>
                <w:sz w:val="18"/>
                <w:szCs w:val="18"/>
              </w:rPr>
              <w:t xml:space="preserve">src/lib/logger.ts · src/lib/auth.ts · src/app/api/auth/register/route.ts</w:t>
            </w:r>
          </w:p>
        </w:tc>
      </w:tr>
    </w:tbl>
    <w:p>
      <w:pPr>
        <w:spacing w:after="80"/>
      </w:pPr>
      <w:r>
        <w:t xml:space="preserve"/>
      </w:r>
    </w:p>
    <w:p>
      <w:r>
        <w:rPr>
          <w:b/>
          <w:bCs/>
        </w:rPr>
        <w:t xml:space="preserve">Observation. </w:t>
      </w:r>
      <w:r>
        <w:t xml:space="preserve">L’IP provient de X-Forwarded-For (falsifiable) → contournement des limites par IP et empoisonnement de l’audit trail. Le rate-limit de login est par email uniquement (pas d’IP). Les stores rate-limit et lockout sont in-memory (non distribués).</w:t>
      </w:r>
    </w:p>
    <w:p>
      <w:r>
        <w:rPr>
          <w:b/>
          <w:bCs/>
          <w:color w:val="1F3864"/>
        </w:rPr>
        <w:t xml:space="preserve">Recommandation. </w:t>
      </w:r>
      <w:r>
        <w:t xml:space="preserve">Annoté dans le code. Correctif en grande partie ops/config : dépend de la topologie de proxy de confiance (quel hop) et nécessite un store Redis en multi-instance. À cadrer selon le déploiement.</w:t>
      </w:r>
    </w:p>
    <w:p>
      <w:pPr>
        <w:spacing w:after="80"/>
      </w:pPr>
      <w:r>
        <w:t xml:space="preserve"/>
      </w:r>
    </w:p>
    <w:p>
      <w:pPr>
        <w:pStyle w:val="Heading3"/>
      </w:pPr>
      <w:r>
        <w:t xml:space="preserve">F006 — Assignation de masse partielle (sauvegarde des ateliers)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560"/>
        <w:gridCol w:w="3120"/>
        <w:gridCol w:w="1560"/>
        <w:gridCol w:w="3120"/>
      </w:tblGrid>
      <w:tr>
        <w:tc>
          <w:tcPr>
            <w:tcW w:type="dxa" w:w="1560"/>
            <w:shd w:fill="D9E2F3" w:val="clear"/>
            <w:tcMar>
              <w:top w:type="dxa" w:w="60"/>
              <w:left w:type="dxa" w:w="110"/>
              <w:bottom w:type="dxa" w:w="60"/>
              <w:right w:type="dxa" w:w="110"/>
            </w:tcMar>
            <w:vAlign w:val="center"/>
          </w:tcPr>
          <w:p>
            <w:pPr>
              <w:jc w:val="left"/>
            </w:pPr>
            <w:r>
              <w:rPr>
                <w:b/>
                <w:bCs/>
              </w:rPr>
              <w:t xml:space="preserve">Sévérité</w:t>
            </w:r>
          </w:p>
        </w:tc>
        <w:tc>
          <w:tcPr>
            <w:tcW w:type="dxa" w:w="3120"/>
            <w:tcMar>
              <w:top w:type="dxa" w:w="60"/>
              <w:left w:type="dxa" w:w="110"/>
              <w:bottom w:type="dxa" w:w="60"/>
              <w:right w:type="dxa" w:w="110"/>
            </w:tcMar>
            <w:vAlign w:val="center"/>
          </w:tcPr>
          <w:p>
            <w:pPr>
              <w:jc w:val="left"/>
            </w:pPr>
            <w:r>
              <w:rPr>
                <w:b/>
                <w:bCs/>
                <w:color w:val="BF8F00"/>
              </w:rPr>
              <w:t xml:space="preserve">LOW — CVSS 4.3</w:t>
            </w:r>
          </w:p>
        </w:tc>
        <w:tc>
          <w:tcPr>
            <w:tcW w:type="dxa" w:w="1560"/>
            <w:shd w:fill="D9E2F3" w:val="clear"/>
            <w:tcMar>
              <w:top w:type="dxa" w:w="60"/>
              <w:left w:type="dxa" w:w="110"/>
              <w:bottom w:type="dxa" w:w="60"/>
              <w:right w:type="dxa" w:w="110"/>
            </w:tcMar>
            <w:vAlign w:val="center"/>
          </w:tcPr>
          <w:p>
            <w:pPr>
              <w:jc w:val="left"/>
            </w:pPr>
            <w:r>
              <w:rPr>
                <w:b/>
                <w:bCs/>
              </w:rPr>
              <w:t xml:space="preserve">Statut</w:t>
            </w:r>
          </w:p>
        </w:tc>
        <w:tc>
          <w:tcPr>
            <w:tcW w:type="dxa" w:w="3120"/>
            <w:tcMar>
              <w:top w:type="dxa" w:w="60"/>
              <w:left w:type="dxa" w:w="110"/>
              <w:bottom w:type="dxa" w:w="60"/>
              <w:right w:type="dxa" w:w="110"/>
            </w:tcMar>
            <w:vAlign w:val="center"/>
          </w:tcPr>
          <w:p>
            <w:pPr>
              <w:jc w:val="left"/>
            </w:pPr>
            <w:r>
              <w:rPr>
                <w:b/>
                <w:bCs/>
                <w:color w:val="548235"/>
              </w:rPr>
              <w:t xml:space="preserve">CORRIGÉ</w:t>
            </w:r>
          </w:p>
        </w:tc>
      </w:tr>
      <w:tr>
        <w:tc>
          <w:tcPr>
            <w:tcW w:type="dxa" w:w="1560"/>
            <w:shd w:fill="D9E2F3" w:val="clear"/>
            <w:tcMar>
              <w:top w:type="dxa" w:w="60"/>
              <w:left w:type="dxa" w:w="110"/>
              <w:bottom w:type="dxa" w:w="60"/>
              <w:right w:type="dxa" w:w="110"/>
            </w:tcMar>
            <w:vAlign w:val="center"/>
          </w:tcPr>
          <w:p>
            <w:pPr>
              <w:jc w:val="left"/>
            </w:pPr>
            <w:r>
              <w:rPr>
                <w:b/>
                <w:bCs/>
              </w:rPr>
              <w:t xml:space="preserve">CWE</w:t>
            </w:r>
          </w:p>
        </w:tc>
        <w:tc>
          <w:tcPr>
            <w:tcW w:type="dxa" w:w="3120"/>
            <w:tcMar>
              <w:top w:type="dxa" w:w="60"/>
              <w:left w:type="dxa" w:w="110"/>
              <w:bottom w:type="dxa" w:w="60"/>
              <w:right w:type="dxa" w:w="110"/>
            </w:tcMar>
            <w:vAlign w:val="center"/>
          </w:tcPr>
          <w:p>
            <w:pPr>
              <w:jc w:val="left"/>
            </w:pPr>
            <w:r>
              <w:t xml:space="preserve">CWE-915</w:t>
            </w:r>
          </w:p>
        </w:tc>
        <w:tc>
          <w:tcPr>
            <w:tcW w:type="dxa" w:w="1560"/>
            <w:shd w:fill="D9E2F3" w:val="clear"/>
            <w:tcMar>
              <w:top w:type="dxa" w:w="60"/>
              <w:left w:type="dxa" w:w="110"/>
              <w:bottom w:type="dxa" w:w="60"/>
              <w:right w:type="dxa" w:w="110"/>
            </w:tcMar>
            <w:vAlign w:val="center"/>
          </w:tcPr>
          <w:p>
            <w:pPr>
              <w:jc w:val="left"/>
            </w:pPr>
            <w:r>
              <w:rPr>
                <w:b/>
                <w:bCs/>
              </w:rPr>
              <w:t xml:space="preserve">OWASP</w:t>
            </w:r>
          </w:p>
        </w:tc>
        <w:tc>
          <w:tcPr>
            <w:tcW w:type="dxa" w:w="3120"/>
            <w:tcMar>
              <w:top w:type="dxa" w:w="60"/>
              <w:left w:type="dxa" w:w="110"/>
              <w:bottom w:type="dxa" w:w="60"/>
              <w:right w:type="dxa" w:w="110"/>
            </w:tcMar>
            <w:vAlign w:val="center"/>
          </w:tcPr>
          <w:p>
            <w:pPr>
              <w:jc w:val="left"/>
            </w:pPr>
            <w:r>
              <w:t xml:space="preserve">A08:2021</w:t>
            </w:r>
          </w:p>
        </w:tc>
      </w:tr>
      <w:tr>
        <w:tc>
          <w:tcPr>
            <w:tcW w:type="dxa" w:w="1560"/>
            <w:shd w:fill="D9E2F3" w:val="clear"/>
            <w:tcMar>
              <w:top w:type="dxa" w:w="60"/>
              <w:left w:type="dxa" w:w="110"/>
              <w:bottom w:type="dxa" w:w="60"/>
              <w:right w:type="dxa" w:w="110"/>
            </w:tcMar>
            <w:vAlign w:val="center"/>
          </w:tcPr>
          <w:p>
            <w:pPr>
              <w:jc w:val="left"/>
            </w:pPr>
            <w:r>
              <w:rPr>
                <w:b/>
                <w:bCs/>
              </w:rPr>
              <w:t xml:space="preserve">Fichier(s)</w:t>
            </w:r>
          </w:p>
        </w:tc>
        <w:tc>
          <w:tcPr>
            <w:tcW w:type="dxa" w:w="7800"/>
            <w:gridSpan w:val="3"/>
            <w:tcMar>
              <w:top w:type="dxa" w:w="60"/>
              <w:left w:type="dxa" w:w="110"/>
              <w:bottom w:type="dxa" w:w="60"/>
              <w:right w:type="dxa" w:w="110"/>
            </w:tcMar>
          </w:tcPr>
          <w:p>
            <w:r>
              <w:rPr>
                <w:rFonts w:ascii="Consolas" w:cs="Consolas" w:eastAsia="Consolas" w:hAnsi="Consolas"/>
                <w:sz w:val="18"/>
                <w:szCs w:val="18"/>
              </w:rPr>
              <w:t xml:space="preserve">src/app/api/analyses/[id]/workshop/[num]/route.ts</w:t>
            </w:r>
          </w:p>
        </w:tc>
      </w:tr>
    </w:tbl>
    <w:p>
      <w:pPr>
        <w:spacing w:after="80"/>
      </w:pPr>
      <w:r>
        <w:t xml:space="preserve"/>
      </w:r>
    </w:p>
    <w:p>
      <w:r>
        <w:rPr>
          <w:b/>
          <w:bCs/>
        </w:rPr>
        <w:t xml:space="preserve">Observation. </w:t>
      </w:r>
      <w:r>
        <w:t xml:space="preserve">Les ateliers A2/A3/A4 retiraient quelques champs UI puis passaient le reste de l’objet client à Prisma (spread ...rest), contrairement à A5 et à l’import qui appliquent une allowlist. Impact borné (Prisma rejette les champs inconnus) mais durcissement incohérent.</w:t>
      </w:r>
    </w:p>
    <w:p>
      <w:r>
        <w:rPr>
          <w:b/>
          <w:bCs/>
          <w:color w:val="548235"/>
        </w:rPr>
        <w:t xml:space="preserve">Correctif appliqué. </w:t>
      </w:r>
      <w:r>
        <w:t xml:space="preserve">Extraction d’un module allowlist src/lib/workshop-sanitize.ts (champs du schéma uniquement, typés et bornés) appliqué à A2/A3/A4. Test réécrit pour importer le vrai module + cas de mass-assignment rejetée. 12 tests.</w:t>
      </w:r>
    </w:p>
    <w:p>
      <w:pPr>
        <w:spacing w:after="80"/>
      </w:pPr>
      <w:r>
        <w:t xml:space="preserve"/>
      </w:r>
    </w:p>
    <w:p>
      <w:pPr>
        <w:pStyle w:val="Heading3"/>
      </w:pPr>
      <w:r>
        <w:t xml:space="preserve">F007 — Injection de prompt (suggestions IA)</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560"/>
        <w:gridCol w:w="3120"/>
        <w:gridCol w:w="1560"/>
        <w:gridCol w:w="3120"/>
      </w:tblGrid>
      <w:tr>
        <w:tc>
          <w:tcPr>
            <w:tcW w:type="dxa" w:w="1560"/>
            <w:shd w:fill="D9E2F3" w:val="clear"/>
            <w:tcMar>
              <w:top w:type="dxa" w:w="60"/>
              <w:left w:type="dxa" w:w="110"/>
              <w:bottom w:type="dxa" w:w="60"/>
              <w:right w:type="dxa" w:w="110"/>
            </w:tcMar>
            <w:vAlign w:val="center"/>
          </w:tcPr>
          <w:p>
            <w:pPr>
              <w:jc w:val="left"/>
            </w:pPr>
            <w:r>
              <w:rPr>
                <w:b/>
                <w:bCs/>
              </w:rPr>
              <w:t xml:space="preserve">Sévérité</w:t>
            </w:r>
          </w:p>
        </w:tc>
        <w:tc>
          <w:tcPr>
            <w:tcW w:type="dxa" w:w="3120"/>
            <w:tcMar>
              <w:top w:type="dxa" w:w="60"/>
              <w:left w:type="dxa" w:w="110"/>
              <w:bottom w:type="dxa" w:w="60"/>
              <w:right w:type="dxa" w:w="110"/>
            </w:tcMar>
            <w:vAlign w:val="center"/>
          </w:tcPr>
          <w:p>
            <w:pPr>
              <w:jc w:val="left"/>
            </w:pPr>
            <w:r>
              <w:rPr>
                <w:b/>
                <w:bCs/>
                <w:color w:val="BF8F00"/>
              </w:rPr>
              <w:t xml:space="preserve">LOW — CVSS 3.5</w:t>
            </w:r>
          </w:p>
        </w:tc>
        <w:tc>
          <w:tcPr>
            <w:tcW w:type="dxa" w:w="1560"/>
            <w:shd w:fill="D9E2F3" w:val="clear"/>
            <w:tcMar>
              <w:top w:type="dxa" w:w="60"/>
              <w:left w:type="dxa" w:w="110"/>
              <w:bottom w:type="dxa" w:w="60"/>
              <w:right w:type="dxa" w:w="110"/>
            </w:tcMar>
            <w:vAlign w:val="center"/>
          </w:tcPr>
          <w:p>
            <w:pPr>
              <w:jc w:val="left"/>
            </w:pPr>
            <w:r>
              <w:rPr>
                <w:b/>
                <w:bCs/>
              </w:rPr>
              <w:t xml:space="preserve">Statut</w:t>
            </w:r>
          </w:p>
        </w:tc>
        <w:tc>
          <w:tcPr>
            <w:tcW w:type="dxa" w:w="3120"/>
            <w:tcMar>
              <w:top w:type="dxa" w:w="60"/>
              <w:left w:type="dxa" w:w="110"/>
              <w:bottom w:type="dxa" w:w="60"/>
              <w:right w:type="dxa" w:w="110"/>
            </w:tcMar>
            <w:vAlign w:val="center"/>
          </w:tcPr>
          <w:p>
            <w:pPr>
              <w:jc w:val="left"/>
            </w:pPr>
            <w:r>
              <w:rPr>
                <w:b/>
                <w:bCs/>
                <w:color w:val="548235"/>
              </w:rPr>
              <w:t xml:space="preserve">ATTÉNUÉ</w:t>
            </w:r>
          </w:p>
        </w:tc>
      </w:tr>
      <w:tr>
        <w:tc>
          <w:tcPr>
            <w:tcW w:type="dxa" w:w="1560"/>
            <w:shd w:fill="D9E2F3" w:val="clear"/>
            <w:tcMar>
              <w:top w:type="dxa" w:w="60"/>
              <w:left w:type="dxa" w:w="110"/>
              <w:bottom w:type="dxa" w:w="60"/>
              <w:right w:type="dxa" w:w="110"/>
            </w:tcMar>
            <w:vAlign w:val="center"/>
          </w:tcPr>
          <w:p>
            <w:pPr>
              <w:jc w:val="left"/>
            </w:pPr>
            <w:r>
              <w:rPr>
                <w:b/>
                <w:bCs/>
              </w:rPr>
              <w:t xml:space="preserve">CWE</w:t>
            </w:r>
          </w:p>
        </w:tc>
        <w:tc>
          <w:tcPr>
            <w:tcW w:type="dxa" w:w="3120"/>
            <w:tcMar>
              <w:top w:type="dxa" w:w="60"/>
              <w:left w:type="dxa" w:w="110"/>
              <w:bottom w:type="dxa" w:w="60"/>
              <w:right w:type="dxa" w:w="110"/>
            </w:tcMar>
            <w:vAlign w:val="center"/>
          </w:tcPr>
          <w:p>
            <w:pPr>
              <w:jc w:val="left"/>
            </w:pPr>
            <w:r>
              <w:t xml:space="preserve">CWE-1427</w:t>
            </w:r>
          </w:p>
        </w:tc>
        <w:tc>
          <w:tcPr>
            <w:tcW w:type="dxa" w:w="1560"/>
            <w:shd w:fill="D9E2F3" w:val="clear"/>
            <w:tcMar>
              <w:top w:type="dxa" w:w="60"/>
              <w:left w:type="dxa" w:w="110"/>
              <w:bottom w:type="dxa" w:w="60"/>
              <w:right w:type="dxa" w:w="110"/>
            </w:tcMar>
            <w:vAlign w:val="center"/>
          </w:tcPr>
          <w:p>
            <w:pPr>
              <w:jc w:val="left"/>
            </w:pPr>
            <w:r>
              <w:rPr>
                <w:b/>
                <w:bCs/>
              </w:rPr>
              <w:t xml:space="preserve">OWASP</w:t>
            </w:r>
          </w:p>
        </w:tc>
        <w:tc>
          <w:tcPr>
            <w:tcW w:type="dxa" w:w="3120"/>
            <w:tcMar>
              <w:top w:type="dxa" w:w="60"/>
              <w:left w:type="dxa" w:w="110"/>
              <w:bottom w:type="dxa" w:w="60"/>
              <w:right w:type="dxa" w:w="110"/>
            </w:tcMar>
            <w:vAlign w:val="center"/>
          </w:tcPr>
          <w:p>
            <w:pPr>
              <w:jc w:val="left"/>
            </w:pPr>
            <w:r>
              <w:t xml:space="preserve">LLM01</w:t>
            </w:r>
          </w:p>
        </w:tc>
      </w:tr>
      <w:tr>
        <w:tc>
          <w:tcPr>
            <w:tcW w:type="dxa" w:w="1560"/>
            <w:shd w:fill="D9E2F3" w:val="clear"/>
            <w:tcMar>
              <w:top w:type="dxa" w:w="60"/>
              <w:left w:type="dxa" w:w="110"/>
              <w:bottom w:type="dxa" w:w="60"/>
              <w:right w:type="dxa" w:w="110"/>
            </w:tcMar>
            <w:vAlign w:val="center"/>
          </w:tcPr>
          <w:p>
            <w:pPr>
              <w:jc w:val="left"/>
            </w:pPr>
            <w:r>
              <w:rPr>
                <w:b/>
                <w:bCs/>
              </w:rPr>
              <w:t xml:space="preserve">Fichier(s)</w:t>
            </w:r>
          </w:p>
        </w:tc>
        <w:tc>
          <w:tcPr>
            <w:tcW w:type="dxa" w:w="7800"/>
            <w:gridSpan w:val="3"/>
            <w:tcMar>
              <w:top w:type="dxa" w:w="60"/>
              <w:left w:type="dxa" w:w="110"/>
              <w:bottom w:type="dxa" w:w="60"/>
              <w:right w:type="dxa" w:w="110"/>
            </w:tcMar>
          </w:tcPr>
          <w:p>
            <w:r>
              <w:rPr>
                <w:rFonts w:ascii="Consolas" w:cs="Consolas" w:eastAsia="Consolas" w:hAnsi="Consolas"/>
                <w:sz w:val="18"/>
                <w:szCs w:val="18"/>
              </w:rPr>
              <w:t xml:space="preserve">src/app/api/ai-suggest/route.ts</w:t>
            </w:r>
          </w:p>
        </w:tc>
      </w:tr>
    </w:tbl>
    <w:p>
      <w:pPr>
        <w:spacing w:after="80"/>
      </w:pPr>
      <w:r>
        <w:t xml:space="preserve"/>
      </w:r>
    </w:p>
    <w:p>
      <w:r>
        <w:rPr>
          <w:b/>
          <w:bCs/>
        </w:rPr>
        <w:t xml:space="preserve">Observation. </w:t>
      </w:r>
      <w:r>
        <w:t xml:space="preserve">contexte et question (contrôlés par l’utilisateur) étaient interpolés directement dans le prompt envoyé au modèle, permettant un détournement ("ignore les instructions…") ou un gaspillage de budget. Impact limité (réponse au même utilisateur, tailles bornées, rate-limit IA).</w:t>
      </w:r>
    </w:p>
    <w:p>
      <w:r>
        <w:rPr>
          <w:b/>
          <w:bCs/>
          <w:color w:val="548235"/>
        </w:rPr>
        <w:t xml:space="preserve">Correctif appliqué. </w:t>
      </w:r>
      <w:r>
        <w:t xml:space="preserve">Données utilisateur sorties du system prompt et placées dans des blocs balisés &lt;contexte_organisation&gt;/&lt;question_analyste&gt;, avec une règle explicite instruisant le modèle de traiter ces blocs comme des données et jamais comme des instructions.</w:t>
      </w:r>
    </w:p>
    <w:p>
      <w:pPr>
        <w:spacing w:after="80"/>
      </w:pPr>
      <w:r>
        <w:t xml:space="preserve"/>
      </w:r>
    </w:p>
    <w:p>
      <w:pPr>
        <w:pStyle w:val="Heading3"/>
      </w:pPr>
      <w:r>
        <w:t xml:space="preserve">F001 — Secrets réels dupliqués dans la sortie de build</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560"/>
        <w:gridCol w:w="3120"/>
        <w:gridCol w:w="1560"/>
        <w:gridCol w:w="3120"/>
      </w:tblGrid>
      <w:tr>
        <w:tc>
          <w:tcPr>
            <w:tcW w:type="dxa" w:w="1560"/>
            <w:shd w:fill="D9E2F3" w:val="clear"/>
            <w:tcMar>
              <w:top w:type="dxa" w:w="60"/>
              <w:left w:type="dxa" w:w="110"/>
              <w:bottom w:type="dxa" w:w="60"/>
              <w:right w:type="dxa" w:w="110"/>
            </w:tcMar>
            <w:vAlign w:val="center"/>
          </w:tcPr>
          <w:p>
            <w:pPr>
              <w:jc w:val="left"/>
            </w:pPr>
            <w:r>
              <w:rPr>
                <w:b/>
                <w:bCs/>
              </w:rPr>
              <w:t xml:space="preserve">Sévérité</w:t>
            </w:r>
          </w:p>
        </w:tc>
        <w:tc>
          <w:tcPr>
            <w:tcW w:type="dxa" w:w="3120"/>
            <w:tcMar>
              <w:top w:type="dxa" w:w="60"/>
              <w:left w:type="dxa" w:w="110"/>
              <w:bottom w:type="dxa" w:w="60"/>
              <w:right w:type="dxa" w:w="110"/>
            </w:tcMar>
            <w:vAlign w:val="center"/>
          </w:tcPr>
          <w:p>
            <w:pPr>
              <w:jc w:val="left"/>
            </w:pPr>
            <w:r>
              <w:rPr>
                <w:b/>
                <w:bCs/>
                <w:color w:val="C55A11"/>
              </w:rPr>
              <w:t xml:space="preserve">MEDIUM — CVSS 5.5</w:t>
            </w:r>
          </w:p>
        </w:tc>
        <w:tc>
          <w:tcPr>
            <w:tcW w:type="dxa" w:w="1560"/>
            <w:shd w:fill="D9E2F3" w:val="clear"/>
            <w:tcMar>
              <w:top w:type="dxa" w:w="60"/>
              <w:left w:type="dxa" w:w="110"/>
              <w:bottom w:type="dxa" w:w="60"/>
              <w:right w:type="dxa" w:w="110"/>
            </w:tcMar>
            <w:vAlign w:val="center"/>
          </w:tcPr>
          <w:p>
            <w:pPr>
              <w:jc w:val="left"/>
            </w:pPr>
            <w:r>
              <w:rPr>
                <w:b/>
                <w:bCs/>
              </w:rPr>
              <w:t xml:space="preserve">Statut</w:t>
            </w:r>
          </w:p>
        </w:tc>
        <w:tc>
          <w:tcPr>
            <w:tcW w:type="dxa" w:w="3120"/>
            <w:tcMar>
              <w:top w:type="dxa" w:w="60"/>
              <w:left w:type="dxa" w:w="110"/>
              <w:bottom w:type="dxa" w:w="60"/>
              <w:right w:type="dxa" w:w="110"/>
            </w:tcMar>
            <w:vAlign w:val="center"/>
          </w:tcPr>
          <w:p>
            <w:pPr>
              <w:jc w:val="left"/>
            </w:pPr>
            <w:r>
              <w:rPr>
                <w:b/>
                <w:bCs/>
                <w:color w:val="BF8F00"/>
              </w:rPr>
              <w:t xml:space="preserve">À TRAITER (ops)</w:t>
            </w:r>
          </w:p>
        </w:tc>
      </w:tr>
      <w:tr>
        <w:tc>
          <w:tcPr>
            <w:tcW w:type="dxa" w:w="1560"/>
            <w:shd w:fill="D9E2F3" w:val="clear"/>
            <w:tcMar>
              <w:top w:type="dxa" w:w="60"/>
              <w:left w:type="dxa" w:w="110"/>
              <w:bottom w:type="dxa" w:w="60"/>
              <w:right w:type="dxa" w:w="110"/>
            </w:tcMar>
            <w:vAlign w:val="center"/>
          </w:tcPr>
          <w:p>
            <w:pPr>
              <w:jc w:val="left"/>
            </w:pPr>
            <w:r>
              <w:rPr>
                <w:b/>
                <w:bCs/>
              </w:rPr>
              <w:t xml:space="preserve">CWE</w:t>
            </w:r>
          </w:p>
        </w:tc>
        <w:tc>
          <w:tcPr>
            <w:tcW w:type="dxa" w:w="3120"/>
            <w:tcMar>
              <w:top w:type="dxa" w:w="60"/>
              <w:left w:type="dxa" w:w="110"/>
              <w:bottom w:type="dxa" w:w="60"/>
              <w:right w:type="dxa" w:w="110"/>
            </w:tcMar>
            <w:vAlign w:val="center"/>
          </w:tcPr>
          <w:p>
            <w:pPr>
              <w:jc w:val="left"/>
            </w:pPr>
            <w:r>
              <w:t xml:space="preserve">CWE-200 / CWE-538</w:t>
            </w:r>
          </w:p>
        </w:tc>
        <w:tc>
          <w:tcPr>
            <w:tcW w:type="dxa" w:w="1560"/>
            <w:shd w:fill="D9E2F3" w:val="clear"/>
            <w:tcMar>
              <w:top w:type="dxa" w:w="60"/>
              <w:left w:type="dxa" w:w="110"/>
              <w:bottom w:type="dxa" w:w="60"/>
              <w:right w:type="dxa" w:w="110"/>
            </w:tcMar>
            <w:vAlign w:val="center"/>
          </w:tcPr>
          <w:p>
            <w:pPr>
              <w:jc w:val="left"/>
            </w:pPr>
            <w:r>
              <w:rPr>
                <w:b/>
                <w:bCs/>
              </w:rPr>
              <w:t xml:space="preserve">OWASP</w:t>
            </w:r>
          </w:p>
        </w:tc>
        <w:tc>
          <w:tcPr>
            <w:tcW w:type="dxa" w:w="3120"/>
            <w:tcMar>
              <w:top w:type="dxa" w:w="60"/>
              <w:left w:type="dxa" w:w="110"/>
              <w:bottom w:type="dxa" w:w="60"/>
              <w:right w:type="dxa" w:w="110"/>
            </w:tcMar>
            <w:vAlign w:val="center"/>
          </w:tcPr>
          <w:p>
            <w:pPr>
              <w:jc w:val="left"/>
            </w:pPr>
            <w:r>
              <w:t xml:space="preserve">A05:2021</w:t>
            </w:r>
          </w:p>
        </w:tc>
      </w:tr>
      <w:tr>
        <w:tc>
          <w:tcPr>
            <w:tcW w:type="dxa" w:w="1560"/>
            <w:shd w:fill="D9E2F3" w:val="clear"/>
            <w:tcMar>
              <w:top w:type="dxa" w:w="60"/>
              <w:left w:type="dxa" w:w="110"/>
              <w:bottom w:type="dxa" w:w="60"/>
              <w:right w:type="dxa" w:w="110"/>
            </w:tcMar>
            <w:vAlign w:val="center"/>
          </w:tcPr>
          <w:p>
            <w:pPr>
              <w:jc w:val="left"/>
            </w:pPr>
            <w:r>
              <w:rPr>
                <w:b/>
                <w:bCs/>
              </w:rPr>
              <w:t xml:space="preserve">Fichier(s)</w:t>
            </w:r>
          </w:p>
        </w:tc>
        <w:tc>
          <w:tcPr>
            <w:tcW w:type="dxa" w:w="7800"/>
            <w:gridSpan w:val="3"/>
            <w:tcMar>
              <w:top w:type="dxa" w:w="60"/>
              <w:left w:type="dxa" w:w="110"/>
              <w:bottom w:type="dxa" w:w="60"/>
              <w:right w:type="dxa" w:w="110"/>
            </w:tcMar>
          </w:tcPr>
          <w:p>
            <w:r>
              <w:rPr>
                <w:rFonts w:ascii="Consolas" w:cs="Consolas" w:eastAsia="Consolas" w:hAnsi="Consolas"/>
                <w:sz w:val="18"/>
                <w:szCs w:val="18"/>
              </w:rPr>
              <w:t xml:space="preserve">.next/standalone/ebios-rm/.env (généré)</w:t>
            </w:r>
          </w:p>
        </w:tc>
      </w:tr>
    </w:tbl>
    <w:p>
      <w:pPr>
        <w:spacing w:after="80"/>
      </w:pPr>
      <w:r>
        <w:t xml:space="preserve"/>
      </w:r>
    </w:p>
    <w:p>
      <w:r>
        <w:rPr>
          <w:b/>
          <w:bCs/>
        </w:rPr>
        <w:t xml:space="preserve">Observation. </w:t>
      </w:r>
      <w:r>
        <w:t xml:space="preserve">Le fichier .next/standalone/ebios-rm/.env contient les vrais secrets en clair (NEXTAUTH_SECRET, mot de passe Postgres, ANTHROPIC_API_KEY). Atténuation confirmée : .dockerignore exclut .env et .next — l’image Docker ne les contient pas. Risque résiduel : déploiement manuel du dossier standalone, sauvegardes/partages du working tree.</w:t>
      </w:r>
    </w:p>
    <w:p>
      <w:r>
        <w:rPr>
          <w:b/>
          <w:bCs/>
          <w:color w:val="1F3864"/>
        </w:rPr>
        <w:t xml:space="preserve">Recommandation. </w:t>
      </w:r>
      <w:r>
        <w:t xml:space="preserve">Action ops : purger le .env de la sortie de build (post-build), n’injecter les secrets qu’à l’exécution, et faire tourner les 3 secrets s’ils ont pu fuiter.</w:t>
      </w:r>
    </w:p>
    <w:p>
      <w:pPr>
        <w:spacing w:after="80"/>
      </w:pPr>
      <w:r>
        <w:t xml:space="preserve"/>
      </w:r>
    </w:p>
    <w:p>
      <w:pPr>
        <w:pStyle w:val="Heading3"/>
      </w:pPr>
      <w:r>
        <w:t xml:space="preserve">F004 — Inscription anonyme ouverte + premier compte ADMIN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560"/>
        <w:gridCol w:w="3120"/>
        <w:gridCol w:w="1560"/>
        <w:gridCol w:w="3120"/>
      </w:tblGrid>
      <w:tr>
        <w:tc>
          <w:tcPr>
            <w:tcW w:type="dxa" w:w="1560"/>
            <w:shd w:fill="D9E2F3" w:val="clear"/>
            <w:tcMar>
              <w:top w:type="dxa" w:w="60"/>
              <w:left w:type="dxa" w:w="110"/>
              <w:bottom w:type="dxa" w:w="60"/>
              <w:right w:type="dxa" w:w="110"/>
            </w:tcMar>
            <w:vAlign w:val="center"/>
          </w:tcPr>
          <w:p>
            <w:pPr>
              <w:jc w:val="left"/>
            </w:pPr>
            <w:r>
              <w:rPr>
                <w:b/>
                <w:bCs/>
              </w:rPr>
              <w:t xml:space="preserve">Sévérité</w:t>
            </w:r>
          </w:p>
        </w:tc>
        <w:tc>
          <w:tcPr>
            <w:tcW w:type="dxa" w:w="3120"/>
            <w:tcMar>
              <w:top w:type="dxa" w:w="60"/>
              <w:left w:type="dxa" w:w="110"/>
              <w:bottom w:type="dxa" w:w="60"/>
              <w:right w:type="dxa" w:w="110"/>
            </w:tcMar>
            <w:vAlign w:val="center"/>
          </w:tcPr>
          <w:p>
            <w:pPr>
              <w:jc w:val="left"/>
            </w:pPr>
            <w:r>
              <w:rPr>
                <w:b/>
                <w:bCs/>
                <w:color w:val="C55A11"/>
              </w:rPr>
              <w:t xml:space="preserve">MEDIUM — CVSS 6.5</w:t>
            </w:r>
          </w:p>
        </w:tc>
        <w:tc>
          <w:tcPr>
            <w:tcW w:type="dxa" w:w="1560"/>
            <w:shd w:fill="D9E2F3" w:val="clear"/>
            <w:tcMar>
              <w:top w:type="dxa" w:w="60"/>
              <w:left w:type="dxa" w:w="110"/>
              <w:bottom w:type="dxa" w:w="60"/>
              <w:right w:type="dxa" w:w="110"/>
            </w:tcMar>
            <w:vAlign w:val="center"/>
          </w:tcPr>
          <w:p>
            <w:pPr>
              <w:jc w:val="left"/>
            </w:pPr>
            <w:r>
              <w:rPr>
                <w:b/>
                <w:bCs/>
              </w:rPr>
              <w:t xml:space="preserve">Statut</w:t>
            </w:r>
          </w:p>
        </w:tc>
        <w:tc>
          <w:tcPr>
            <w:tcW w:type="dxa" w:w="3120"/>
            <w:tcMar>
              <w:top w:type="dxa" w:w="60"/>
              <w:left w:type="dxa" w:w="110"/>
              <w:bottom w:type="dxa" w:w="60"/>
              <w:right w:type="dxa" w:w="110"/>
            </w:tcMar>
            <w:vAlign w:val="center"/>
          </w:tcPr>
          <w:p>
            <w:pPr>
              <w:jc w:val="left"/>
            </w:pPr>
            <w:r>
              <w:rPr>
                <w:b/>
                <w:bCs/>
                <w:color w:val="2E75B6"/>
              </w:rPr>
              <w:t xml:space="preserve">RISQUE ACCEPTÉ</w:t>
            </w:r>
          </w:p>
        </w:tc>
      </w:tr>
      <w:tr>
        <w:tc>
          <w:tcPr>
            <w:tcW w:type="dxa" w:w="1560"/>
            <w:shd w:fill="D9E2F3" w:val="clear"/>
            <w:tcMar>
              <w:top w:type="dxa" w:w="60"/>
              <w:left w:type="dxa" w:w="110"/>
              <w:bottom w:type="dxa" w:w="60"/>
              <w:right w:type="dxa" w:w="110"/>
            </w:tcMar>
            <w:vAlign w:val="center"/>
          </w:tcPr>
          <w:p>
            <w:pPr>
              <w:jc w:val="left"/>
            </w:pPr>
            <w:r>
              <w:rPr>
                <w:b/>
                <w:bCs/>
              </w:rPr>
              <w:t xml:space="preserve">CWE</w:t>
            </w:r>
          </w:p>
        </w:tc>
        <w:tc>
          <w:tcPr>
            <w:tcW w:type="dxa" w:w="3120"/>
            <w:tcMar>
              <w:top w:type="dxa" w:w="60"/>
              <w:left w:type="dxa" w:w="110"/>
              <w:bottom w:type="dxa" w:w="60"/>
              <w:right w:type="dxa" w:w="110"/>
            </w:tcMar>
            <w:vAlign w:val="center"/>
          </w:tcPr>
          <w:p>
            <w:pPr>
              <w:jc w:val="left"/>
            </w:pPr>
            <w:r>
              <w:t xml:space="preserve">CWE-862 / CWE-269</w:t>
            </w:r>
          </w:p>
        </w:tc>
        <w:tc>
          <w:tcPr>
            <w:tcW w:type="dxa" w:w="1560"/>
            <w:shd w:fill="D9E2F3" w:val="clear"/>
            <w:tcMar>
              <w:top w:type="dxa" w:w="60"/>
              <w:left w:type="dxa" w:w="110"/>
              <w:bottom w:type="dxa" w:w="60"/>
              <w:right w:type="dxa" w:w="110"/>
            </w:tcMar>
            <w:vAlign w:val="center"/>
          </w:tcPr>
          <w:p>
            <w:pPr>
              <w:jc w:val="left"/>
            </w:pPr>
            <w:r>
              <w:rPr>
                <w:b/>
                <w:bCs/>
              </w:rPr>
              <w:t xml:space="preserve">OWASP</w:t>
            </w:r>
          </w:p>
        </w:tc>
        <w:tc>
          <w:tcPr>
            <w:tcW w:type="dxa" w:w="3120"/>
            <w:tcMar>
              <w:top w:type="dxa" w:w="60"/>
              <w:left w:type="dxa" w:w="110"/>
              <w:bottom w:type="dxa" w:w="60"/>
              <w:right w:type="dxa" w:w="110"/>
            </w:tcMar>
            <w:vAlign w:val="center"/>
          </w:tcPr>
          <w:p>
            <w:pPr>
              <w:jc w:val="left"/>
            </w:pPr>
            <w:r>
              <w:t xml:space="preserve">A01:2021</w:t>
            </w:r>
          </w:p>
        </w:tc>
      </w:tr>
      <w:tr>
        <w:tc>
          <w:tcPr>
            <w:tcW w:type="dxa" w:w="1560"/>
            <w:shd w:fill="D9E2F3" w:val="clear"/>
            <w:tcMar>
              <w:top w:type="dxa" w:w="60"/>
              <w:left w:type="dxa" w:w="110"/>
              <w:bottom w:type="dxa" w:w="60"/>
              <w:right w:type="dxa" w:w="110"/>
            </w:tcMar>
            <w:vAlign w:val="center"/>
          </w:tcPr>
          <w:p>
            <w:pPr>
              <w:jc w:val="left"/>
            </w:pPr>
            <w:r>
              <w:rPr>
                <w:b/>
                <w:bCs/>
              </w:rPr>
              <w:t xml:space="preserve">Fichier(s)</w:t>
            </w:r>
          </w:p>
        </w:tc>
        <w:tc>
          <w:tcPr>
            <w:tcW w:type="dxa" w:w="7800"/>
            <w:gridSpan w:val="3"/>
            <w:tcMar>
              <w:top w:type="dxa" w:w="60"/>
              <w:left w:type="dxa" w:w="110"/>
              <w:bottom w:type="dxa" w:w="60"/>
              <w:right w:type="dxa" w:w="110"/>
            </w:tcMar>
          </w:tcPr>
          <w:p>
            <w:r>
              <w:rPr>
                <w:rFonts w:ascii="Consolas" w:cs="Consolas" w:eastAsia="Consolas" w:hAnsi="Consolas"/>
                <w:sz w:val="18"/>
                <w:szCs w:val="18"/>
              </w:rPr>
              <w:t xml:space="preserve">src/app/api/auth/register/route.ts</w:t>
            </w:r>
          </w:p>
        </w:tc>
      </w:tr>
    </w:tbl>
    <w:p>
      <w:pPr>
        <w:spacing w:after="80"/>
      </w:pPr>
      <w:r>
        <w:t xml:space="preserve"/>
      </w:r>
    </w:p>
    <w:p>
      <w:r>
        <w:rPr>
          <w:b/>
          <w:bCs/>
        </w:rPr>
        <w:t xml:space="preserve">Observation. </w:t>
      </w:r>
      <w:r>
        <w:t xml:space="preserve">Le endpoint d’inscription est public ; sur une base vide, le premier inscrit devient ADMIN (course à l’amorçage). N’importe quel anonyme peut créer un compte.</w:t>
      </w:r>
    </w:p>
    <w:p>
      <w:r>
        <w:rPr>
          <w:b/>
          <w:bCs/>
          <w:color w:val="1F3864"/>
        </w:rPr>
        <w:t xml:space="preserve">Recommandation. </w:t>
      </w:r>
      <w:r>
        <w:t xml:space="preserve">Risque accepté par l’exploitant (décision documentée). Annotation conservée dans le code comme trace. Recommandation maintenue : provisionner l’ADMIN initial hors-ligne et gater l’inscription si le contexte évolue.</w:t>
      </w:r>
    </w:p>
    <w:p>
      <w:pPr>
        <w:spacing w:after="80"/>
      </w:pPr>
      <w:r>
        <w:t xml:space="preserve"/>
      </w:r>
    </w:p>
    <w:p>
      <w:r>
        <w:br w:type="page"/>
      </w:r>
    </w:p>
    <w:p>
      <w:pPr>
        <w:pStyle w:val="Heading1"/>
      </w:pPr>
      <w:r>
        <w:t xml:space="preserve">4. Synthèse de la remédiation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6760"/>
      </w:tblGrid>
      <w:tr>
        <w:tc>
          <w:tcPr>
            <w:tcW w:type="dxa" w:w="2600"/>
            <w:shd w:fill="D9E2F3" w:val="clear"/>
            <w:tcMar>
              <w:top w:type="dxa" w:w="60"/>
              <w:left w:type="dxa" w:w="110"/>
              <w:bottom w:type="dxa" w:w="60"/>
              <w:right w:type="dxa" w:w="110"/>
            </w:tcMar>
            <w:vAlign w:val="center"/>
          </w:tcPr>
          <w:p>
            <w:pPr>
              <w:jc w:val="left"/>
            </w:pPr>
            <w:r>
              <w:rPr>
                <w:b/>
                <w:bCs/>
                <w:color w:val="1F3864"/>
              </w:rPr>
              <w:t xml:space="preserve">Nouveaux modules testés</w:t>
            </w:r>
          </w:p>
        </w:tc>
        <w:tc>
          <w:tcPr>
            <w:tcW w:type="dxa" w:w="6760"/>
            <w:shd w:fill="FFFFFF" w:val="clear"/>
            <w:tcMar>
              <w:top w:type="dxa" w:w="60"/>
              <w:left w:type="dxa" w:w="110"/>
              <w:bottom w:type="dxa" w:w="60"/>
              <w:right w:type="dxa" w:w="110"/>
            </w:tcMar>
            <w:vAlign w:val="center"/>
          </w:tcPr>
          <w:p>
            <w:pPr>
              <w:jc w:val="left"/>
            </w:pPr>
            <w:r>
              <w:t xml:space="preserve">spreadsheet-safe.toCsvCell · audit-redact · secret-crypto (AES-256-GCM) · workshop-sanitize</w:t>
            </w:r>
          </w:p>
        </w:tc>
      </w:tr>
      <w:tr>
        <w:tc>
          <w:tcPr>
            <w:tcW w:type="dxa" w:w="2600"/>
            <w:shd w:fill="D9E2F3" w:val="clear"/>
            <w:tcMar>
              <w:top w:type="dxa" w:w="60"/>
              <w:left w:type="dxa" w:w="110"/>
              <w:bottom w:type="dxa" w:w="60"/>
              <w:right w:type="dxa" w:w="110"/>
            </w:tcMar>
            <w:vAlign w:val="center"/>
          </w:tcPr>
          <w:p>
            <w:pPr>
              <w:jc w:val="left"/>
            </w:pPr>
            <w:r>
              <w:rPr>
                <w:b/>
                <w:bCs/>
                <w:color w:val="1F3864"/>
              </w:rPr>
              <w:t xml:space="preserve">Tests</w:t>
            </w:r>
          </w:p>
        </w:tc>
        <w:tc>
          <w:tcPr>
            <w:tcW w:type="dxa" w:w="6760"/>
            <w:shd w:fill="F2F2F2" w:val="clear"/>
            <w:tcMar>
              <w:top w:type="dxa" w:w="60"/>
              <w:left w:type="dxa" w:w="110"/>
              <w:bottom w:type="dxa" w:w="60"/>
              <w:right w:type="dxa" w:w="110"/>
            </w:tcMar>
            <w:vAlign w:val="center"/>
          </w:tcPr>
          <w:p>
            <w:pPr>
              <w:jc w:val="left"/>
            </w:pPr>
            <w:r>
              <w:t xml:space="preserve">De 180 à 189 tests unitaires — 100 % au vert (TDD : test d’abord, puis correctif)</w:t>
            </w:r>
          </w:p>
        </w:tc>
      </w:tr>
      <w:tr>
        <w:tc>
          <w:tcPr>
            <w:tcW w:type="dxa" w:w="2600"/>
            <w:shd w:fill="D9E2F3" w:val="clear"/>
            <w:tcMar>
              <w:top w:type="dxa" w:w="60"/>
              <w:left w:type="dxa" w:w="110"/>
              <w:bottom w:type="dxa" w:w="60"/>
              <w:right w:type="dxa" w:w="110"/>
            </w:tcMar>
            <w:vAlign w:val="center"/>
          </w:tcPr>
          <w:p>
            <w:pPr>
              <w:jc w:val="left"/>
            </w:pPr>
            <w:r>
              <w:rPr>
                <w:b/>
                <w:bCs/>
                <w:color w:val="1F3864"/>
              </w:rPr>
              <w:t xml:space="preserve">Type checking</w:t>
            </w:r>
          </w:p>
        </w:tc>
        <w:tc>
          <w:tcPr>
            <w:tcW w:type="dxa" w:w="6760"/>
            <w:shd w:fill="FFFFFF" w:val="clear"/>
            <w:tcMar>
              <w:top w:type="dxa" w:w="60"/>
              <w:left w:type="dxa" w:w="110"/>
              <w:bottom w:type="dxa" w:w="60"/>
              <w:right w:type="dxa" w:w="110"/>
            </w:tcMar>
            <w:vAlign w:val="center"/>
          </w:tcPr>
          <w:p>
            <w:pPr>
              <w:jc w:val="left"/>
            </w:pPr>
            <w:r>
              <w:t xml:space="preserve">0 erreur TypeScript sur les fichiers modifiés</w:t>
            </w:r>
          </w:p>
        </w:tc>
      </w:tr>
      <w:tr>
        <w:tc>
          <w:tcPr>
            <w:tcW w:type="dxa" w:w="2600"/>
            <w:shd w:fill="D9E2F3" w:val="clear"/>
            <w:tcMar>
              <w:top w:type="dxa" w:w="60"/>
              <w:left w:type="dxa" w:w="110"/>
              <w:bottom w:type="dxa" w:w="60"/>
              <w:right w:type="dxa" w:w="110"/>
            </w:tcMar>
            <w:vAlign w:val="center"/>
          </w:tcPr>
          <w:p>
            <w:pPr>
              <w:jc w:val="left"/>
            </w:pPr>
            <w:r>
              <w:rPr>
                <w:b/>
                <w:bCs/>
                <w:color w:val="1F3864"/>
              </w:rPr>
              <w:t xml:space="preserve">Migration DB</w:t>
            </w:r>
          </w:p>
        </w:tc>
        <w:tc>
          <w:tcPr>
            <w:tcW w:type="dxa" w:w="6760"/>
            <w:shd w:fill="F2F2F2" w:val="clear"/>
            <w:tcMar>
              <w:top w:type="dxa" w:w="60"/>
              <w:left w:type="dxa" w:w="110"/>
              <w:bottom w:type="dxa" w:w="60"/>
              <w:right w:type="dxa" w:w="110"/>
            </w:tcMar>
            <w:vAlign w:val="center"/>
          </w:tcPr>
          <w:p>
            <w:pPr>
              <w:jc w:val="left"/>
            </w:pPr>
            <w:r>
              <w:t xml:space="preserve">Aucune — chiffrement des secrets rétro-compatible (les valeurs en clair sont chiffrées au prochain enregistrement)</w:t>
            </w:r>
          </w:p>
        </w:tc>
      </w:tr>
      <w:tr>
        <w:tc>
          <w:tcPr>
            <w:tcW w:type="dxa" w:w="2600"/>
            <w:shd w:fill="D9E2F3" w:val="clear"/>
            <w:tcMar>
              <w:top w:type="dxa" w:w="60"/>
              <w:left w:type="dxa" w:w="110"/>
              <w:bottom w:type="dxa" w:w="60"/>
              <w:right w:type="dxa" w:w="110"/>
            </w:tcMar>
            <w:vAlign w:val="center"/>
          </w:tcPr>
          <w:p>
            <w:pPr>
              <w:jc w:val="left"/>
            </w:pPr>
            <w:r>
              <w:rPr>
                <w:b/>
                <w:bCs/>
                <w:color w:val="1F3864"/>
              </w:rPr>
              <w:t xml:space="preserve">Variable d’env</w:t>
            </w:r>
          </w:p>
        </w:tc>
        <w:tc>
          <w:tcPr>
            <w:tcW w:type="dxa" w:w="6760"/>
            <w:shd w:fill="FFFFFF" w:val="clear"/>
            <w:tcMar>
              <w:top w:type="dxa" w:w="60"/>
              <w:left w:type="dxa" w:w="110"/>
              <w:bottom w:type="dxa" w:w="60"/>
              <w:right w:type="dxa" w:w="110"/>
            </w:tcMar>
            <w:vAlign w:val="center"/>
          </w:tcPr>
          <w:p>
            <w:pPr>
              <w:jc w:val="left"/>
            </w:pPr>
            <w:r>
              <w:t xml:space="preserve">SECRETS_ENCRYPTION_KEY documentée dans .env.example (repli NEXTAUTH_SECRET)</w:t>
            </w:r>
          </w:p>
        </w:tc>
      </w:tr>
    </w:tbl>
    <w:p>
      <w:pPr>
        <w:spacing w:after="80"/>
      </w:pPr>
      <w:r>
        <w:t xml:space="preserve"/>
      </w:r>
    </w:p>
    <w:p>
      <w:pPr>
        <w:pStyle w:val="Heading2"/>
      </w:pPr>
      <w:r>
        <w:t xml:space="preserve">Risques résiduels</w:t>
      </w:r>
    </w:p>
    <w:p>
      <w:r>
        <w:rPr>
          <w:b/>
          <w:bCs/>
        </w:rPr>
        <w:t xml:space="preserve">F003 (rate-limiting) </w:t>
      </w:r>
      <w:r>
        <w:t xml:space="preserve">— en grande partie ops/config : robustesse de l’IP selon la topologie de proxy de confiance, et store Redis requis en multi-instance.</w:t>
      </w:r>
    </w:p>
    <w:p>
      <w:r>
        <w:rPr>
          <w:b/>
          <w:bCs/>
        </w:rPr>
        <w:t xml:space="preserve">F001 (secrets dans le build) </w:t>
      </w:r>
      <w:r>
        <w:t xml:space="preserve">— action d’exploitation : purge du .env de la sortie standalone et rotation des trois secrets.</w:t>
      </w:r>
    </w:p>
    <w:p>
      <w:r>
        <w:rPr>
          <w:b/>
          <w:bCs/>
        </w:rPr>
        <w:t xml:space="preserve">F004 (inscription ouverte) </w:t>
      </w:r>
      <w:r>
        <w:t xml:space="preserve">— risque explicitement accepté par l’exploitant ; recommandation maintenue.</w:t>
      </w:r>
    </w:p>
    <w:p>
      <w:r>
        <w:rPr>
          <w:b/>
          <w:bCs/>
        </w:rPr>
        <w:t xml:space="preserve">F005 (chiffrement) </w:t>
      </w:r>
      <w:r>
        <w:t xml:space="preserve">— corrigé pour les nouvelles écritures ; les éventuelles valeurs en clair existantes sont chiffrées au prochain enregistrement (re-sauvegarde admin recommandée).</w:t>
      </w:r>
    </w:p>
    <w:p>
      <w:r>
        <w:br w:type="page"/>
      </w:r>
    </w:p>
    <w:p>
      <w:pPr>
        <w:pStyle w:val="Heading1"/>
      </w:pPr>
      <w:r>
        <w:t xml:space="preserve">5. Score de maturité sécurité</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1100"/>
        <w:gridCol w:w="5660"/>
      </w:tblGrid>
      <w:tr>
        <w:trPr>
          <w:tblHeader/>
        </w:trPr>
        <w:tc>
          <w:tcPr>
            <w:tcW w:type="dxa" w:w="2600"/>
            <w:shd w:fill="1F3864" w:val="clear"/>
            <w:tcMar>
              <w:top w:type="dxa" w:w="60"/>
              <w:left w:type="dxa" w:w="110"/>
              <w:bottom w:type="dxa" w:w="60"/>
              <w:right w:type="dxa" w:w="110"/>
            </w:tcMar>
            <w:vAlign w:val="center"/>
          </w:tcPr>
          <w:p>
            <w:pPr>
              <w:jc w:val="left"/>
            </w:pPr>
            <w:r>
              <w:rPr>
                <w:b/>
                <w:bCs/>
                <w:color w:val="FFFFFF"/>
              </w:rPr>
              <w:t xml:space="preserve">Axe</w:t>
            </w:r>
          </w:p>
        </w:tc>
        <w:tc>
          <w:tcPr>
            <w:tcW w:type="dxa" w:w="1100"/>
            <w:shd w:fill="1F3864" w:val="clear"/>
            <w:tcMar>
              <w:top w:type="dxa" w:w="60"/>
              <w:left w:type="dxa" w:w="110"/>
              <w:bottom w:type="dxa" w:w="60"/>
              <w:right w:type="dxa" w:w="110"/>
            </w:tcMar>
            <w:vAlign w:val="center"/>
          </w:tcPr>
          <w:p>
            <w:pPr>
              <w:jc w:val="center"/>
            </w:pPr>
            <w:r>
              <w:rPr>
                <w:b/>
                <w:bCs/>
                <w:color w:val="FFFFFF"/>
              </w:rPr>
              <w:t xml:space="preserve">Score</w:t>
            </w:r>
          </w:p>
        </w:tc>
        <w:tc>
          <w:tcPr>
            <w:tcW w:type="dxa" w:w="5660"/>
            <w:shd w:fill="1F3864" w:val="clear"/>
            <w:tcMar>
              <w:top w:type="dxa" w:w="60"/>
              <w:left w:type="dxa" w:w="110"/>
              <w:bottom w:type="dxa" w:w="60"/>
              <w:right w:type="dxa" w:w="110"/>
            </w:tcMar>
            <w:vAlign w:val="center"/>
          </w:tcPr>
          <w:p>
            <w:pPr>
              <w:jc w:val="left"/>
            </w:pPr>
            <w:r>
              <w:rPr>
                <w:b/>
                <w:bCs/>
                <w:color w:val="FFFFFF"/>
              </w:rPr>
              <w:t xml:space="preserve">Commentaire</w:t>
            </w:r>
          </w:p>
        </w:tc>
      </w:tr>
      <w:tr>
        <w:tc>
          <w:tcPr>
            <w:tcW w:type="dxa" w:w="2600"/>
            <w:shd w:fill="FFFFFF" w:val="clear"/>
            <w:tcMar>
              <w:top w:type="dxa" w:w="60"/>
              <w:left w:type="dxa" w:w="110"/>
              <w:bottom w:type="dxa" w:w="60"/>
              <w:right w:type="dxa" w:w="110"/>
            </w:tcMar>
            <w:vAlign w:val="center"/>
          </w:tcPr>
          <w:p>
            <w:pPr>
              <w:jc w:val="left"/>
            </w:pPr>
            <w:r>
              <w:rPr>
                <w:b/>
                <w:bCs/>
              </w:rPr>
              <w:t xml:space="preserve">Authentification</w:t>
            </w:r>
          </w:p>
        </w:tc>
        <w:tc>
          <w:tcPr>
            <w:tcW w:type="dxa" w:w="1100"/>
            <w:shd w:fill="FFFFFF" w:val="clear"/>
            <w:tcMar>
              <w:top w:type="dxa" w:w="60"/>
              <w:left w:type="dxa" w:w="110"/>
              <w:bottom w:type="dxa" w:w="60"/>
              <w:right w:type="dxa" w:w="110"/>
            </w:tcMar>
            <w:vAlign w:val="center"/>
          </w:tcPr>
          <w:p>
            <w:pPr>
              <w:jc w:val="center"/>
            </w:pPr>
            <w:r>
              <w:rPr>
                <w:b/>
                <w:bCs/>
              </w:rPr>
              <w:t xml:space="preserve">3 / 4</w:t>
            </w:r>
          </w:p>
        </w:tc>
        <w:tc>
          <w:tcPr>
            <w:tcW w:type="dxa" w:w="5660"/>
            <w:shd w:fill="FFFFFF" w:val="clear"/>
            <w:tcMar>
              <w:top w:type="dxa" w:w="60"/>
              <w:left w:type="dxa" w:w="110"/>
              <w:bottom w:type="dxa" w:w="60"/>
              <w:right w:type="dxa" w:w="110"/>
            </w:tcMar>
            <w:vAlign w:val="center"/>
          </w:tcPr>
          <w:p>
            <w:pPr>
              <w:jc w:val="left"/>
            </w:pPr>
            <w:r>
              <w:t xml:space="preserve">bcrypt cost 12, lockout, expiration, suspension. Manque MFA effectif + anti-brute-force par IP (F003).</w:t>
            </w:r>
          </w:p>
        </w:tc>
      </w:tr>
      <w:tr>
        <w:tc>
          <w:tcPr>
            <w:tcW w:type="dxa" w:w="2600"/>
            <w:shd w:fill="F2F2F2" w:val="clear"/>
            <w:tcMar>
              <w:top w:type="dxa" w:w="60"/>
              <w:left w:type="dxa" w:w="110"/>
              <w:bottom w:type="dxa" w:w="60"/>
              <w:right w:type="dxa" w:w="110"/>
            </w:tcMar>
            <w:vAlign w:val="center"/>
          </w:tcPr>
          <w:p>
            <w:pPr>
              <w:jc w:val="left"/>
            </w:pPr>
            <w:r>
              <w:rPr>
                <w:b/>
                <w:bCs/>
              </w:rPr>
              <w:t xml:space="preserve">Protection des données</w:t>
            </w:r>
          </w:p>
        </w:tc>
        <w:tc>
          <w:tcPr>
            <w:tcW w:type="dxa" w:w="1100"/>
            <w:shd w:fill="F2F2F2" w:val="clear"/>
            <w:tcMar>
              <w:top w:type="dxa" w:w="60"/>
              <w:left w:type="dxa" w:w="110"/>
              <w:bottom w:type="dxa" w:w="60"/>
              <w:right w:type="dxa" w:w="110"/>
            </w:tcMar>
            <w:vAlign w:val="center"/>
          </w:tcPr>
          <w:p>
            <w:pPr>
              <w:jc w:val="center"/>
            </w:pPr>
            <w:r>
              <w:rPr>
                <w:b/>
                <w:bCs/>
              </w:rPr>
              <w:t xml:space="preserve">3 / 4</w:t>
            </w:r>
          </w:p>
        </w:tc>
        <w:tc>
          <w:tcPr>
            <w:tcW w:type="dxa" w:w="5660"/>
            <w:shd w:fill="F2F2F2" w:val="clear"/>
            <w:tcMar>
              <w:top w:type="dxa" w:w="60"/>
              <w:left w:type="dxa" w:w="110"/>
              <w:bottom w:type="dxa" w:w="60"/>
              <w:right w:type="dxa" w:w="110"/>
            </w:tcMar>
            <w:vAlign w:val="center"/>
          </w:tcPr>
          <w:p>
            <w:pPr>
              <w:jc w:val="left"/>
            </w:pPr>
            <w:r>
              <w:t xml:space="preserve">Hash fort, sanitisation export, secrets désormais chiffrés au repos (F005 corrigé).</w:t>
            </w:r>
          </w:p>
        </w:tc>
      </w:tr>
      <w:tr>
        <w:tc>
          <w:tcPr>
            <w:tcW w:type="dxa" w:w="2600"/>
            <w:shd w:fill="FFFFFF" w:val="clear"/>
            <w:tcMar>
              <w:top w:type="dxa" w:w="60"/>
              <w:left w:type="dxa" w:w="110"/>
              <w:bottom w:type="dxa" w:w="60"/>
              <w:right w:type="dxa" w:w="110"/>
            </w:tcMar>
            <w:vAlign w:val="center"/>
          </w:tcPr>
          <w:p>
            <w:pPr>
              <w:jc w:val="left"/>
            </w:pPr>
            <w:r>
              <w:rPr>
                <w:b/>
                <w:bCs/>
              </w:rPr>
              <w:t xml:space="preserve">Dépendances</w:t>
            </w:r>
          </w:p>
        </w:tc>
        <w:tc>
          <w:tcPr>
            <w:tcW w:type="dxa" w:w="1100"/>
            <w:shd w:fill="FFFFFF" w:val="clear"/>
            <w:tcMar>
              <w:top w:type="dxa" w:w="60"/>
              <w:left w:type="dxa" w:w="110"/>
              <w:bottom w:type="dxa" w:w="60"/>
              <w:right w:type="dxa" w:w="110"/>
            </w:tcMar>
            <w:vAlign w:val="center"/>
          </w:tcPr>
          <w:p>
            <w:pPr>
              <w:jc w:val="center"/>
            </w:pPr>
            <w:r>
              <w:rPr>
                <w:b/>
                <w:bCs/>
              </w:rPr>
              <w:t xml:space="preserve">2 / 4</w:t>
            </w:r>
          </w:p>
        </w:tc>
        <w:tc>
          <w:tcPr>
            <w:tcW w:type="dxa" w:w="5660"/>
            <w:shd w:fill="FFFFFF" w:val="clear"/>
            <w:tcMar>
              <w:top w:type="dxa" w:w="60"/>
              <w:left w:type="dxa" w:w="110"/>
              <w:bottom w:type="dxa" w:w="60"/>
              <w:right w:type="dxa" w:w="110"/>
            </w:tcMar>
            <w:vAlign w:val="center"/>
          </w:tcPr>
          <w:p>
            <w:pPr>
              <w:jc w:val="left"/>
            </w:pPr>
            <w:r>
              <w:t xml:space="preserve">Épinglées ; pas de SBOM / audit automatisé visible.</w:t>
            </w:r>
          </w:p>
        </w:tc>
      </w:tr>
      <w:tr>
        <w:tc>
          <w:tcPr>
            <w:tcW w:type="dxa" w:w="2600"/>
            <w:shd w:fill="F2F2F2" w:val="clear"/>
            <w:tcMar>
              <w:top w:type="dxa" w:w="60"/>
              <w:left w:type="dxa" w:w="110"/>
              <w:bottom w:type="dxa" w:w="60"/>
              <w:right w:type="dxa" w:w="110"/>
            </w:tcMar>
            <w:vAlign w:val="center"/>
          </w:tcPr>
          <w:p>
            <w:pPr>
              <w:jc w:val="left"/>
            </w:pPr>
            <w:r>
              <w:rPr>
                <w:b/>
                <w:bCs/>
              </w:rPr>
              <w:t xml:space="preserve">Configuration</w:t>
            </w:r>
          </w:p>
        </w:tc>
        <w:tc>
          <w:tcPr>
            <w:tcW w:type="dxa" w:w="1100"/>
            <w:shd w:fill="F2F2F2" w:val="clear"/>
            <w:tcMar>
              <w:top w:type="dxa" w:w="60"/>
              <w:left w:type="dxa" w:w="110"/>
              <w:bottom w:type="dxa" w:w="60"/>
              <w:right w:type="dxa" w:w="110"/>
            </w:tcMar>
            <w:vAlign w:val="center"/>
          </w:tcPr>
          <w:p>
            <w:pPr>
              <w:jc w:val="center"/>
            </w:pPr>
            <w:r>
              <w:rPr>
                <w:b/>
                <w:bCs/>
              </w:rPr>
              <w:t xml:space="preserve">3 / 4</w:t>
            </w:r>
          </w:p>
        </w:tc>
        <w:tc>
          <w:tcPr>
            <w:tcW w:type="dxa" w:w="5660"/>
            <w:shd w:fill="F2F2F2" w:val="clear"/>
            <w:tcMar>
              <w:top w:type="dxa" w:w="60"/>
              <w:left w:type="dxa" w:w="110"/>
              <w:bottom w:type="dxa" w:w="60"/>
              <w:right w:type="dxa" w:w="110"/>
            </w:tcMar>
            <w:vAlign w:val="center"/>
          </w:tcPr>
          <w:p>
            <w:pPr>
              <w:jc w:val="left"/>
            </w:pPr>
            <w:r>
              <w:t xml:space="preserve">En-têtes/CSP solides, .dockerignore correct ; reste F001 (ops) et F004 (accepté).</w:t>
            </w:r>
          </w:p>
        </w:tc>
      </w:tr>
      <w:tr>
        <w:tc>
          <w:tcPr>
            <w:tcW w:type="dxa" w:w="2600"/>
            <w:shd w:fill="FFFFFF" w:val="clear"/>
            <w:tcMar>
              <w:top w:type="dxa" w:w="60"/>
              <w:left w:type="dxa" w:w="110"/>
              <w:bottom w:type="dxa" w:w="60"/>
              <w:right w:type="dxa" w:w="110"/>
            </w:tcMar>
            <w:vAlign w:val="center"/>
          </w:tcPr>
          <w:p>
            <w:pPr>
              <w:jc w:val="left"/>
            </w:pPr>
            <w:r>
              <w:rPr>
                <w:b/>
                <w:bCs/>
              </w:rPr>
              <w:t xml:space="preserve">Journalisation</w:t>
            </w:r>
          </w:p>
        </w:tc>
        <w:tc>
          <w:tcPr>
            <w:tcW w:type="dxa" w:w="1100"/>
            <w:shd w:fill="FFFFFF" w:val="clear"/>
            <w:tcMar>
              <w:top w:type="dxa" w:w="60"/>
              <w:left w:type="dxa" w:w="110"/>
              <w:bottom w:type="dxa" w:w="60"/>
              <w:right w:type="dxa" w:w="110"/>
            </w:tcMar>
            <w:vAlign w:val="center"/>
          </w:tcPr>
          <w:p>
            <w:pPr>
              <w:jc w:val="center"/>
            </w:pPr>
            <w:r>
              <w:rPr>
                <w:b/>
                <w:bCs/>
              </w:rPr>
              <w:t xml:space="preserve">4 / 4</w:t>
            </w:r>
          </w:p>
        </w:tc>
        <w:tc>
          <w:tcPr>
            <w:tcW w:type="dxa" w:w="5660"/>
            <w:shd w:fill="FFFFFF" w:val="clear"/>
            <w:tcMar>
              <w:top w:type="dxa" w:w="60"/>
              <w:left w:type="dxa" w:w="110"/>
              <w:bottom w:type="dxa" w:w="60"/>
              <w:right w:type="dxa" w:w="110"/>
            </w:tcMar>
            <w:vAlign w:val="center"/>
          </w:tcPr>
          <w:p>
            <w:pPr>
              <w:jc w:val="left"/>
            </w:pPr>
            <w:r>
              <w:t xml:space="preserve">Audit trail structuré (Winston + DB) ; secrets désormais redactés.</w:t>
            </w:r>
          </w:p>
        </w:tc>
      </w:tr>
    </w:tbl>
    <w:p>
      <w:pPr>
        <w:spacing w:after="80"/>
      </w:pPr>
      <w:r>
        <w:t xml:space="preserve"/>
      </w:r>
    </w:p>
    <w:p>
      <w:r>
        <w:rPr>
          <w:b/>
          <w:bCs/>
          <w:color w:val="1F3864"/>
          <w:sz w:val="24"/>
          <w:szCs w:val="24"/>
        </w:rPr>
        <w:t xml:space="preserve">SMS global : 3,0 / 4</w:t>
      </w:r>
    </w:p>
    <w:p>
      <w:pPr>
        <w:pStyle w:val="Heading1"/>
      </w:pPr>
      <w:r>
        <w:t xml:space="preserve">6. Points positifs (defense-in-depth en place)</w:t>
      </w:r>
    </w:p>
    <w:p>
      <w:pPr>
        <w:pStyle w:val="ListParagraph"/>
        <w:numPr>
          <w:ilvl w:val="0"/>
          <w:numId w:val="2"/>
        </w:numPr>
      </w:pPr>
      <w:r>
        <w:t xml:space="preserve">Aucune injection SQL : tout passe par Prisma (requêtes paramétrées), recherche incluse.</w:t>
      </w:r>
    </w:p>
    <w:p>
      <w:pPr>
        <w:pStyle w:val="ListParagraph"/>
        <w:numPr>
          <w:ilvl w:val="0"/>
          <w:numId w:val="2"/>
        </w:numPr>
      </w:pPr>
      <w:r>
        <w:t xml:space="preserve">Authentification : bcrypt cost 12, session JWT 8 h, rafraîchissement du rôle/isActive à chaque requête, invalidation immédiate des comptes suspendus, cookies httpOnly + sameSite + secure.</w:t>
      </w:r>
    </w:p>
    <w:p>
      <w:pPr>
        <w:pStyle w:val="ListParagraph"/>
        <w:numPr>
          <w:ilvl w:val="0"/>
          <w:numId w:val="2"/>
        </w:numPr>
      </w:pPr>
      <w:r>
        <w:t xml:space="preserve">Contrôle d’accès / IDOR : permissions centralisées appliquées de façon cohérente sur les routes analyses/* et admin/*.</w:t>
      </w:r>
    </w:p>
    <w:p>
      <w:pPr>
        <w:pStyle w:val="ListParagraph"/>
        <w:numPr>
          <w:ilvl w:val="0"/>
          <w:numId w:val="2"/>
        </w:numPr>
      </w:pPr>
      <w:r>
        <w:t xml:space="preserve">En-têtes de sécurité : CSP solide (object-src none, frame-ancestors none, base-uri self, pas de unsafe-eval), X-Frame-Options DENY, HSTS en production, API no-store.</w:t>
      </w:r>
    </w:p>
    <w:p>
      <w:pPr>
        <w:pStyle w:val="ListParagraph"/>
        <w:numPr>
          <w:ilvl w:val="0"/>
          <w:numId w:val="2"/>
        </w:numPr>
      </w:pPr>
      <w:r>
        <w:t xml:space="preserve">Validation Zod, bornage de la taille des imports, audit trail structuré, .dockerignore correct.</w:t>
      </w:r>
    </w:p>
    <w:p>
      <w:pPr>
        <w:pStyle w:val="Heading1"/>
      </w:pPr>
      <w:r>
        <w:t xml:space="preserve">7. Prochaines actions recommandées</w:t>
      </w:r>
    </w:p>
    <w:p>
      <w:pPr>
        <w:pStyle w:val="ListParagraph"/>
        <w:numPr>
          <w:ilvl w:val="0"/>
          <w:numId w:val="3"/>
        </w:numPr>
      </w:pPr>
      <w:r>
        <w:t xml:space="preserve">F001 — purger le .env de .next/standalone et faire tourner les trois secrets (DB / NEXTAUTH / Anthropic).</w:t>
      </w:r>
    </w:p>
    <w:p>
      <w:pPr>
        <w:pStyle w:val="ListParagraph"/>
        <w:numPr>
          <w:ilvl w:val="0"/>
          <w:numId w:val="3"/>
        </w:numPr>
      </w:pPr>
      <w:r>
        <w:t xml:space="preserve">F003 — définir la source d’IP de confiance (topologie proxy), ajouter une clé de rate-limit par IP au login, et un store Redis en multi-instance.</w:t>
      </w:r>
    </w:p>
    <w:p>
      <w:pPr>
        <w:pStyle w:val="ListParagraph"/>
        <w:numPr>
          <w:ilvl w:val="0"/>
          <w:numId w:val="3"/>
        </w:numPr>
      </w:pPr>
      <w:r>
        <w:t xml:space="preserve">F005 — re-sauvegarder les configurations SSO/SMS existantes pour chiffrer d’éventuelles valeurs en clair héritées ; définir une SECRETS_ENCRYPTION_KEY dédiée.</w:t>
      </w:r>
    </w:p>
    <w:p>
      <w:pPr>
        <w:pStyle w:val="ListParagraph"/>
        <w:numPr>
          <w:ilvl w:val="0"/>
          <w:numId w:val="3"/>
        </w:numPr>
      </w:pPr>
      <w:r>
        <w:t xml:space="preserve">Mettre en place un audit automatisé des dépendances (npm audit en CI) et un SBOM.</w:t>
      </w:r>
    </w:p>
    <w:p>
      <w:pPr>
        <w:spacing w:after="80"/>
      </w:pPr>
      <w:r>
        <w:t xml:space="preserve"/>
      </w:r>
    </w:p>
    <w:p>
      <w:r>
        <w:rPr>
          <w:b/>
          <w:bCs/>
        </w:rPr>
        <w:t xml:space="preserve">Annotations inline : </w:t>
      </w:r>
      <w:r>
        <w:t xml:space="preserve">chaque finding est tracé dans le code source via des commentaires AUDIT [Fxxx] (corrigé/atténué/accepté), et un index complet est disponible dans </w:t>
      </w:r>
      <w:r>
        <w:rPr>
          <w:rFonts w:ascii="Consolas" w:cs="Consolas" w:eastAsia="Consolas" w:hAnsi="Consolas"/>
          <w:sz w:val="18"/>
          <w:szCs w:val="18"/>
        </w:rPr>
        <w:t xml:space="preserve">audit-annotations/FINDINGS_INDEX.md</w:t>
      </w:r>
      <w: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ACRA — Contre-audit de sécurité  ·  Confidentiel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ACRA — Rapport de contre-audit de sécurité</dc:title>
  <dc:creator>ACRA — Contre-audit de sécurité</dc:creator>
  <cp:lastModifiedBy>Un-named</cp:lastModifiedBy>
  <cp:revision>1</cp:revision>
  <dcterms:created xsi:type="dcterms:W3CDTF">2026-06-11T22:27:59.666Z</dcterms:created>
  <dcterms:modified xsi:type="dcterms:W3CDTF">2026-06-11T22:27:59.672Z</dcterms:modified>
</cp:coreProperties>
</file>

<file path=docProps/custom.xml><?xml version="1.0" encoding="utf-8"?>
<Properties xmlns="http://schemas.openxmlformats.org/officeDocument/2006/custom-properties" xmlns:vt="http://schemas.openxmlformats.org/officeDocument/2006/docPropsVTypes"/>
</file>