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4.png" ContentType="image/png"/>
  <Override PartName="/word/media/rId8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Арифметические</w:t>
      </w:r>
      <w:r>
        <w:t xml:space="preserve"> </w:t>
      </w:r>
      <w:r>
        <w:t xml:space="preserve">операции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Дурдыев</w:t>
      </w:r>
      <w:r>
        <w:t xml:space="preserve"> </w:t>
      </w:r>
      <w:r>
        <w:t xml:space="preserve">Безирген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 Адрес операнда предоставляет место, где хранятся данные, подлежащие обработке. Это могут быть</w:t>
      </w:r>
      <w:r>
        <w:t xml:space="preserve"> </w:t>
      </w:r>
      <w:r>
        <w:t xml:space="preserve">данные хранящиеся в регистре или в ячейке памяти. Далее рассмотрены все существующие</w:t>
      </w:r>
      <w:r>
        <w:t xml:space="preserve"> </w:t>
      </w:r>
      <w:r>
        <w:t xml:space="preserve">способы задания адреса хранения операндов – способы адресации.</w:t>
      </w:r>
      <w:r>
        <w:t xml:space="preserve"> </w:t>
      </w:r>
      <w:r>
        <w:t xml:space="preserve">Существует три основных способа адресации:</w:t>
      </w:r>
    </w:p>
    <w:p>
      <w:pPr>
        <w:numPr>
          <w:ilvl w:val="0"/>
          <w:numId w:val="1001"/>
        </w:numPr>
      </w:pPr>
      <w:r>
        <w:t xml:space="preserve">Регистровая адресация – операнды хранятся в регистрах и в команде используются имена этих регистров, например: mov ax,bx.</w:t>
      </w:r>
    </w:p>
    <w:p>
      <w:pPr>
        <w:numPr>
          <w:ilvl w:val="0"/>
          <w:numId w:val="1001"/>
        </w:numPr>
      </w:pPr>
      <w:r>
        <w:t xml:space="preserve">Непосредственная адресация – значение операнда задается непосредственно в команде, Например: mov ax,2.</w:t>
      </w:r>
    </w:p>
    <w:p>
      <w:pPr>
        <w:numPr>
          <w:ilvl w:val="0"/>
          <w:numId w:val="1001"/>
        </w:numPr>
      </w:pPr>
      <w:r>
        <w:t xml:space="preserve">Адресация памяти – операнд задает адрес в памяти. В команде указывается символическое обозначение ячейки памяти, над содержимым которой требуется выполнить операцию.</w:t>
      </w:r>
    </w:p>
    <w:p>
      <w:pPr>
        <w:pStyle w:val="FirstParagraph"/>
      </w:pPr>
      <w:r>
        <w:t xml:space="preserve">Схема команды целочисленного сложения add (от англ. addition - добавление) выполняет</w:t>
      </w:r>
      <w:r>
        <w:t xml:space="preserve"> </w:t>
      </w:r>
      <w:r>
        <w:t xml:space="preserve">сложение двух операндов и записывает результат по адресу первого операнда.</w:t>
      </w:r>
    </w:p>
    <w:p>
      <w:pPr>
        <w:pStyle w:val="BodyText"/>
      </w:pPr>
      <w:r>
        <w:t xml:space="preserve">Команда целочисленного вычитания sub (от англ. subtraction – вычитание) работает аналогично команде add.</w:t>
      </w:r>
    </w:p>
    <w:p>
      <w:pPr>
        <w:pStyle w:val="BodyText"/>
      </w:pPr>
      <w:r>
        <w:t xml:space="preserve">Существуют специальные команды: inc (от англ. increment) и dec (от англ. decrement), которые увеличивают и уменьшают на 1 свой операнд.</w:t>
      </w:r>
    </w:p>
    <w:p>
      <w:pPr>
        <w:pStyle w:val="BodyText"/>
      </w:pPr>
      <w:r>
        <w:t xml:space="preserve">Умножение и деление, в отличии от сложения и вычитания, для знаковых и беззнаковых</w:t>
      </w:r>
      <w:r>
        <w:t xml:space="preserve"> </w:t>
      </w:r>
      <w:r>
        <w:t xml:space="preserve">чисел производиться по-разному, поэтому существуют различные команды.</w:t>
      </w:r>
      <w:r>
        <w:t xml:space="preserve"> </w:t>
      </w:r>
      <w:r>
        <w:t xml:space="preserve">Для беззнакового умножения используется команда mul (от англ. multiply – умножение),</w:t>
      </w:r>
      <w:r>
        <w:t xml:space="preserve"> </w:t>
      </w:r>
      <w:r>
        <w:t xml:space="preserve">для знакового умножения используется команда imul.</w:t>
      </w:r>
    </w:p>
    <w:p>
      <w:pPr>
        <w:pStyle w:val="BodyText"/>
      </w:pPr>
      <w:r>
        <w:t xml:space="preserve">Для деления, как и для умножения, существует 2 команды div (от англ. divide - деление) и idiv</w:t>
      </w:r>
    </w:p>
    <w:bookmarkEnd w:id="21"/>
    <w:bookmarkStart w:id="9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8" w:name="символьные-и-численные-данные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Создал каталог для программам лабораторной работы № 6, перешел в него и создал файл lab6-1.asm.</w:t>
      </w:r>
    </w:p>
    <w:p>
      <w:pPr>
        <w:pStyle w:val="BodyText"/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</w:t>
      </w:r>
    </w:p>
    <w:p>
      <w:pPr>
        <w:pStyle w:val="BodyText"/>
      </w:pPr>
      <w:r>
        <w:t xml:space="preserve">В данной программе в регистр eax записывается символ 6 (mov eax,</w:t>
      </w:r>
      <w:r>
        <w:t xml:space="preserve">‘</w:t>
      </w:r>
      <w:r>
        <w:t xml:space="preserve">6</w:t>
      </w:r>
      <w:r>
        <w:t xml:space="preserve">’</w:t>
      </w:r>
      <w:r>
        <w:t xml:space="preserve">), в регистр ebx символ 4 (mov ebx,</w:t>
      </w:r>
      <w:r>
        <w:t xml:space="preserve">‘</w:t>
      </w:r>
      <w:r>
        <w:t xml:space="preserve">4</w:t>
      </w:r>
      <w:r>
        <w:t xml:space="preserve">’</w:t>
      </w:r>
      <w:r>
        <w:t xml:space="preserve">).</w:t>
      </w:r>
      <w:r>
        <w:t xml:space="preserve"> </w:t>
      </w:r>
      <w:r>
        <w:t xml:space="preserve">Далее к значению в регистре eax прибавляем значение регистра ebx (add eax,ebx, результат сложения запишется в регистр eax).</w:t>
      </w:r>
      <w:r>
        <w:t xml:space="preserve"> </w:t>
      </w:r>
      <w:r>
        <w:t xml:space="preserve">Далее выводим результат.</w:t>
      </w:r>
      <w:r>
        <w:t xml:space="preserve"> </w:t>
      </w:r>
      <w:r>
        <w:t xml:space="preserve">Так как для работы функции sprintLF в регистр eax должен быть записан адрес, необходимо использовать дополнительную переменную.</w:t>
      </w:r>
      <w:r>
        <w:t xml:space="preserve"> </w:t>
      </w:r>
      <w:r>
        <w:t xml:space="preserve">Для этого запишем значение регистра eax в переменную buf1 (mov [buf1],eax),</w:t>
      </w:r>
      <w:r>
        <w:t xml:space="preserve"> </w:t>
      </w:r>
      <w:r>
        <w:t xml:space="preserve">а затем запишем адрес переменной buf1 в регистр eax (mov eax,buf1) и вызовем функцию sprintLF.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2837234"/>
            <wp:effectExtent b="0" l="0" r="0" t="0"/>
            <wp:docPr descr="Figure 1: Программа в файле lab6-1.asm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7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Программа в файле lab6-1.asm</w:t>
      </w:r>
    </w:p>
    <w:bookmarkEnd w:id="0"/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910860"/>
            <wp:effectExtent b="0" l="0" r="0" t="0"/>
            <wp:docPr descr="Figure 2: Запуск программы lab6-1.asm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0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Запуск программы lab6-1.asm</w:t>
      </w:r>
    </w:p>
    <w:bookmarkEnd w:id="0"/>
    <w:p>
      <w:pPr>
        <w:pStyle w:val="BodyText"/>
      </w:pPr>
      <w:r>
        <w:t xml:space="preserve">В данном случае при выводе значения регистра eax мы ожидаем увидеть число 10.</w:t>
      </w:r>
      <w:r>
        <w:t xml:space="preserve"> </w:t>
      </w:r>
      <w:r>
        <w:t xml:space="preserve">Однако результатом будет символ j.</w:t>
      </w:r>
      <w:r>
        <w:t xml:space="preserve"> </w:t>
      </w:r>
      <w:r>
        <w:t xml:space="preserve">Это происходит потому, что код символа 6 равен 00110110 в двоичном представлении (или 54 в десятичном представлении),</w:t>
      </w:r>
      <w:r>
        <w:t xml:space="preserve"> </w:t>
      </w:r>
      <w:r>
        <w:t xml:space="preserve">а код символа 4 – 00110100 (52). Команда add eax,ebx запишет в регистр eax сумму кодов – 01101010 (106),</w:t>
      </w:r>
      <w:r>
        <w:t xml:space="preserve"> </w:t>
      </w:r>
      <w:r>
        <w:t xml:space="preserve">что в свою очередь является кодом символа j.</w:t>
      </w:r>
    </w:p>
    <w:p>
      <w:pPr>
        <w:pStyle w:val="BodyText"/>
      </w:pPr>
      <w:r>
        <w:t xml:space="preserve">Далее изменяю текст программы и вместо символов, запишем в регистры числа.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245768" cy="2935705"/>
            <wp:effectExtent b="0" l="0" r="0" t="0"/>
            <wp:docPr descr="Figure 3: Программа в файле lab6-1.asm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768" cy="2935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Программа в файле lab6-1.asm</w:t>
      </w:r>
    </w:p>
    <w:bookmarkEnd w:id="0"/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935276"/>
            <wp:effectExtent b="0" l="0" r="0" t="0"/>
            <wp:docPr descr="Figure 4: Запуск программы lab6-1.asm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5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Запуск программы lab6-1.asm</w:t>
      </w:r>
    </w:p>
    <w:bookmarkEnd w:id="0"/>
    <w:p>
      <w:pPr>
        <w:pStyle w:val="BodyText"/>
      </w:pPr>
      <w:r>
        <w:t xml:space="preserve">Как и в предыдущем случае при исполнении программы мы не получим число 10. В данном</w:t>
      </w:r>
      <w:r>
        <w:t xml:space="preserve"> </w:t>
      </w:r>
      <w:r>
        <w:t xml:space="preserve">случае выводится символ с кодом 10. Это символ конца строки (возврат каретки).</w:t>
      </w:r>
      <w:r>
        <w:t xml:space="preserve"> </w:t>
      </w:r>
      <w:r>
        <w:t xml:space="preserve">В консоле он не отображается, но добавляет пустую строку.</w:t>
      </w:r>
    </w:p>
    <w:p>
      <w:pPr>
        <w:pStyle w:val="BodyText"/>
      </w:pPr>
      <w:r>
        <w:t xml:space="preserve">Как отмечалось выше, 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Преобразовал текст программы с использованием этих функций.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2219575"/>
            <wp:effectExtent b="0" l="0" r="0" t="0"/>
            <wp:docPr descr="Figure 5: Программа в файле lab6-2.asm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9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Программа в файле lab6-2.asm</w:t>
      </w:r>
    </w:p>
    <w:bookmarkEnd w:id="0"/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789139"/>
            <wp:effectExtent b="0" l="0" r="0" t="0"/>
            <wp:docPr descr="Figure 6: Запуск программы lab6-2.asm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9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Запуск программы lab6-2.asm</w:t>
      </w:r>
    </w:p>
    <w:bookmarkEnd w:id="0"/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  <w:r>
        <w:t xml:space="preserve"> </w:t>
      </w:r>
      <w:r>
        <w:t xml:space="preserve">Однако, в отличии от прошлой программы,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p>
      <w:pPr>
        <w:pStyle w:val="BodyText"/>
      </w:pPr>
      <w:r>
        <w:t xml:space="preserve">Аналогично предыдущему примеру изменим символы на числа.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4581625" cy="2329313"/>
            <wp:effectExtent b="0" l="0" r="0" t="0"/>
            <wp:docPr descr="Figure 7: Программа в файле lab6-2.asm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625" cy="2329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Программа в файле lab6-2.asm</w:t>
      </w:r>
    </w:p>
    <w:bookmarkEnd w:id="0"/>
    <w:p>
      <w:pPr>
        <w:pStyle w:val="BodyText"/>
      </w:pPr>
      <w:r>
        <w:t xml:space="preserve">Функция iprintLF позволяет вывести число и операндами были числа (а не коды символов).</w:t>
      </w:r>
      <w:r>
        <w:t xml:space="preserve"> </w:t>
      </w:r>
      <w:r>
        <w:t xml:space="preserve">Поэтому получаем число 10.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876821"/>
            <wp:effectExtent b="0" l="0" r="0" t="0"/>
            <wp:docPr descr="Figure 8: Запуск программы lab6-2.asm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6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Запуск программы lab6-2.asm</w:t>
      </w:r>
    </w:p>
    <w:bookmarkEnd w:id="0"/>
    <w:p>
      <w:pPr>
        <w:pStyle w:val="BodyText"/>
      </w:pPr>
      <w:r>
        <w:t xml:space="preserve">Заменил функцию iprintLF на iprint. Создал исполняемый файл и запустил его.</w:t>
      </w:r>
      <w:r>
        <w:t xml:space="preserve"> </w:t>
      </w:r>
      <w:r>
        <w:t xml:space="preserve">Вывод отличается тем, что нет переноса строки.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784839"/>
            <wp:effectExtent b="0" l="0" r="0" t="0"/>
            <wp:docPr descr="Figure 9: Запуск программы lab6-2.asm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4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Запуск программы lab6-2.asm</w:t>
      </w:r>
    </w:p>
    <w:bookmarkEnd w:id="0"/>
    <w:bookmarkEnd w:id="58"/>
    <w:bookmarkStart w:id="83" w:name="X8c0a1c151545696051e31eb8f7e02c7d54dd7c6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pStyle w:val="FirstParagraph"/>
      </w:pPr>
      <w:r>
        <w:t xml:space="preserve">.</w:t>
      </w:r>
    </w:p>
    <w:bookmarkStart w:id="0" w:name="fig:010"/>
    <w:p>
      <w:pPr>
        <w:pStyle w:val="CaptionedFigure"/>
      </w:pPr>
      <w:bookmarkStart w:id="62" w:name="fig:010"/>
      <w:r>
        <w:drawing>
          <wp:inline>
            <wp:extent cx="4138863" cy="4976261"/>
            <wp:effectExtent b="0" l="0" r="0" t="0"/>
            <wp:docPr descr="Figure 10: Программа в файле lab6-3.asm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863" cy="4976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Программа в файле lab6-3.asm</w:t>
      </w:r>
    </w:p>
    <w:bookmarkEnd w:id="0"/>
    <w:bookmarkStart w:id="0" w:name="fig:011"/>
    <w:p>
      <w:pPr>
        <w:pStyle w:val="CaptionedFigure"/>
      </w:pPr>
      <w:bookmarkStart w:id="66" w:name="fig:011"/>
      <w:r>
        <w:drawing>
          <wp:inline>
            <wp:extent cx="5334000" cy="945173"/>
            <wp:effectExtent b="0" l="0" r="0" t="0"/>
            <wp:docPr descr="Figure 11: Запуск программы lab6-3.asm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5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11: Запуск программы lab6-3.asm</w:t>
      </w:r>
    </w:p>
    <w:bookmarkEnd w:id="0"/>
    <w:p>
      <w:pPr>
        <w:pStyle w:val="BodyText"/>
      </w:pPr>
      <w:r>
        <w:t xml:space="preserve">Изменил текст программы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Создал исполняемый файл и проверил его работу.</w:t>
      </w:r>
    </w:p>
    <w:bookmarkStart w:id="0" w:name="fig:012"/>
    <w:p>
      <w:pPr>
        <w:pStyle w:val="CaptionedFigure"/>
      </w:pPr>
      <w:bookmarkStart w:id="70" w:name="fig:012"/>
      <w:r>
        <w:drawing>
          <wp:inline>
            <wp:extent cx="4292867" cy="4985886"/>
            <wp:effectExtent b="0" l="0" r="0" t="0"/>
            <wp:docPr descr="Figure 12: Программа в файле lab6-3.asm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867" cy="4985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12: Программа в файле lab6-3.asm</w:t>
      </w:r>
    </w:p>
    <w:bookmarkEnd w:id="0"/>
    <w:bookmarkStart w:id="0" w:name="fig:013"/>
    <w:p>
      <w:pPr>
        <w:pStyle w:val="CaptionedFigure"/>
      </w:pPr>
      <w:bookmarkStart w:id="74" w:name="fig:013"/>
      <w:r>
        <w:drawing>
          <wp:inline>
            <wp:extent cx="5334000" cy="951980"/>
            <wp:effectExtent b="0" l="0" r="0" t="0"/>
            <wp:docPr descr="Figure 13: Запуск программы lab6-3.asm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1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 13: Запуск программы lab6-3.asm</w:t>
      </w:r>
    </w:p>
    <w:bookmarkEnd w:id="0"/>
    <w:p>
      <w:pPr>
        <w:pStyle w:val="BodyTex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билета.</w:t>
      </w:r>
    </w:p>
    <w:p>
      <w:pPr>
        <w:pStyle w:val="BodyText"/>
      </w:pPr>
      <w:r>
        <w:t xml:space="preserve">В данном случае число, над которым необходимо проводить арифметические операции,</w:t>
      </w:r>
      <w:r>
        <w:t xml:space="preserve"> </w:t>
      </w:r>
      <w:r>
        <w:t xml:space="preserve">вводится с клавиатуры. Как отмечалось выше ввод с клавиатуры осуществляется</w:t>
      </w:r>
      <w:r>
        <w:t xml:space="preserve"> </w:t>
      </w:r>
      <w:r>
        <w:t xml:space="preserve">в символьном виде и для корректной работы арифметических операций в NASM символы</w:t>
      </w:r>
      <w:r>
        <w:t xml:space="preserve"> </w:t>
      </w:r>
      <w:r>
        <w:t xml:space="preserve">необходимо преобразовать в числа. Для этого может быть использована функция</w:t>
      </w:r>
      <w:r>
        <w:t xml:space="preserve"> </w:t>
      </w:r>
      <w:r>
        <w:t xml:space="preserve">atoi из файла in_out.asm.</w:t>
      </w:r>
    </w:p>
    <w:bookmarkStart w:id="0" w:name="fig:014"/>
    <w:p>
      <w:pPr>
        <w:pStyle w:val="CaptionedFigure"/>
      </w:pPr>
      <w:bookmarkStart w:id="78" w:name="fig:014"/>
      <w:r>
        <w:drawing>
          <wp:inline>
            <wp:extent cx="5014762" cy="5053263"/>
            <wp:effectExtent b="0" l="0" r="0" t="0"/>
            <wp:docPr descr="Figure 14: Программа в файле variant.asm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762" cy="5053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Figure 14: Программа в файле variant.asm</w:t>
      </w:r>
    </w:p>
    <w:bookmarkEnd w:id="0"/>
    <w:bookmarkStart w:id="0" w:name="fig:015"/>
    <w:p>
      <w:pPr>
        <w:pStyle w:val="CaptionedFigure"/>
      </w:pPr>
      <w:bookmarkStart w:id="82" w:name="fig:015"/>
      <w:r>
        <w:drawing>
          <wp:inline>
            <wp:extent cx="5334000" cy="1031918"/>
            <wp:effectExtent b="0" l="0" r="0" t="0"/>
            <wp:docPr descr="Figure 15: Запуск программы variant.asm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1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Figure 15: Запуск программы variant.asm</w:t>
      </w:r>
    </w:p>
    <w:bookmarkEnd w:id="0"/>
    <w:p>
      <w:pPr>
        <w:pStyle w:val="BodyText"/>
      </w:pPr>
      <w:r>
        <w:t xml:space="preserve">ответы на вопросы</w:t>
      </w:r>
    </w:p>
    <w:p>
      <w:pPr>
        <w:numPr>
          <w:ilvl w:val="0"/>
          <w:numId w:val="1002"/>
        </w:numPr>
        <w:pStyle w:val="Compact"/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mov eax,rem – перекладывает в регистр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</w:p>
    <w:p>
      <w:pPr>
        <w:pStyle w:val="BodyText"/>
      </w:pPr>
      <w:r>
        <w:t xml:space="preserve">call sprint – вызов подпрограммы вывода строки</w:t>
      </w:r>
    </w:p>
    <w:p>
      <w:pPr>
        <w:numPr>
          <w:ilvl w:val="0"/>
          <w:numId w:val="1003"/>
        </w:numPr>
        <w:pStyle w:val="Compact"/>
      </w:pPr>
      <w:r>
        <w:t xml:space="preserve">Для чего используется следующие инструкции?</w:t>
      </w:r>
    </w:p>
    <w:p>
      <w:pPr>
        <w:pStyle w:val="FirstParagraph"/>
      </w:pPr>
      <w:r>
        <w:t xml:space="preserve">mov ecx, x</w:t>
      </w:r>
      <w:r>
        <w:t xml:space="preserve"> </w:t>
      </w:r>
      <w:r>
        <w:t xml:space="preserve">mov edx, 80</w:t>
      </w:r>
      <w:r>
        <w:t xml:space="preserve"> </w:t>
      </w:r>
      <w:r>
        <w:t xml:space="preserve">call sread</w:t>
      </w:r>
    </w:p>
    <w:p>
      <w:pPr>
        <w:pStyle w:val="BodyText"/>
      </w:pPr>
      <w:r>
        <w:t xml:space="preserve">Считывает значение студбилета в переменную Х из консоли</w:t>
      </w:r>
    </w:p>
    <w:p>
      <w:pPr>
        <w:numPr>
          <w:ilvl w:val="0"/>
          <w:numId w:val="1004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Эта подпрограмма переводит введенные символы в числовой формат.</w:t>
      </w:r>
    </w:p>
    <w:p>
      <w:pPr>
        <w:numPr>
          <w:ilvl w:val="0"/>
          <w:numId w:val="1005"/>
        </w:numPr>
        <w:pStyle w:val="Compact"/>
      </w:pPr>
      <w:r>
        <w:t xml:space="preserve">Какие строки листинга отвечают за вычисления варианта?</w:t>
      </w:r>
    </w:p>
    <w:p>
      <w:pPr>
        <w:pStyle w:val="FirstParagraph"/>
      </w:pPr>
      <w:r>
        <w:t xml:space="preserve">xor edx,edx</w:t>
      </w:r>
      <w:r>
        <w:t xml:space="preserve"> </w:t>
      </w:r>
      <w:r>
        <w:t xml:space="preserve">mov ebx,20</w:t>
      </w:r>
      <w:r>
        <w:t xml:space="preserve"> </w:t>
      </w:r>
      <w:r>
        <w:t xml:space="preserve">div ebx</w:t>
      </w:r>
      <w:r>
        <w:t xml:space="preserve"> </w:t>
      </w:r>
      <w:r>
        <w:t xml:space="preserve">inc edx</w:t>
      </w:r>
    </w:p>
    <w:p>
      <w:pPr>
        <w:pStyle w:val="BodyText"/>
      </w:pPr>
      <w:r>
        <w:t xml:space="preserve">Здесь происходит деление номера студ билета на 20.</w:t>
      </w:r>
      <w:r>
        <w:t xml:space="preserve"> </w:t>
      </w:r>
      <w:r>
        <w:t xml:space="preserve">В регистре edx хранится остаток, к нему прибавляется 1.</w:t>
      </w:r>
    </w:p>
    <w:p>
      <w:pPr>
        <w:numPr>
          <w:ilvl w:val="0"/>
          <w:numId w:val="1006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регистр edx</w:t>
      </w:r>
    </w:p>
    <w:p>
      <w:pPr>
        <w:numPr>
          <w:ilvl w:val="0"/>
          <w:numId w:val="1007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по формуле вычисления варианта нужно прибавить единицу</w:t>
      </w:r>
    </w:p>
    <w:p>
      <w:pPr>
        <w:numPr>
          <w:ilvl w:val="0"/>
          <w:numId w:val="1008"/>
        </w:numPr>
        <w:pStyle w:val="Compact"/>
      </w:pPr>
      <w:r>
        <w:t xml:space="preserve">Какие строки листинга отвечают за вывод на экран результата вычислений?</w:t>
      </w:r>
    </w:p>
    <w:p>
      <w:pPr>
        <w:pStyle w:val="FirstParagraph"/>
      </w:pPr>
      <w:r>
        <w:t xml:space="preserve">mov eax,edx – результат перекладывается в регистр eax</w:t>
      </w:r>
    </w:p>
    <w:p>
      <w:pPr>
        <w:pStyle w:val="BodyText"/>
      </w:pPr>
      <w:r>
        <w:t xml:space="preserve">call iprintLF – вызов подпрограммы вывода</w:t>
      </w:r>
    </w:p>
    <w:bookmarkEnd w:id="83"/>
    <w:bookmarkStart w:id="92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</w:t>
      </w:r>
    </w:p>
    <w:p>
      <w:pPr>
        <w:pStyle w:val="BodyText"/>
      </w:pPr>
      <w:r>
        <w:t xml:space="preserve">Получили вариант 11 -</w:t>
      </w:r>
    </w:p>
    <w:p>
      <w:pPr>
        <w:pStyle w:val="BodyText"/>
      </w:pPr>
      <m:oMathPara>
        <m:oMathParaPr>
          <m:jc m:val="center"/>
        </m:oMathParaPr>
        <m:oMath>
          <m:r>
            <m:t>10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  <m:r>
            <m:rPr>
              <m:sty m:val="p"/>
            </m:rPr>
            <m:t>−</m:t>
          </m:r>
          <m:r>
            <m:t>10</m:t>
          </m:r>
        </m:oMath>
      </m:oMathPara>
    </w:p>
    <w:p>
      <w:pPr>
        <w:pStyle w:val="FirstParagraph"/>
      </w:pPr>
      <w:r>
        <w:t xml:space="preserve">для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7</m:t>
          </m:r>
        </m:oMath>
      </m:oMathPara>
    </w:p>
    <w:bookmarkStart w:id="0" w:name="fig:016"/>
    <w:p>
      <w:pPr>
        <w:pStyle w:val="CaptionedFigure"/>
      </w:pPr>
      <w:bookmarkStart w:id="87" w:name="fig:016"/>
      <w:r>
        <w:drawing>
          <wp:inline>
            <wp:extent cx="4061861" cy="5601903"/>
            <wp:effectExtent b="0" l="0" r="0" t="0"/>
            <wp:docPr descr="Figure 16: Программа в файле task.asm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861" cy="5601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Figure 16: Программа в файле task.asm</w:t>
      </w:r>
    </w:p>
    <w:bookmarkEnd w:id="0"/>
    <w:p>
      <w:pPr>
        <w:pStyle w:val="BodyText"/>
      </w:pPr>
      <w:r>
        <w:t xml:space="preserve">Если подставить 1 получается 10.</w:t>
      </w:r>
    </w:p>
    <w:p>
      <w:pPr>
        <w:pStyle w:val="BodyText"/>
      </w:pPr>
      <w:r>
        <w:t xml:space="preserve">Если подставить 7 получается 70.</w:t>
      </w:r>
    </w:p>
    <w:bookmarkStart w:id="0" w:name="fig:017"/>
    <w:p>
      <w:pPr>
        <w:pStyle w:val="CaptionedFigure"/>
      </w:pPr>
      <w:bookmarkStart w:id="91" w:name="fig:017"/>
      <w:r>
        <w:drawing>
          <wp:inline>
            <wp:extent cx="5334000" cy="1894673"/>
            <wp:effectExtent b="0" l="0" r="0" t="0"/>
            <wp:docPr descr="Figure 17: Запуск программы task.asm" title="" id="89" name="Picture"/>
            <a:graphic>
              <a:graphicData uri="http://schemas.openxmlformats.org/drawingml/2006/picture">
                <pic:pic>
                  <pic:nvPicPr>
                    <pic:cNvPr descr="image/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4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Figure 17: Запуск программы task.asm</w:t>
      </w:r>
    </w:p>
    <w:bookmarkEnd w:id="0"/>
    <w:p>
      <w:pPr>
        <w:pStyle w:val="BodyText"/>
      </w:pPr>
      <w:r>
        <w:t xml:space="preserve">Программа считает верно.</w:t>
      </w:r>
    </w:p>
    <w:bookmarkEnd w:id="92"/>
    <w:bookmarkEnd w:id="93"/>
    <w:bookmarkStart w:id="9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4" Target="media/rId84.png" /><Relationship Type="http://schemas.openxmlformats.org/officeDocument/2006/relationships/image" Id="rId88" Target="media/rId8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Дурдыев Безирген</dc:creator>
  <dc:language>ru-RU</dc:language>
  <cp:keywords/>
  <dcterms:created xsi:type="dcterms:W3CDTF">2024-01-09T07:38:36Z</dcterms:created>
  <dcterms:modified xsi:type="dcterms:W3CDTF">2024-01-09T07:38:36Z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Арифметические операции в NASM.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