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sz w:val="32"/>
          <w:szCs w:val="32"/>
        </w:rPr>
        <w:t xml:space="preserve">SESSION 4: Taking Control — Building a Research Process</w:t>
      </w:r>
    </w:p>
    <w:p>
      <w:pPr>
        <w:spacing w:after="300" w:before="0"/>
      </w:pPr>
      <w:r>
        <w:rPr>
          <w:rFonts w:ascii="Arial" w:cs="Arial" w:eastAsia="Arial" w:hAnsi="Arial"/>
          <w:b/>
          <w:bCs/>
          <w:sz w:val="28"/>
          <w:szCs w:val="28"/>
        </w:rPr>
        <w:t xml:space="preserve">Lecturer’s Notes</w:t>
      </w:r>
    </w:p>
    <w:p>
      <w:pPr>
        <w:pStyle w:val="Heading1"/>
        <w:spacing w:after="160" w:before="0"/>
      </w:pPr>
      <w:r>
        <w:rPr>
          <w:rFonts w:ascii="Arial" w:cs="Arial" w:eastAsia="Arial" w:hAnsi="Arial"/>
          <w:sz w:val="24"/>
          <w:szCs w:val="24"/>
        </w:rPr>
        <w:t xml:space="preserve">OVERVIEW</w:t>
      </w:r>
    </w:p>
    <w:p>
      <w:pPr>
        <w:spacing w:after="160" w:before="0"/>
      </w:pPr>
      <w:r>
        <w:rPr>
          <w:rFonts w:ascii="Arial" w:cs="Arial" w:eastAsia="Arial" w:hAnsi="Arial"/>
          <w:b/>
          <w:bCs/>
          <w:sz w:val="24"/>
          <w:szCs w:val="24"/>
        </w:rPr>
        <w:t xml:space="preserve">Goal:</w:t>
      </w:r>
      <w:r>
        <w:rPr>
          <w:rFonts w:ascii="Arial" w:cs="Arial" w:eastAsia="Arial" w:hAnsi="Arial"/>
          <w:sz w:val="24"/>
          <w:szCs w:val="24"/>
        </w:rPr>
        <w:t xml:space="preserve"> Participants see how a controlled, step-by-step research process produces output that is defensible under scrutiny — and understand why each step in the process contributes to that defensibility.</w:t>
      </w:r>
    </w:p>
    <w:p>
      <w:pPr>
        <w:spacing w:after="160" w:before="0"/>
      </w:pPr>
      <w:r>
        <w:rPr>
          <w:rFonts w:ascii="Arial" w:cs="Arial" w:eastAsia="Arial" w:hAnsi="Arial"/>
          <w:b/>
          <w:bCs/>
          <w:sz w:val="24"/>
          <w:szCs w:val="24"/>
        </w:rPr>
        <w:t xml:space="preserve">Takeaway:</w:t>
      </w:r>
      <w:r>
        <w:rPr>
          <w:rFonts w:ascii="Arial" w:cs="Arial" w:eastAsia="Arial" w:hAnsi="Arial"/>
          <w:sz w:val="24"/>
          <w:szCs w:val="24"/>
        </w:rPr>
        <w:t xml:space="preserve"> Canned tools produce polished reports that hide their weaknesses. A directed process produces transparent reports that show their evidence, acknowledge their gaps, and can be defended claim by claim. The difference is Direction and Input, applied deliberately at every stage.</w:t>
      </w:r>
    </w:p>
    <w:p>
      <w:pPr>
        <w:spacing w:after="160" w:before="0"/>
      </w:pPr>
      <w:r>
        <w:rPr>
          <w:rFonts w:ascii="Arial" w:cs="Arial" w:eastAsia="Arial" w:hAnsi="Arial"/>
          <w:b/>
          <w:bCs/>
          <w:sz w:val="24"/>
          <w:szCs w:val="24"/>
        </w:rPr>
        <w:t xml:space="preserve">The IDE arc:</w:t>
      </w:r>
      <w:r>
        <w:rPr>
          <w:rFonts w:ascii="Arial" w:cs="Arial" w:eastAsia="Arial" w:hAnsi="Arial"/>
          <w:sz w:val="24"/>
          <w:szCs w:val="24"/>
        </w:rPr>
        <w:t xml:space="preserve"> This session foregrounds Direction. Every step in the research process requires a different kind of instruction, shaped by what that step is trying to produce. Input is present throughout — source curation is an Input skill. Evaluation is woven in but not foregrounded as it was in Session 3.</w:t>
      </w:r>
    </w:p>
    <w:p>
      <w:pPr>
        <w:spacing w:after="160" w:before="0"/>
      </w:pPr>
      <w:r>
        <w:rPr>
          <w:rFonts w:ascii="Arial" w:cs="Arial" w:eastAsia="Arial" w:hAnsi="Arial"/>
          <w:b/>
          <w:bCs/>
          <w:sz w:val="24"/>
          <w:szCs w:val="24"/>
        </w:rPr>
        <w:t xml:space="preserve">Apps:</w:t>
      </w:r>
      <w:r>
        <w:rPr>
          <w:rFonts w:ascii="Arial" w:cs="Arial" w:eastAsia="Arial" w:hAnsi="Arial"/>
          <w:sz w:val="24"/>
          <w:szCs w:val="24"/>
        </w:rPr>
        <w:t xml:space="preserve"> Claude Chat, Claude Project, Claude Research mode.</w:t>
      </w:r>
    </w:p>
    <w:p>
      <w:pPr>
        <w:spacing w:after="160" w:before="0"/>
      </w:pPr>
      <w:r>
        <w:rPr>
          <w:rFonts w:ascii="Arial" w:cs="Arial" w:eastAsia="Arial" w:hAnsi="Arial"/>
          <w:b/>
          <w:bCs/>
          <w:sz w:val="24"/>
          <w:szCs w:val="24"/>
        </w:rPr>
        <w:t xml:space="preserve">Timing:</w:t>
      </w:r>
      <w:r>
        <w:rPr>
          <w:rFonts w:ascii="Arial" w:cs="Arial" w:eastAsia="Arial" w:hAnsi="Arial"/>
          <w:sz w:val="24"/>
          <w:szCs w:val="24"/>
        </w:rPr>
        <w:t xml:space="preserve"> Approximately 2 hours.</w:t>
      </w:r>
    </w:p>
    <w:p>
      <w:pPr>
        <w:spacing w:after="160" w:before="0"/>
      </w:pPr>
      <w:r>
        <w:rPr>
          <w:rFonts w:ascii="Arial" w:cs="Arial" w:eastAsia="Arial" w:hAnsi="Arial"/>
          <w:b/>
          <w:bCs/>
          <w:sz w:val="24"/>
          <w:szCs w:val="24"/>
        </w:rPr>
        <w:t xml:space="preserve">Pre-prepared materials:</w:t>
      </w:r>
      <w:r>
        <w:rPr>
          <w:rFonts w:ascii="Arial" w:cs="Arial" w:eastAsia="Arial" w:hAnsi="Arial"/>
          <w:sz w:val="24"/>
          <w:szCs w:val="24"/>
        </w:rPr>
        <w:t xml:space="preserve"> The lecturer has run the entire process in advance and has the following outputs ready to show: a Deep Research source list, a training knowledge source list, a consolidated source quality audit (CSV), a curated source list, a source-by-source literature review, an analytical synthesis, and a final report. The lecturer also has the chat transcript from the design discussion with Claude, with key moves highlighted.</w:t>
      </w:r>
    </w:p>
    <w:p>
      <w:pPr>
        <w:pStyle w:val="Heading1"/>
        <w:spacing w:after="160" w:before="0"/>
      </w:pPr>
      <w:r>
        <w:rPr>
          <w:rFonts w:ascii="Arial" w:cs="Arial" w:eastAsia="Arial" w:hAnsi="Arial"/>
          <w:sz w:val="24"/>
          <w:szCs w:val="24"/>
        </w:rPr>
        <w:t xml:space="preserve">STEP 1 — Bridge from Session 3 (5 minutes)</w:t>
      </w:r>
    </w:p>
    <w:p>
      <w:pPr>
        <w:spacing w:after="160" w:before="0"/>
      </w:pPr>
      <w:r>
        <w:rPr>
          <w:rFonts w:ascii="Arial" w:cs="Arial" w:eastAsia="Arial" w:hAnsi="Arial"/>
          <w:i/>
          <w:iCs/>
          <w:sz w:val="24"/>
          <w:szCs w:val="24"/>
        </w:rPr>
        <w:t xml:space="preserve">Goal: Connect Session 3’s findings to what this session will build. Brief — participants already have the context.</w:t>
      </w:r>
    </w:p>
    <w:p>
      <w:pPr>
        <w:spacing w:after="160" w:before="0"/>
      </w:pPr>
      <w:r>
        <w:rPr>
          <w:rFonts w:ascii="Arial" w:cs="Arial" w:eastAsia="Arial" w:hAnsi="Arial"/>
          <w:sz w:val="24"/>
          <w:szCs w:val="24"/>
        </w:rPr>
        <w:t xml:space="preserve">Two-line bridge: In Session 3 we saw that canned deep research tools produce reports that look authoritative but contain hidden weaknesses — inconsistent time horizons, unsourced quantitative claims, no acknowledgment of limitations. The homework question was: what would you need to change, add, or verify before you could stand behind one of those reports? This session answers that question.</w:t>
      </w:r>
    </w:p>
    <w:p>
      <w:pPr>
        <w:spacing w:after="160" w:before="0"/>
      </w:pPr>
      <w:r>
        <w:rPr>
          <w:rFonts w:ascii="Arial" w:cs="Arial" w:eastAsia="Arial" w:hAnsi="Arial"/>
          <w:sz w:val="24"/>
          <w:szCs w:val="24"/>
        </w:rPr>
        <w:t xml:space="preserve">Quick check: ask 2–3 participants which report they chose and what their main concern was. Don’t dwell — use their answers to confirm the themes (source quality, transparency, defensibility) and move on.</w:t>
      </w:r>
    </w:p>
    <w:p>
      <w:pPr>
        <w:spacing w:after="160" w:before="0"/>
      </w:pPr>
      <w:r>
        <w:rPr>
          <w:rFonts w:ascii="Arial" w:cs="Arial" w:eastAsia="Arial" w:hAnsi="Arial"/>
          <w:sz w:val="24"/>
          <w:szCs w:val="24"/>
        </w:rPr>
        <w:t xml:space="preserve">Restate the IDE frame briefly: Session 3 was about Evaluation. Today is about Direction — and you’ll see that Direction is not one skill, it’s a repertoire. Different stages of a research process need different kinds of instruction, and understanding why each instruction is shaped the way it is matters more than memorising templates.</w:t>
      </w:r>
    </w:p>
    <w:p>
      <w:pPr>
        <w:spacing w:after="160" w:before="0"/>
      </w:pPr>
      <w:r>
        <w:rPr>
          <w:rFonts w:ascii="Arial" w:cs="Arial" w:eastAsia="Arial" w:hAnsi="Arial"/>
          <w:i/>
          <w:iCs/>
          <w:sz w:val="24"/>
          <w:szCs w:val="24"/>
        </w:rPr>
        <w:t xml:space="preserve">Transition: “Before we start building, I want to show you how I designed this process — with Claude’s help.”</w:t>
      </w:r>
    </w:p>
    <w:p>
      <w:pPr>
        <w:pStyle w:val="Heading1"/>
        <w:spacing w:after="160" w:before="0"/>
      </w:pPr>
      <w:r>
        <w:rPr>
          <w:rFonts w:ascii="Arial" w:cs="Arial" w:eastAsia="Arial" w:hAnsi="Arial"/>
          <w:sz w:val="24"/>
          <w:szCs w:val="24"/>
        </w:rPr>
        <w:t xml:space="preserve">STEP 2 — Designing the process with Claude (15 minutes)</w:t>
      </w:r>
    </w:p>
    <w:p>
      <w:pPr>
        <w:spacing w:after="160" w:before="0"/>
      </w:pPr>
      <w:r>
        <w:rPr>
          <w:rFonts w:ascii="Arial" w:cs="Arial" w:eastAsia="Arial" w:hAnsi="Arial"/>
          <w:i/>
          <w:iCs/>
          <w:sz w:val="24"/>
          <w:szCs w:val="24"/>
        </w:rPr>
        <w:t xml:space="preserve">Goal: Show participants that the research process itself was designed collaboratively with Claude, and highlight the key design decisions that shaped it.</w:t>
      </w:r>
    </w:p>
    <w:p>
      <w:pPr>
        <w:spacing w:after="160" w:before="0"/>
      </w:pPr>
      <w:r>
        <w:rPr>
          <w:rFonts w:ascii="Arial" w:cs="Arial" w:eastAsia="Arial" w:hAnsi="Arial"/>
          <w:sz w:val="24"/>
          <w:szCs w:val="24"/>
        </w:rPr>
        <w:t xml:space="preserve">This step uses the highlighted chat transcript from the lecturer’s design discussion with Claude. The point is not to read through the transcript but to show selected moves that illustrate how a skilled user thinks about process design.</w:t>
      </w:r>
    </w:p>
    <w:p>
      <w:pPr>
        <w:spacing w:after="160" w:before="0"/>
      </w:pPr>
      <w:r>
        <w:rPr>
          <w:rFonts w:ascii="Arial" w:cs="Arial" w:eastAsia="Arial" w:hAnsi="Arial"/>
          <w:b/>
          <w:bCs/>
          <w:sz w:val="24"/>
          <w:szCs w:val="24"/>
        </w:rPr>
        <w:t xml:space="preserve">The setup:</w:t>
      </w:r>
      <w:r>
        <w:rPr>
          <w:rFonts w:ascii="Arial" w:cs="Arial" w:eastAsia="Arial" w:hAnsi="Arial"/>
          <w:sz w:val="24"/>
          <w:szCs w:val="24"/>
        </w:rPr>
        <w:t xml:space="preserve"> Explain that before running any research, you sat down with Claude and asked: what should a directed research process look like for this question? You brought your own ideas about the steps, and Claude helped refine them.</w:t>
      </w:r>
    </w:p>
    <w:p>
      <w:pPr>
        <w:spacing w:after="160" w:before="0"/>
      </w:pPr>
      <w:r>
        <w:rPr>
          <w:rFonts w:ascii="Arial" w:cs="Arial" w:eastAsia="Arial" w:hAnsi="Arial"/>
          <w:b/>
          <w:bCs/>
          <w:sz w:val="24"/>
          <w:szCs w:val="24"/>
        </w:rPr>
        <w:t xml:space="preserve">Key moves to highlight from the transcript:</w:t>
      </w:r>
    </w:p>
    <w:p>
      <w:pPr>
        <w:pStyle w:val="ListParagraph"/>
        <w:numPr>
          <w:ilvl w:val="0"/>
          <w:numId w:val="2"/>
        </w:numPr>
        <w:spacing w:after="160" w:before="0"/>
      </w:pPr>
      <w:r>
        <w:rPr>
          <w:rFonts w:ascii="Arial" w:cs="Arial" w:eastAsia="Arial" w:hAnsi="Arial"/>
          <w:b/>
          <w:bCs/>
          <w:sz w:val="24"/>
          <w:szCs w:val="24"/>
        </w:rPr>
        <w:t xml:space="preserve">The source discovery pipeline.</w:t>
      </w:r>
      <w:r>
        <w:rPr>
          <w:rFonts w:ascii="Arial" w:cs="Arial" w:eastAsia="Arial" w:hAnsi="Arial"/>
          <w:sz w:val="24"/>
          <w:szCs w:val="24"/>
        </w:rPr>
        <w:t xml:space="preserve"> You started with a simple idea — ask an AI for sources, then review them — and refined it into a multi-sweep process: Deep Research sweep, training knowledge sweep, human knowledge sweep, quality check, human curation. Each sweep catches different things. Show how this emerged through the conversation, not as a pre-formed plan.</w:t>
      </w:r>
    </w:p>
    <w:p>
      <w:pPr>
        <w:pStyle w:val="ListParagraph"/>
        <w:numPr>
          <w:ilvl w:val="0"/>
          <w:numId w:val="2"/>
        </w:numPr>
        <w:spacing w:after="160" w:before="0"/>
      </w:pPr>
      <w:r>
        <w:rPr>
          <w:rFonts w:ascii="Arial" w:cs="Arial" w:eastAsia="Arial" w:hAnsi="Arial"/>
          <w:b/>
          <w:bCs/>
          <w:sz w:val="24"/>
          <w:szCs w:val="24"/>
        </w:rPr>
        <w:t xml:space="preserve">The distinction between synthesis and report.</w:t>
      </w:r>
      <w:r>
        <w:rPr>
          <w:rFonts w:ascii="Arial" w:cs="Arial" w:eastAsia="Arial" w:hAnsi="Arial"/>
          <w:sz w:val="24"/>
          <w:szCs w:val="24"/>
        </w:rPr>
        <w:t xml:space="preserve"> Claude pushed back on collapsing the literature review and report into a single step, arguing that the synthesis (organising evidence by theme) and the report (taking a position) are different cognitive tasks. If you skip the synthesis, you lose visibility into whether claims are well-supported or resting on a single source. This distinction shaped the process.</w:t>
      </w:r>
    </w:p>
    <w:p>
      <w:pPr>
        <w:pStyle w:val="ListParagraph"/>
        <w:numPr>
          <w:ilvl w:val="0"/>
          <w:numId w:val="2"/>
        </w:numPr>
        <w:spacing w:after="160" w:before="0"/>
      </w:pPr>
      <w:r>
        <w:rPr>
          <w:rFonts w:ascii="Arial" w:cs="Arial" w:eastAsia="Arial" w:hAnsi="Arial"/>
          <w:b/>
          <w:bCs/>
          <w:sz w:val="24"/>
          <w:szCs w:val="24"/>
        </w:rPr>
        <w:t xml:space="preserve">The instruction repertoire.</w:t>
      </w:r>
      <w:r>
        <w:rPr>
          <w:rFonts w:ascii="Arial" w:cs="Arial" w:eastAsia="Arial" w:hAnsi="Arial"/>
          <w:sz w:val="24"/>
          <w:szCs w:val="24"/>
        </w:rPr>
        <w:t xml:space="preserve"> Point at 3–4 of the actual instructions used in the process and note how different they are: a minimal instruction for the DR sweep (deliberately under-specified to see what the tool finds), a constraint instruction for the literature review (only use these sources, do not search for more), an analytical instruction for the synthesis (organise and assess, don’t conclude), and a highly opinionated instruction for the report (audience, structure, tone, evidence-handling rules). Each is shaped by what that step needs to produce.</w:t>
      </w:r>
    </w:p>
    <w:p>
      <w:pPr>
        <w:pStyle w:val="ListParagraph"/>
        <w:numPr>
          <w:ilvl w:val="0"/>
          <w:numId w:val="2"/>
        </w:numPr>
        <w:spacing w:after="160" w:before="0"/>
      </w:pPr>
      <w:r>
        <w:rPr>
          <w:rFonts w:ascii="Arial" w:cs="Arial" w:eastAsia="Arial" w:hAnsi="Arial"/>
          <w:b/>
          <w:bCs/>
          <w:sz w:val="24"/>
          <w:szCs w:val="24"/>
        </w:rPr>
        <w:t xml:space="preserve">The alternative architectures.</w:t>
      </w:r>
      <w:r>
        <w:rPr>
          <w:rFonts w:ascii="Arial" w:cs="Arial" w:eastAsia="Arial" w:hAnsi="Arial"/>
          <w:sz w:val="24"/>
          <w:szCs w:val="24"/>
        </w:rPr>
        <w:t xml:space="preserve"> Briefly mention that the process you designed is bottom-up (gather sources, synthesise, then shape a report). An alternative is top-down (define what a good answer looks like, decompose into sub-questions, then research each one). A hybrid combines both. There is no single correct process — the point is that you design one deliberately rather than typing a question into a canned tool and hoping for the best.</w:t>
      </w:r>
    </w:p>
    <w:p>
      <w:pPr>
        <w:spacing w:after="160" w:before="0"/>
      </w:pPr>
      <w:r>
        <w:rPr>
          <w:rFonts w:ascii="Arial" w:cs="Arial" w:eastAsia="Arial" w:hAnsi="Arial"/>
          <w:b/>
          <w:bCs/>
          <w:sz w:val="24"/>
          <w:szCs w:val="24"/>
        </w:rPr>
        <w:t xml:space="preserve">Teaching point to land:</w:t>
      </w:r>
      <w:r>
        <w:rPr>
          <w:rFonts w:ascii="Arial" w:cs="Arial" w:eastAsia="Arial" w:hAnsi="Arial"/>
          <w:sz w:val="24"/>
          <w:szCs w:val="24"/>
        </w:rPr>
        <w:t xml:space="preserve"> The design discussion itself is Direction. Before you write a single research prompt, you’re directing Claude to help you think about what the process should be. This is the highest-leverage use of Direction — getting the architecture right before you start building.</w:t>
      </w:r>
    </w:p>
    <w:p>
      <w:pPr>
        <w:spacing w:after="160" w:before="0"/>
      </w:pPr>
      <w:r>
        <w:rPr>
          <w:rFonts w:ascii="Arial" w:cs="Arial" w:eastAsia="Arial" w:hAnsi="Arial"/>
          <w:i/>
          <w:iCs/>
          <w:sz w:val="24"/>
          <w:szCs w:val="24"/>
        </w:rPr>
        <w:t xml:space="preserve">Transition: “Now let me show you the process in action. We’ll go step by step.”</w:t>
      </w:r>
    </w:p>
    <w:p>
      <w:pPr>
        <w:pStyle w:val="Heading1"/>
        <w:spacing w:after="160" w:before="0"/>
      </w:pPr>
      <w:r>
        <w:rPr>
          <w:rFonts w:ascii="Arial" w:cs="Arial" w:eastAsia="Arial" w:hAnsi="Arial"/>
          <w:sz w:val="24"/>
          <w:szCs w:val="24"/>
        </w:rPr>
        <w:t xml:space="preserve">STEP 3 — Source discovery and curation (25 minutes)</w:t>
      </w:r>
    </w:p>
    <w:p>
      <w:pPr>
        <w:spacing w:after="160" w:before="0"/>
      </w:pPr>
      <w:r>
        <w:rPr>
          <w:rFonts w:ascii="Arial" w:cs="Arial" w:eastAsia="Arial" w:hAnsi="Arial"/>
          <w:i/>
          <w:iCs/>
          <w:sz w:val="24"/>
          <w:szCs w:val="24"/>
        </w:rPr>
        <w:t xml:space="preserve">Goal: Walk through the five-part source discovery pipeline, demonstrating each part with pre-prepared outputs. This is the most novel part of the process and the one most different from canned tools.</w:t>
      </w:r>
    </w:p>
    <w:p>
      <w:pPr>
        <w:spacing w:after="160" w:before="0"/>
      </w:pPr>
      <w:r>
        <w:rPr>
          <w:rFonts w:ascii="Arial" w:cs="Arial" w:eastAsia="Arial" w:hAnsi="Arial"/>
          <w:sz w:val="24"/>
          <w:szCs w:val="24"/>
        </w:rPr>
        <w:t xml:space="preserve">Explain the pipeline overview: five parts, each catching things the others miss, with a clear product at the end — a ranked, curated, quality-checked source list.</w:t>
      </w:r>
    </w:p>
    <w:p>
      <w:pPr>
        <w:pStyle w:val="Heading2"/>
        <w:spacing w:after="160" w:before="0"/>
      </w:pPr>
      <w:r>
        <w:rPr>
          <w:rFonts w:ascii="Arial" w:cs="Arial" w:eastAsia="Arial" w:hAnsi="Arial"/>
          <w:sz w:val="24"/>
          <w:szCs w:val="24"/>
        </w:rPr>
        <w:t xml:space="preserve">3.1 — Deep Research sweep</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Run DR on the research question with minimal direction. Harvest the source list. Discard the report.</w:t>
      </w:r>
    </w:p>
    <w:p>
      <w:pPr>
        <w:spacing w:after="160" w:before="0"/>
      </w:pPr>
      <w:r>
        <w:rPr>
          <w:rFonts w:ascii="Arial" w:cs="Arial" w:eastAsia="Arial" w:hAnsi="Arial"/>
          <w:b/>
          <w:bCs/>
          <w:sz w:val="24"/>
          <w:szCs w:val="24"/>
        </w:rPr>
        <w:t xml:space="preserve">Live demo:</w:t>
      </w:r>
      <w:r>
        <w:rPr>
          <w:rFonts w:ascii="Arial" w:cs="Arial" w:eastAsia="Arial" w:hAnsi="Arial"/>
          <w:sz w:val="24"/>
          <w:szCs w:val="24"/>
        </w:rPr>
        <w:t xml:space="preserve"> Submit the research question to Claude Research mode. While it runs (8–9 minutes), explain what’s happening: DR is being used as a search engine with judgment, not as a report writer. It will find sources based on its real-time web access and its own assessment of relevance. After 2–3 minutes of watching the tool calls, cut to the pre-prepared output.</w:t>
      </w:r>
    </w:p>
    <w:p>
      <w:pPr>
        <w:spacing w:after="160" w:before="0"/>
      </w:pPr>
      <w:r>
        <w:rPr>
          <w:rFonts w:ascii="Arial" w:cs="Arial" w:eastAsia="Arial" w:hAnsi="Arial"/>
          <w:b/>
          <w:bCs/>
          <w:sz w:val="24"/>
          <w:szCs w:val="24"/>
        </w:rPr>
        <w:t xml:space="preserve">Show the output:</w:t>
      </w:r>
      <w:r>
        <w:rPr>
          <w:rFonts w:ascii="Arial" w:cs="Arial" w:eastAsia="Arial" w:hAnsi="Arial"/>
          <w:sz w:val="24"/>
          <w:szCs w:val="24"/>
        </w:rPr>
        <w:t xml:space="preserve"> The DR source list — 73 sources in this case. Point out the “520 sources” display: this is the number of pages DR visited during its search, not the number it cited. Participants will see this number and assume it means something it doesn’t.</w:t>
      </w:r>
    </w:p>
    <w:p>
      <w:pPr>
        <w:spacing w:after="160" w:before="0"/>
      </w:pPr>
      <w:r>
        <w:rPr>
          <w:rFonts w:ascii="Arial" w:cs="Arial" w:eastAsia="Arial" w:hAnsi="Arial"/>
          <w:b/>
          <w:bCs/>
          <w:sz w:val="24"/>
          <w:szCs w:val="24"/>
        </w:rPr>
        <w:t xml:space="preserve">Teaching point:</w:t>
      </w:r>
      <w:r>
        <w:rPr>
          <w:rFonts w:ascii="Arial" w:cs="Arial" w:eastAsia="Arial" w:hAnsi="Arial"/>
          <w:sz w:val="24"/>
          <w:szCs w:val="24"/>
        </w:rPr>
        <w:t xml:space="preserve"> We are using a powerful tool for a narrow purpose. The report DR produces is exactly the kind of output Session 3 showed us we can’t fully trust. But the source list is valuable — it’s a broad sweep of what’s out there.</w:t>
      </w:r>
    </w:p>
    <w:p>
      <w:pPr>
        <w:pStyle w:val="Heading2"/>
        <w:spacing w:after="160" w:before="0"/>
      </w:pPr>
      <w:r>
        <w:rPr>
          <w:rFonts w:ascii="Arial" w:cs="Arial" w:eastAsia="Arial" w:hAnsi="Arial"/>
          <w:sz w:val="24"/>
          <w:szCs w:val="24"/>
        </w:rPr>
        <w:t xml:space="preserve">3.2 — Training knowledge sweep</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In standard chat (not DR), give Claude the research question and the DR source list. Ask it to identify authoritative sources, institutions, reports, and authors that are relevant but missing from the list.</w:t>
      </w:r>
    </w:p>
    <w:p>
      <w:pPr>
        <w:spacing w:after="160" w:before="0"/>
      </w:pPr>
      <w:r>
        <w:rPr>
          <w:rFonts w:ascii="Arial" w:cs="Arial" w:eastAsia="Arial" w:hAnsi="Arial"/>
          <w:b/>
          <w:bCs/>
          <w:sz w:val="24"/>
          <w:szCs w:val="24"/>
        </w:rPr>
        <w:t xml:space="preserve">Show the instruction and output:</w:t>
      </w:r>
      <w:r>
        <w:rPr>
          <w:rFonts w:ascii="Arial" w:cs="Arial" w:eastAsia="Arial" w:hAnsi="Arial"/>
          <w:sz w:val="24"/>
          <w:szCs w:val="24"/>
        </w:rPr>
        <w:t xml:space="preserve"> The instruction specifically asks Claude to think about regulatory bodies, industry associations, consulting firms, academic research centres, and recurring sector publications. The output was approximately 40 additional sources across 10 categories.</w:t>
      </w:r>
    </w:p>
    <w:p>
      <w:pPr>
        <w:spacing w:after="160" w:before="0"/>
      </w:pPr>
      <w:r>
        <w:rPr>
          <w:rFonts w:ascii="Arial" w:cs="Arial" w:eastAsia="Arial" w:hAnsi="Arial"/>
          <w:b/>
          <w:bCs/>
          <w:sz w:val="24"/>
          <w:szCs w:val="24"/>
        </w:rPr>
        <w:t xml:space="preserve">Key finding to present:</w:t>
      </w:r>
      <w:r>
        <w:rPr>
          <w:rFonts w:ascii="Arial" w:cs="Arial" w:eastAsia="Arial" w:hAnsi="Arial"/>
          <w:sz w:val="24"/>
          <w:szCs w:val="24"/>
        </w:rPr>
        <w:t xml:space="preserve"> Claude identified three major gaps in the DR source list: the Big 5 banks’ own annual integrated reports were entirely absent, some sources cited in the DR report’s body text didn’t appear in its own source list (an internal inconsistency), and an entire category of practical data (recruitment firm salary guides) was missing. These are three different failure modes caught in a single pass.</w:t>
      </w:r>
    </w:p>
    <w:p>
      <w:pPr>
        <w:spacing w:after="160" w:before="0"/>
      </w:pPr>
      <w:r>
        <w:rPr>
          <w:rFonts w:ascii="Arial" w:cs="Arial" w:eastAsia="Arial" w:hAnsi="Arial"/>
          <w:b/>
          <w:bCs/>
          <w:sz w:val="24"/>
          <w:szCs w:val="24"/>
        </w:rPr>
        <w:t xml:space="preserve">Teaching point:</w:t>
      </w:r>
      <w:r>
        <w:rPr>
          <w:rFonts w:ascii="Arial" w:cs="Arial" w:eastAsia="Arial" w:hAnsi="Arial"/>
          <w:sz w:val="24"/>
          <w:szCs w:val="24"/>
        </w:rPr>
        <w:t xml:space="preserve"> This step taps a different knowledge base from DR. The model’s training knowledge includes awareness of authoritative institutions, recurring reports, and key publications that a real-time web search might not surface. The overlap between the two sweeps is incomplete — that’s the point.</w:t>
      </w:r>
    </w:p>
    <w:p>
      <w:pPr>
        <w:pStyle w:val="Heading2"/>
        <w:spacing w:after="160" w:before="0"/>
      </w:pPr>
      <w:r>
        <w:rPr>
          <w:rFonts w:ascii="Arial" w:cs="Arial" w:eastAsia="Arial" w:hAnsi="Arial"/>
          <w:sz w:val="24"/>
          <w:szCs w:val="24"/>
        </w:rPr>
        <w:t xml:space="preserve">3.3 — Human knowledge sweep</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The researcher adds sources from their own domain knowledge — reports they’ve seen cited, institutions they know are active, niche publications, known experts.</w:t>
      </w:r>
    </w:p>
    <w:p>
      <w:pPr>
        <w:spacing w:after="160" w:before="0"/>
      </w:pPr>
      <w:r>
        <w:rPr>
          <w:rFonts w:ascii="Arial" w:cs="Arial" w:eastAsia="Arial" w:hAnsi="Arial"/>
          <w:b/>
          <w:bCs/>
          <w:sz w:val="24"/>
          <w:szCs w:val="24"/>
        </w:rPr>
        <w:t xml:space="preserve">Note for delivery:</w:t>
      </w:r>
      <w:r>
        <w:rPr>
          <w:rFonts w:ascii="Arial" w:cs="Arial" w:eastAsia="Arial" w:hAnsi="Arial"/>
          <w:sz w:val="24"/>
          <w:szCs w:val="24"/>
        </w:rPr>
        <w:t xml:space="preserve"> This step was skipped in the demo run because no domain-specific knowledge was available. In a real research engagement, this is where the researcher’s expertise earns its place. Mention that this is also where the Session 3 homework lands naturally — participants identified source gaps in the canned reports, and their domain knowledge feeds in here.</w:t>
      </w:r>
    </w:p>
    <w:p>
      <w:pPr>
        <w:pStyle w:val="Heading2"/>
        <w:spacing w:after="160" w:before="0"/>
      </w:pPr>
      <w:r>
        <w:rPr>
          <w:rFonts w:ascii="Arial" w:cs="Arial" w:eastAsia="Arial" w:hAnsi="Arial"/>
          <w:sz w:val="24"/>
          <w:szCs w:val="24"/>
        </w:rPr>
        <w:t xml:space="preserve">3.4 — Source quality check</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Give Claude the combined source list and ask it to check each source for: URL accessibility, publication date, whether it’s a primary or secondary source, institutional credibility, and direct relevance to the research question.</w:t>
      </w:r>
    </w:p>
    <w:p>
      <w:pPr>
        <w:spacing w:after="160" w:before="0"/>
      </w:pPr>
      <w:r>
        <w:rPr>
          <w:rFonts w:ascii="Arial" w:cs="Arial" w:eastAsia="Arial" w:hAnsi="Arial"/>
          <w:b/>
          <w:bCs/>
          <w:sz w:val="24"/>
          <w:szCs w:val="24"/>
        </w:rPr>
        <w:t xml:space="preserve">Show the instruction:</w:t>
      </w:r>
      <w:r>
        <w:rPr>
          <w:rFonts w:ascii="Arial" w:cs="Arial" w:eastAsia="Arial" w:hAnsi="Arial"/>
          <w:sz w:val="24"/>
          <w:szCs w:val="24"/>
        </w:rPr>
        <w:t xml:space="preserve"> Walk through the column definitions — Status, Date, Type, Credibility, Relevance, Source Sweep, Recommendation, Notes. Point out that the instruction specifies the output format explicitly (CSV with defined columns) and asks for an actionable recommendation (Keep / Query / Remove) rather than just annotation.</w:t>
      </w:r>
    </w:p>
    <w:p>
      <w:pPr>
        <w:spacing w:after="160" w:before="0"/>
      </w:pPr>
      <w:r>
        <w:rPr>
          <w:rFonts w:ascii="Arial" w:cs="Arial" w:eastAsia="Arial" w:hAnsi="Arial"/>
          <w:b/>
          <w:bCs/>
          <w:sz w:val="24"/>
          <w:szCs w:val="24"/>
        </w:rPr>
        <w:t xml:space="preserve">Show the output:</w:t>
      </w:r>
      <w:r>
        <w:rPr>
          <w:rFonts w:ascii="Arial" w:cs="Arial" w:eastAsia="Arial" w:hAnsi="Arial"/>
          <w:sz w:val="24"/>
          <w:szCs w:val="24"/>
        </w:rPr>
        <w:t xml:space="preserve"> The source audit CSV. Key statistics: 115 sources checked, 61 Keep, 40 Query, 14 Remove. Only 62 confirmed live URLs. Of the 42 training knowledge sources, only 18 had confirmed live URLs — validating the concern that training knowledge produces good institutional names but unreliable URLs.</w:t>
      </w:r>
    </w:p>
    <w:p>
      <w:pPr>
        <w:spacing w:after="160" w:before="0"/>
      </w:pPr>
      <w:r>
        <w:rPr>
          <w:rFonts w:ascii="Arial" w:cs="Arial" w:eastAsia="Arial" w:hAnsi="Arial"/>
          <w:b/>
          <w:bCs/>
          <w:sz w:val="24"/>
          <w:szCs w:val="24"/>
        </w:rPr>
        <w:t xml:space="preserve">Practical lesson:</w:t>
      </w:r>
      <w:r>
        <w:rPr>
          <w:rFonts w:ascii="Arial" w:cs="Arial" w:eastAsia="Arial" w:hAnsi="Arial"/>
          <w:sz w:val="24"/>
          <w:szCs w:val="24"/>
        </w:rPr>
        <w:t xml:space="preserve"> This step hit tool call limits repeatedly because Claude was checking 115 URLs one by one. Each tool call triggers a full context re-read. The workaround was clicking “continue” multiple times. A better approach for production use would be a Python script that handles mechanical URL checks and reserves AI calls for the judgment tasks (credibility, relevance). Name this as a practical limitation participants will encounter.</w:t>
      </w:r>
    </w:p>
    <w:p>
      <w:pPr>
        <w:pStyle w:val="Heading2"/>
        <w:spacing w:after="160" w:before="0"/>
      </w:pPr>
      <w:r>
        <w:rPr>
          <w:rFonts w:ascii="Arial" w:cs="Arial" w:eastAsia="Arial" w:hAnsi="Arial"/>
          <w:sz w:val="24"/>
          <w:szCs w:val="24"/>
        </w:rPr>
        <w:t xml:space="preserve">3.5 — Human curation</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The researcher reviews the annotated list and assigns each source a rank: A (essential), B (important), C (useful), D (ignore). Removes sources that failed the quality check. Adds any final sources prompted by the review.</w:t>
      </w:r>
    </w:p>
    <w:p>
      <w:pPr>
        <w:spacing w:after="160" w:before="0"/>
      </w:pPr>
      <w:r>
        <w:rPr>
          <w:rFonts w:ascii="Arial" w:cs="Arial" w:eastAsia="Arial" w:hAnsi="Arial"/>
          <w:b/>
          <w:bCs/>
          <w:sz w:val="24"/>
          <w:szCs w:val="24"/>
        </w:rPr>
        <w:t xml:space="preserve">Show the decision:</w:t>
      </w:r>
      <w:r>
        <w:rPr>
          <w:rFonts w:ascii="Arial" w:cs="Arial" w:eastAsia="Arial" w:hAnsi="Arial"/>
          <w:sz w:val="24"/>
          <w:szCs w:val="24"/>
        </w:rPr>
        <w:t xml:space="preserve"> In this case, a tight filter was applied: keep only sources with Status = Live and Recommendation = Keep. This produced 40 sources — a clean, defensible list with an even split of 20 primary and 20 secondary sources.</w:t>
      </w:r>
    </w:p>
    <w:p>
      <w:pPr>
        <w:spacing w:after="160" w:before="0"/>
      </w:pPr>
      <w:r>
        <w:rPr>
          <w:rFonts w:ascii="Arial" w:cs="Arial" w:eastAsia="Arial" w:hAnsi="Arial"/>
          <w:b/>
          <w:bCs/>
          <w:sz w:val="24"/>
          <w:szCs w:val="24"/>
        </w:rPr>
        <w:t xml:space="preserve">Teaching point:</w:t>
      </w:r>
      <w:r>
        <w:rPr>
          <w:rFonts w:ascii="Arial" w:cs="Arial" w:eastAsia="Arial" w:hAnsi="Arial"/>
          <w:sz w:val="24"/>
          <w:szCs w:val="24"/>
        </w:rPr>
        <w:t xml:space="preserve"> This is where human judgment is irreplaceable. The AI can check URLs and assess credibility, but deciding which sources matter most for this specific question and this specific audience is a human call. The A–D ranking in a real engagement would reflect the researcher’s understanding of the client’s priorities and the question’s demands.</w:t>
      </w:r>
    </w:p>
    <w:p>
      <w:pPr>
        <w:spacing w:after="160" w:before="0"/>
      </w:pPr>
      <w:r>
        <w:rPr>
          <w:rFonts w:ascii="Arial" w:cs="Arial" w:eastAsia="Arial" w:hAnsi="Arial"/>
          <w:b/>
          <w:bCs/>
          <w:sz w:val="24"/>
          <w:szCs w:val="24"/>
        </w:rPr>
        <w:t xml:space="preserve">Step 3 close — the product:</w:t>
      </w:r>
      <w:r>
        <w:rPr>
          <w:rFonts w:ascii="Arial" w:cs="Arial" w:eastAsia="Arial" w:hAnsi="Arial"/>
          <w:sz w:val="24"/>
          <w:szCs w:val="24"/>
        </w:rPr>
        <w:t xml:space="preserve"> We now have something no canned tool gives us: a transparent, quality-checked, human-curated source list. Every source is there for a reason. Every source has been verified. The list is defensible — if a client asks “why did you use this source?” or “why didn’t you use that one?”, we can answer.</w:t>
      </w:r>
    </w:p>
    <w:p>
      <w:pPr>
        <w:spacing w:after="160" w:before="0"/>
      </w:pPr>
      <w:r>
        <w:rPr>
          <w:rFonts w:ascii="Arial" w:cs="Arial" w:eastAsia="Arial" w:hAnsi="Arial"/>
          <w:b/>
          <w:bCs/>
          <w:sz w:val="24"/>
          <w:szCs w:val="24"/>
        </w:rPr>
        <w:t xml:space="preserve">Note for recurring research:</w:t>
      </w:r>
      <w:r>
        <w:rPr>
          <w:rFonts w:ascii="Arial" w:cs="Arial" w:eastAsia="Arial" w:hAnsi="Arial"/>
          <w:sz w:val="24"/>
          <w:szCs w:val="24"/>
        </w:rPr>
        <w:t xml:space="preserve"> This source list becomes a maintained asset. The expensive multi-sweep discovery process runs once. On subsequent runs, the task is simpler: check the canonical list for health, and search for new publications from known institutions. The process gets faster and the list gets better over time.</w:t>
      </w:r>
    </w:p>
    <w:p>
      <w:pPr>
        <w:spacing w:after="160" w:before="0"/>
      </w:pPr>
      <w:r>
        <w:rPr>
          <w:rFonts w:ascii="Arial" w:cs="Arial" w:eastAsia="Arial" w:hAnsi="Arial"/>
          <w:i/>
          <w:iCs/>
          <w:sz w:val="24"/>
          <w:szCs w:val="24"/>
        </w:rPr>
        <w:t xml:space="preserve">Transition: “We have our sources. Now we need to find out what they actually say.”</w:t>
      </w:r>
    </w:p>
    <w:p>
      <w:pPr>
        <w:pStyle w:val="Heading1"/>
        <w:spacing w:after="160" w:before="0"/>
      </w:pPr>
      <w:r>
        <w:rPr>
          <w:rFonts w:ascii="Arial" w:cs="Arial" w:eastAsia="Arial" w:hAnsi="Arial"/>
          <w:sz w:val="24"/>
          <w:szCs w:val="24"/>
        </w:rPr>
        <w:t xml:space="preserve">STEP 4 — Literature review (10 minutes)</w:t>
      </w:r>
    </w:p>
    <w:p>
      <w:pPr>
        <w:spacing w:after="160" w:before="0"/>
      </w:pPr>
      <w:r>
        <w:rPr>
          <w:rFonts w:ascii="Arial" w:cs="Arial" w:eastAsia="Arial" w:hAnsi="Arial"/>
          <w:i/>
          <w:iCs/>
          <w:sz w:val="24"/>
          <w:szCs w:val="24"/>
        </w:rPr>
        <w:t xml:space="preserve">Goal: Show how a constrained instruction produces a source-by-source digest that preserves what each source actually says before any synthesis occurs.</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Ask Claude to read each of the 40 curated sources and produce a focused summary of each, concentrating on content relevant to the research question. No integration, no synthesis — just a structured digest of what each source says.</w:t>
      </w:r>
    </w:p>
    <w:p>
      <w:pPr>
        <w:spacing w:after="160" w:before="0"/>
      </w:pPr>
      <w:r>
        <w:rPr>
          <w:rFonts w:ascii="Arial" w:cs="Arial" w:eastAsia="Arial" w:hAnsi="Arial"/>
          <w:b/>
          <w:bCs/>
          <w:sz w:val="24"/>
          <w:szCs w:val="24"/>
        </w:rPr>
        <w:t xml:space="preserve">Show the instruction:</w:t>
      </w:r>
      <w:r>
        <w:rPr>
          <w:rFonts w:ascii="Arial" w:cs="Arial" w:eastAsia="Arial" w:hAnsi="Arial"/>
          <w:sz w:val="24"/>
          <w:szCs w:val="24"/>
        </w:rPr>
        <w:t xml:space="preserve"> Point out its key features: it tells Claude to summarise each source individually, not to integrate knowledge across sources, and not to add any sources beyond the curated list. It frames the task as writing a “Review of the Literature” section, not answering the research question.</w:t>
      </w:r>
    </w:p>
    <w:p>
      <w:pPr>
        <w:spacing w:after="160" w:before="0"/>
      </w:pPr>
      <w:r>
        <w:rPr>
          <w:rFonts w:ascii="Arial" w:cs="Arial" w:eastAsia="Arial" w:hAnsi="Arial"/>
          <w:b/>
          <w:bCs/>
          <w:sz w:val="24"/>
          <w:szCs w:val="24"/>
        </w:rPr>
        <w:t xml:space="preserve">The DR constraint problem:</w:t>
      </w:r>
      <w:r>
        <w:rPr>
          <w:rFonts w:ascii="Arial" w:cs="Arial" w:eastAsia="Arial" w:hAnsi="Arial"/>
          <w:sz w:val="24"/>
          <w:szCs w:val="24"/>
        </w:rPr>
        <w:t xml:space="preserve"> This instruction was run in DR mode because Claude needed web access to read the URLs. The instruction explicitly told DR not to search for additional sources. DR acknowledged the constraint (“you want a source-by-source literature review covering only the URLs you’ve provided”) but then visited 443 sources during the run. However, the final output respected the output constraint — it reported on only the 40 specified sources. Lesson: DR may not respect process constraints even when it respects output constraints. For production work, consider whether standard chat with web search gives more control.</w:t>
      </w:r>
    </w:p>
    <w:p>
      <w:pPr>
        <w:spacing w:after="160" w:before="0"/>
      </w:pPr>
      <w:r>
        <w:rPr>
          <w:rFonts w:ascii="Arial" w:cs="Arial" w:eastAsia="Arial" w:hAnsi="Arial"/>
          <w:b/>
          <w:bCs/>
          <w:sz w:val="24"/>
          <w:szCs w:val="24"/>
        </w:rPr>
        <w:t xml:space="preserve">Show the output briefly:</w:t>
      </w:r>
      <w:r>
        <w:rPr>
          <w:rFonts w:ascii="Arial" w:cs="Arial" w:eastAsia="Arial" w:hAnsi="Arial"/>
          <w:sz w:val="24"/>
          <w:szCs w:val="24"/>
        </w:rPr>
        <w:t xml:space="preserve"> 40 individual source summaries, each focused on skills-relevant content. Some are clearly based on actually reading the page (detailed data, specific figures). Others — particularly landing pages like SABRIC and Stats SA — read more like Claude filled in from training knowledge because the page itself didn’t have extractable content. This distinction is worth noting but doesn’t invalidate the output.</w:t>
      </w:r>
    </w:p>
    <w:p>
      <w:pPr>
        <w:spacing w:after="160" w:before="0"/>
      </w:pPr>
      <w:r>
        <w:rPr>
          <w:rFonts w:ascii="Arial" w:cs="Arial" w:eastAsia="Arial" w:hAnsi="Arial"/>
          <w:i/>
          <w:iCs/>
          <w:sz w:val="24"/>
          <w:szCs w:val="24"/>
        </w:rPr>
        <w:t xml:space="preserve">Transition: “We now know what each source says individually. The next step is to look across all of them and find the patterns.”</w:t>
      </w:r>
    </w:p>
    <w:p>
      <w:pPr>
        <w:pStyle w:val="Heading1"/>
        <w:spacing w:after="160" w:before="0"/>
      </w:pPr>
      <w:r>
        <w:rPr>
          <w:rFonts w:ascii="Arial" w:cs="Arial" w:eastAsia="Arial" w:hAnsi="Arial"/>
          <w:sz w:val="24"/>
          <w:szCs w:val="24"/>
        </w:rPr>
        <w:t xml:space="preserve">STEP 5 — Analytical synthesis (15 minutes)</w:t>
      </w:r>
    </w:p>
    <w:p>
      <w:pPr>
        <w:spacing w:after="160" w:before="0"/>
      </w:pPr>
      <w:r>
        <w:rPr>
          <w:rFonts w:ascii="Arial" w:cs="Arial" w:eastAsia="Arial" w:hAnsi="Arial"/>
          <w:i/>
          <w:iCs/>
          <w:sz w:val="24"/>
          <w:szCs w:val="24"/>
        </w:rPr>
        <w:t xml:space="preserve">Goal: Show how a synthesis organised by theme — not by source — produces the analytical backbone for the report. Demonstrate why this step exists separately from both the literature review and the report.</w:t>
      </w:r>
    </w:p>
    <w:p>
      <w:pPr>
        <w:spacing w:after="160" w:before="0"/>
      </w:pPr>
      <w:r>
        <w:rPr>
          <w:rFonts w:ascii="Arial" w:cs="Arial" w:eastAsia="Arial" w:hAnsi="Arial"/>
          <w:b/>
          <w:bCs/>
          <w:sz w:val="24"/>
          <w:szCs w:val="24"/>
        </w:rPr>
        <w:t xml:space="preserve">What it does:</w:t>
      </w:r>
      <w:r>
        <w:rPr>
          <w:rFonts w:ascii="Arial" w:cs="Arial" w:eastAsia="Arial" w:hAnsi="Arial"/>
          <w:sz w:val="24"/>
          <w:szCs w:val="24"/>
        </w:rPr>
        <w:t xml:space="preserve"> Takes the 40 source summaries and organises them by theme, assessing evidence strength, surfacing tensions between sources, and identifying gaps.</w:t>
      </w:r>
    </w:p>
    <w:p>
      <w:pPr>
        <w:spacing w:after="160" w:before="0"/>
      </w:pPr>
      <w:r>
        <w:rPr>
          <w:rFonts w:ascii="Arial" w:cs="Arial" w:eastAsia="Arial" w:hAnsi="Arial"/>
          <w:b/>
          <w:bCs/>
          <w:sz w:val="24"/>
          <w:szCs w:val="24"/>
        </w:rPr>
        <w:t xml:space="preserve">Why this is a separate step:</w:t>
      </w:r>
      <w:r>
        <w:rPr>
          <w:rFonts w:ascii="Arial" w:cs="Arial" w:eastAsia="Arial" w:hAnsi="Arial"/>
          <w:sz w:val="24"/>
          <w:szCs w:val="24"/>
        </w:rPr>
        <w:t xml:space="preserve"> If you go straight from source summaries to a report, Claude will do the synthesis implicitly and you lose visibility into the analytical layer. You can’t see whether a recommendation is well-supported by multiple sources or built on a single data point. The synthesis makes the evidence structure visible.</w:t>
      </w:r>
    </w:p>
    <w:p>
      <w:pPr>
        <w:spacing w:after="160" w:before="0"/>
      </w:pPr>
      <w:r>
        <w:rPr>
          <w:rFonts w:ascii="Arial" w:cs="Arial" w:eastAsia="Arial" w:hAnsi="Arial"/>
          <w:b/>
          <w:bCs/>
          <w:sz w:val="24"/>
          <w:szCs w:val="24"/>
        </w:rPr>
        <w:t xml:space="preserve">Show the instruction:</w:t>
      </w:r>
      <w:r>
        <w:rPr>
          <w:rFonts w:ascii="Arial" w:cs="Arial" w:eastAsia="Arial" w:hAnsi="Arial"/>
          <w:sz w:val="24"/>
          <w:szCs w:val="24"/>
        </w:rPr>
        <w:t xml:space="preserve"> It has four explicit tasks: identify major themes and note which sources support each; flag conflicting data and divergent assessments; identify evidence gaps; and note where evidence is strong versus where it rests on a single source. Crucially, it says “do not make recommendations — organise and assess.”</w:t>
      </w:r>
    </w:p>
    <w:p>
      <w:pPr>
        <w:spacing w:after="160" w:before="0"/>
      </w:pPr>
      <w:r>
        <w:rPr>
          <w:rFonts w:ascii="Arial" w:cs="Arial" w:eastAsia="Arial" w:hAnsi="Arial"/>
          <w:b/>
          <w:bCs/>
          <w:sz w:val="24"/>
          <w:szCs w:val="24"/>
        </w:rPr>
        <w:t xml:space="preserve">Show key findings from the synthesis output:</w:t>
      </w:r>
    </w:p>
    <w:p>
      <w:pPr>
        <w:pStyle w:val="ListParagraph"/>
        <w:numPr>
          <w:ilvl w:val="0"/>
          <w:numId w:val="2"/>
        </w:numPr>
        <w:spacing w:after="160" w:before="0"/>
      </w:pPr>
      <w:r>
        <w:rPr>
          <w:rFonts w:ascii="Arial" w:cs="Arial" w:eastAsia="Arial" w:hAnsi="Arial"/>
          <w:sz w:val="24"/>
          <w:szCs w:val="24"/>
        </w:rPr>
        <w:t xml:space="preserve">11 themes identified, each with an explicit evidence-strength rating</w:t>
      </w:r>
    </w:p>
    <w:p>
      <w:pPr>
        <w:pStyle w:val="ListParagraph"/>
        <w:numPr>
          <w:ilvl w:val="0"/>
          <w:numId w:val="2"/>
        </w:numPr>
        <w:spacing w:after="160" w:before="0"/>
      </w:pPr>
      <w:r>
        <w:rPr>
          <w:rFonts w:ascii="Arial" w:cs="Arial" w:eastAsia="Arial" w:hAnsi="Arial"/>
          <w:sz w:val="24"/>
          <w:szCs w:val="24"/>
        </w:rPr>
        <w:t xml:space="preserve">Cybersecurity is the best-evidenced shortage (multiple primary sources converging), but the specific 30,000-person deficit figure comes from a single paywalled commercial report</w:t>
      </w:r>
    </w:p>
    <w:p>
      <w:pPr>
        <w:pStyle w:val="ListParagraph"/>
        <w:numPr>
          <w:ilvl w:val="0"/>
          <w:numId w:val="2"/>
        </w:numPr>
        <w:spacing w:after="160" w:before="0"/>
      </w:pPr>
      <w:r>
        <w:rPr>
          <w:rFonts w:ascii="Arial" w:cs="Arial" w:eastAsia="Arial" w:hAnsi="Arial"/>
          <w:sz w:val="24"/>
          <w:szCs w:val="24"/>
        </w:rPr>
        <w:t xml:space="preserve">AI/ML demand has strong directional consensus but no quantified estimate of the gap</w:t>
      </w:r>
    </w:p>
    <w:p>
      <w:pPr>
        <w:pStyle w:val="ListParagraph"/>
        <w:numPr>
          <w:ilvl w:val="0"/>
          <w:numId w:val="2"/>
        </w:numPr>
        <w:spacing w:after="160" w:before="0"/>
      </w:pPr>
      <w:r>
        <w:rPr>
          <w:rFonts w:ascii="Arial" w:cs="Arial" w:eastAsia="Arial" w:hAnsi="Arial"/>
          <w:sz w:val="24"/>
          <w:szCs w:val="24"/>
        </w:rPr>
        <w:t xml:space="preserve">Two Fortinet-authored articles that appear to be independent sources are actually the same organisation citing the same data — the synthesis catches this</w:t>
      </w:r>
    </w:p>
    <w:p>
      <w:pPr>
        <w:pStyle w:val="ListParagraph"/>
        <w:numPr>
          <w:ilvl w:val="0"/>
          <w:numId w:val="2"/>
        </w:numPr>
        <w:spacing w:after="160" w:before="0"/>
      </w:pPr>
      <w:r>
        <w:rPr>
          <w:rFonts w:ascii="Arial" w:cs="Arial" w:eastAsia="Arial" w:hAnsi="Arial"/>
          <w:sz w:val="24"/>
          <w:szCs w:val="24"/>
        </w:rPr>
        <w:t xml:space="preserve">IT spending figures for Standard Bank appear at four different values across sources due to different reporting boundaries — flagged as a tension, not silently resolved</w:t>
      </w:r>
    </w:p>
    <w:p>
      <w:pPr>
        <w:pStyle w:val="ListParagraph"/>
        <w:numPr>
          <w:ilvl w:val="0"/>
          <w:numId w:val="2"/>
        </w:numPr>
        <w:spacing w:after="160" w:before="0"/>
      </w:pPr>
      <w:r>
        <w:rPr>
          <w:rFonts w:ascii="Arial" w:cs="Arial" w:eastAsia="Arial" w:hAnsi="Arial"/>
          <w:sz w:val="24"/>
          <w:szCs w:val="24"/>
        </w:rPr>
        <w:t xml:space="preserve">Nine significant evidence gaps identified, including the absence of the Big 5 banks’ own annual reports</w:t>
      </w:r>
    </w:p>
    <w:p>
      <w:pPr>
        <w:spacing w:after="160" w:before="0"/>
      </w:pPr>
      <w:r>
        <w:rPr>
          <w:rFonts w:ascii="Arial" w:cs="Arial" w:eastAsia="Arial" w:hAnsi="Arial"/>
          <w:b/>
          <w:bCs/>
          <w:sz w:val="24"/>
          <w:szCs w:val="24"/>
        </w:rPr>
        <w:t xml:space="preserve">Teaching point:</w:t>
      </w:r>
      <w:r>
        <w:rPr>
          <w:rFonts w:ascii="Arial" w:cs="Arial" w:eastAsia="Arial" w:hAnsi="Arial"/>
          <w:sz w:val="24"/>
          <w:szCs w:val="24"/>
        </w:rPr>
        <w:t xml:space="preserve"> This synthesis is the analytical backbone of the report. A senior analyst receiving this document can see exactly what the evidence supports and where it’s weak. Compare this to the canned reports from Session 3 — those reports presented claims with uniform confidence regardless of evidence strength. This synthesis distinguishes between what we know, what we infer, and what we don’t know. That distinction is what makes the final report defensible under scrutiny.</w:t>
      </w:r>
    </w:p>
    <w:p>
      <w:pPr>
        <w:spacing w:after="160" w:before="0"/>
      </w:pPr>
      <w:r>
        <w:rPr>
          <w:rFonts w:ascii="Arial" w:cs="Arial" w:eastAsia="Arial" w:hAnsi="Arial"/>
          <w:i/>
          <w:iCs/>
          <w:sz w:val="24"/>
          <w:szCs w:val="24"/>
        </w:rPr>
        <w:t xml:space="preserve">Transition: “We have the evidence base. Now we shape it into a report.”</w:t>
      </w:r>
    </w:p>
    <w:p>
      <w:pPr>
        <w:pStyle w:val="Heading1"/>
        <w:spacing w:after="160" w:before="0"/>
      </w:pPr>
      <w:r>
        <w:rPr>
          <w:rFonts w:ascii="Arial" w:cs="Arial" w:eastAsia="Arial" w:hAnsi="Arial"/>
          <w:sz w:val="24"/>
          <w:szCs w:val="24"/>
        </w:rPr>
        <w:t xml:space="preserve">STEP 6 — The report (20 minutes)</w:t>
      </w:r>
    </w:p>
    <w:p>
      <w:pPr>
        <w:spacing w:after="160" w:before="0"/>
      </w:pPr>
      <w:r>
        <w:rPr>
          <w:rFonts w:ascii="Arial" w:cs="Arial" w:eastAsia="Arial" w:hAnsi="Arial"/>
          <w:i/>
          <w:iCs/>
          <w:sz w:val="24"/>
          <w:szCs w:val="24"/>
        </w:rPr>
        <w:t xml:space="preserve">Goal: Show how a highly opinionated instruction produces a report that inherits the transparency of the process that built it. Demonstrate the difference between this report and the canned outputs from Session 3.</w:t>
      </w:r>
    </w:p>
    <w:p>
      <w:pPr>
        <w:spacing w:after="160" w:before="0"/>
      </w:pPr>
      <w:r>
        <w:rPr>
          <w:rFonts w:ascii="Arial" w:cs="Arial" w:eastAsia="Arial" w:hAnsi="Arial"/>
          <w:b/>
          <w:bCs/>
          <w:sz w:val="24"/>
          <w:szCs w:val="24"/>
        </w:rPr>
        <w:t xml:space="preserve">Show the instruction:</w:t>
      </w:r>
      <w:r>
        <w:rPr>
          <w:rFonts w:ascii="Arial" w:cs="Arial" w:eastAsia="Arial" w:hAnsi="Arial"/>
          <w:sz w:val="24"/>
          <w:szCs w:val="24"/>
        </w:rPr>
        <w:t xml:space="preserve"> This is the most detailed instruction in the process. Walk through its key elements:</w:t>
      </w:r>
    </w:p>
    <w:p>
      <w:pPr>
        <w:pStyle w:val="ListParagraph"/>
        <w:numPr>
          <w:ilvl w:val="0"/>
          <w:numId w:val="2"/>
        </w:numPr>
        <w:spacing w:after="160" w:before="0"/>
      </w:pPr>
      <w:r>
        <w:rPr>
          <w:rFonts w:ascii="Arial" w:cs="Arial" w:eastAsia="Arial" w:hAnsi="Arial"/>
          <w:b/>
          <w:bCs/>
          <w:sz w:val="24"/>
          <w:szCs w:val="24"/>
        </w:rPr>
        <w:t xml:space="preserve">Audience and purpose:</w:t>
      </w:r>
      <w:r>
        <w:rPr>
          <w:rFonts w:ascii="Arial" w:cs="Arial" w:eastAsia="Arial" w:hAnsi="Arial"/>
          <w:sz w:val="24"/>
          <w:szCs w:val="24"/>
        </w:rPr>
        <w:t xml:space="preserve"> A senior leadership team at a Big 5 bank. The report demonstrates analytical capability, not a sales pitch. This shapes tone, level of detail, and what can be assumed.</w:t>
      </w:r>
    </w:p>
    <w:p>
      <w:pPr>
        <w:pStyle w:val="ListParagraph"/>
        <w:numPr>
          <w:ilvl w:val="0"/>
          <w:numId w:val="2"/>
        </w:numPr>
        <w:spacing w:after="160" w:before="0"/>
      </w:pPr>
      <w:r>
        <w:rPr>
          <w:rFonts w:ascii="Arial" w:cs="Arial" w:eastAsia="Arial" w:hAnsi="Arial"/>
          <w:b/>
          <w:bCs/>
          <w:sz w:val="24"/>
          <w:szCs w:val="24"/>
        </w:rPr>
        <w:t xml:space="preserve">Explicit structure:</w:t>
      </w:r>
      <w:r>
        <w:rPr>
          <w:rFonts w:ascii="Arial" w:cs="Arial" w:eastAsia="Arial" w:hAnsi="Arial"/>
          <w:sz w:val="24"/>
          <w:szCs w:val="24"/>
        </w:rPr>
        <w:t xml:space="preserve"> Seven sections specified, each with a clear function — from executive summary through evidence gaps to a prioritised training framework.</w:t>
      </w:r>
    </w:p>
    <w:p>
      <w:pPr>
        <w:pStyle w:val="ListParagraph"/>
        <w:numPr>
          <w:ilvl w:val="0"/>
          <w:numId w:val="2"/>
        </w:numPr>
        <w:spacing w:after="160" w:before="0"/>
      </w:pPr>
      <w:r>
        <w:rPr>
          <w:rFonts w:ascii="Arial" w:cs="Arial" w:eastAsia="Arial" w:hAnsi="Arial"/>
          <w:b/>
          <w:bCs/>
          <w:sz w:val="24"/>
          <w:szCs w:val="24"/>
        </w:rPr>
        <w:t xml:space="preserve">Evidence-handling rules:</w:t>
      </w:r>
      <w:r>
        <w:rPr>
          <w:rFonts w:ascii="Arial" w:cs="Arial" w:eastAsia="Arial" w:hAnsi="Arial"/>
          <w:sz w:val="24"/>
          <w:szCs w:val="24"/>
        </w:rPr>
        <w:t xml:space="preserve"> Where evidence is strong, say so. Where it rests on a single source, say that too. Do not present weak evidence with the same confidence as strong evidence. Where the synthesis identified tensions, do not resolve them silently.</w:t>
      </w:r>
    </w:p>
    <w:p>
      <w:pPr>
        <w:pStyle w:val="ListParagraph"/>
        <w:numPr>
          <w:ilvl w:val="0"/>
          <w:numId w:val="2"/>
        </w:numPr>
        <w:spacing w:after="160" w:before="0"/>
      </w:pPr>
      <w:r>
        <w:rPr>
          <w:rFonts w:ascii="Arial" w:cs="Arial" w:eastAsia="Arial" w:hAnsi="Arial"/>
          <w:b/>
          <w:bCs/>
          <w:sz w:val="24"/>
          <w:szCs w:val="24"/>
        </w:rPr>
        <w:t xml:space="preserve">The no-filler rule:</w:t>
      </w:r>
      <w:r>
        <w:rPr>
          <w:rFonts w:ascii="Arial" w:cs="Arial" w:eastAsia="Arial" w:hAnsi="Arial"/>
          <w:sz w:val="24"/>
          <w:szCs w:val="24"/>
        </w:rPr>
        <w:t xml:space="preserve"> No generic paragraphs about the importance of digital transformation. No filler about the rapidly evolving landscape. Every paragraph must contain a specific claim, a specific piece of evidence, or a specific judgment.</w:t>
      </w:r>
    </w:p>
    <w:p>
      <w:pPr>
        <w:spacing w:after="160" w:before="0"/>
      </w:pPr>
      <w:r>
        <w:rPr>
          <w:rFonts w:ascii="Arial" w:cs="Arial" w:eastAsia="Arial" w:hAnsi="Arial"/>
          <w:b/>
          <w:bCs/>
          <w:sz w:val="24"/>
          <w:szCs w:val="24"/>
        </w:rPr>
        <w:t xml:space="preserve">Show the report output:</w:t>
      </w:r>
      <w:r>
        <w:rPr>
          <w:rFonts w:ascii="Arial" w:cs="Arial" w:eastAsia="Arial" w:hAnsi="Arial"/>
          <w:sz w:val="24"/>
          <w:szCs w:val="24"/>
        </w:rPr>
        <w:t xml:space="preserve"> Walk through the key sections, pointing out how the instruction shaped the output:</w:t>
      </w:r>
    </w:p>
    <w:p>
      <w:pPr>
        <w:pStyle w:val="ListParagraph"/>
        <w:numPr>
          <w:ilvl w:val="0"/>
          <w:numId w:val="2"/>
        </w:numPr>
        <w:spacing w:after="160" w:before="0"/>
      </w:pPr>
      <w:r>
        <w:rPr>
          <w:rFonts w:ascii="Arial" w:cs="Arial" w:eastAsia="Arial" w:hAnsi="Arial"/>
          <w:sz w:val="24"/>
          <w:szCs w:val="24"/>
        </w:rPr>
        <w:t xml:space="preserve">The executive summary ranks five skills shortage areas explicitly, with evidence strength noted for each</w:t>
      </w:r>
    </w:p>
    <w:p>
      <w:pPr>
        <w:pStyle w:val="ListParagraph"/>
        <w:numPr>
          <w:ilvl w:val="0"/>
          <w:numId w:val="2"/>
        </w:numPr>
        <w:spacing w:after="160" w:before="0"/>
      </w:pPr>
      <w:r>
        <w:rPr>
          <w:rFonts w:ascii="Arial" w:cs="Arial" w:eastAsia="Arial" w:hAnsi="Arial"/>
          <w:sz w:val="24"/>
          <w:szCs w:val="24"/>
        </w:rPr>
        <w:t xml:space="preserve">The regulatory drivers table provides a scannable overview of six simultaneous regulatory changes with timelines and evidence ratings</w:t>
      </w:r>
    </w:p>
    <w:p>
      <w:pPr>
        <w:pStyle w:val="ListParagraph"/>
        <w:numPr>
          <w:ilvl w:val="0"/>
          <w:numId w:val="2"/>
        </w:numPr>
        <w:spacing w:after="160" w:before="0"/>
      </w:pPr>
      <w:r>
        <w:rPr>
          <w:rFonts w:ascii="Arial" w:cs="Arial" w:eastAsia="Arial" w:hAnsi="Arial"/>
          <w:sz w:val="24"/>
          <w:szCs w:val="24"/>
        </w:rPr>
        <w:t xml:space="preserve">The evidence gaps section acknowledges what the analysis cannot tell us — including the absence of primary bank workforce data and salary benchmarking</w:t>
      </w:r>
    </w:p>
    <w:p>
      <w:pPr>
        <w:pStyle w:val="ListParagraph"/>
        <w:numPr>
          <w:ilvl w:val="0"/>
          <w:numId w:val="2"/>
        </w:numPr>
        <w:spacing w:after="160" w:before="0"/>
      </w:pPr>
      <w:r>
        <w:rPr>
          <w:rFonts w:ascii="Arial" w:cs="Arial" w:eastAsia="Arial" w:hAnsi="Arial"/>
          <w:sz w:val="24"/>
          <w:szCs w:val="24"/>
        </w:rPr>
        <w:t xml:space="preserve">The training priorities framework ranks investment areas with commentary explaining why each is positioned where it is, and what would change the ranking</w:t>
      </w:r>
    </w:p>
    <w:p>
      <w:pPr>
        <w:pStyle w:val="ListParagraph"/>
        <w:numPr>
          <w:ilvl w:val="0"/>
          <w:numId w:val="2"/>
        </w:numPr>
        <w:spacing w:after="160" w:before="0"/>
      </w:pPr>
      <w:r>
        <w:rPr>
          <w:rFonts w:ascii="Arial" w:cs="Arial" w:eastAsia="Arial" w:hAnsi="Arial"/>
          <w:sz w:val="24"/>
          <w:szCs w:val="24"/>
        </w:rPr>
        <w:t xml:space="preserve">The closing paragraph argues that structural shortages require long-duration training pipelines, not short courses — a position grounded in the Absa Cybersecurity Academy’s three-year programme</w:t>
      </w:r>
    </w:p>
    <w:p>
      <w:pPr>
        <w:spacing w:after="160" w:before="0"/>
      </w:pPr>
      <w:r>
        <w:rPr>
          <w:rFonts w:ascii="Arial" w:cs="Arial" w:eastAsia="Arial" w:hAnsi="Arial"/>
          <w:b/>
          <w:bCs/>
          <w:sz w:val="24"/>
          <w:szCs w:val="24"/>
        </w:rPr>
        <w:t xml:space="preserve">The critical comparison:</w:t>
      </w:r>
      <w:r>
        <w:rPr>
          <w:rFonts w:ascii="Arial" w:cs="Arial" w:eastAsia="Arial" w:hAnsi="Arial"/>
          <w:sz w:val="24"/>
          <w:szCs w:val="24"/>
        </w:rPr>
        <w:t xml:space="preserve"> Put this report alongside the canned reports from Session 3. The canned reports are slicker. They read more fluently. But:</w:t>
      </w:r>
    </w:p>
    <w:p>
      <w:pPr>
        <w:pStyle w:val="ListParagraph"/>
        <w:numPr>
          <w:ilvl w:val="0"/>
          <w:numId w:val="2"/>
        </w:numPr>
        <w:spacing w:after="160" w:before="0"/>
      </w:pPr>
      <w:r>
        <w:rPr>
          <w:rFonts w:ascii="Arial" w:cs="Arial" w:eastAsia="Arial" w:hAnsi="Arial"/>
          <w:sz w:val="24"/>
          <w:szCs w:val="24"/>
        </w:rPr>
        <w:t xml:space="preserve">This report knows what it doesn’t know. The canned reports present all claims with equal confidence.</w:t>
      </w:r>
    </w:p>
    <w:p>
      <w:pPr>
        <w:pStyle w:val="ListParagraph"/>
        <w:numPr>
          <w:ilvl w:val="0"/>
          <w:numId w:val="2"/>
        </w:numPr>
        <w:spacing w:after="160" w:before="0"/>
      </w:pPr>
      <w:r>
        <w:rPr>
          <w:rFonts w:ascii="Arial" w:cs="Arial" w:eastAsia="Arial" w:hAnsi="Arial"/>
          <w:sz w:val="24"/>
          <w:szCs w:val="24"/>
        </w:rPr>
        <w:t xml:space="preserve">This report distinguishes strong evidence from weak. The canned reports do not.</w:t>
      </w:r>
    </w:p>
    <w:p>
      <w:pPr>
        <w:pStyle w:val="ListParagraph"/>
        <w:numPr>
          <w:ilvl w:val="0"/>
          <w:numId w:val="2"/>
        </w:numPr>
        <w:spacing w:after="160" w:before="0"/>
      </w:pPr>
      <w:r>
        <w:rPr>
          <w:rFonts w:ascii="Arial" w:cs="Arial" w:eastAsia="Arial" w:hAnsi="Arial"/>
          <w:sz w:val="24"/>
          <w:szCs w:val="24"/>
        </w:rPr>
        <w:t xml:space="preserve">This report surfaces contradictions (four different IT spending figures for Standard Bank, the Fortinet double-counting). The canned reports hide them.</w:t>
      </w:r>
    </w:p>
    <w:p>
      <w:pPr>
        <w:pStyle w:val="ListParagraph"/>
        <w:numPr>
          <w:ilvl w:val="0"/>
          <w:numId w:val="2"/>
        </w:numPr>
        <w:spacing w:after="160" w:before="0"/>
      </w:pPr>
      <w:r>
        <w:rPr>
          <w:rFonts w:ascii="Arial" w:cs="Arial" w:eastAsia="Arial" w:hAnsi="Arial"/>
          <w:sz w:val="24"/>
          <w:szCs w:val="24"/>
        </w:rPr>
        <w:t xml:space="preserve">This report has a transparent, auditable source base. The canned reports selected sources autonomously with no human oversight.</w:t>
      </w:r>
    </w:p>
    <w:p>
      <w:pPr>
        <w:pStyle w:val="ListParagraph"/>
        <w:numPr>
          <w:ilvl w:val="0"/>
          <w:numId w:val="2"/>
        </w:numPr>
        <w:spacing w:after="160" w:before="0"/>
      </w:pPr>
      <w:r>
        <w:rPr>
          <w:rFonts w:ascii="Arial" w:cs="Arial" w:eastAsia="Arial" w:hAnsi="Arial"/>
          <w:sz w:val="24"/>
          <w:szCs w:val="24"/>
        </w:rPr>
        <w:t xml:space="preserve">This report is defensible under scrutiny. The canned reports are not.</w:t>
      </w:r>
    </w:p>
    <w:p>
      <w:pPr>
        <w:spacing w:after="160" w:before="0"/>
      </w:pPr>
      <w:r>
        <w:rPr>
          <w:rFonts w:ascii="Arial" w:cs="Arial" w:eastAsia="Arial" w:hAnsi="Arial"/>
          <w:sz w:val="24"/>
          <w:szCs w:val="24"/>
        </w:rPr>
        <w:t xml:space="preserve">That last point is the core argument of this session. </w:t>
      </w:r>
      <w:r>
        <w:rPr>
          <w:rFonts w:ascii="Arial" w:cs="Arial" w:eastAsia="Arial" w:hAnsi="Arial"/>
          <w:b/>
          <w:bCs/>
          <w:sz w:val="24"/>
          <w:szCs w:val="24"/>
        </w:rPr>
        <w:t xml:space="preserve">Defensible under scrutiny</w:t>
      </w:r>
      <w:r>
        <w:rPr>
          <w:rFonts w:ascii="Arial" w:cs="Arial" w:eastAsia="Arial" w:hAnsi="Arial"/>
          <w:sz w:val="24"/>
          <w:szCs w:val="24"/>
        </w:rPr>
        <w:t xml:space="preserve"> is the standard that separates professional research from impressive-looking output. Everything in this process — the multi-sweep source discovery, the quality audit, the human curation, the separated synthesis, the evidence-graded report — contributes to defensibility.</w:t>
      </w:r>
    </w:p>
    <w:p>
      <w:pPr>
        <w:spacing w:after="160" w:before="0"/>
      </w:pPr>
      <w:r>
        <w:rPr>
          <w:rFonts w:ascii="Arial" w:cs="Arial" w:eastAsia="Arial" w:hAnsi="Arial"/>
          <w:i/>
          <w:iCs/>
          <w:sz w:val="24"/>
          <w:szCs w:val="24"/>
        </w:rPr>
        <w:t xml:space="preserve">Transition: “Let me step back and show you the full process architecture.”</w:t>
      </w:r>
    </w:p>
    <w:p>
      <w:pPr>
        <w:pStyle w:val="Heading1"/>
        <w:spacing w:after="160" w:before="0"/>
      </w:pPr>
      <w:r>
        <w:rPr>
          <w:rFonts w:ascii="Arial" w:cs="Arial" w:eastAsia="Arial" w:hAnsi="Arial"/>
          <w:sz w:val="24"/>
          <w:szCs w:val="24"/>
        </w:rPr>
        <w:t xml:space="preserve">STEP 7 — The process as a whole (15 minutes)</w:t>
      </w:r>
    </w:p>
    <w:p>
      <w:pPr>
        <w:spacing w:after="160" w:before="0"/>
      </w:pPr>
      <w:r>
        <w:rPr>
          <w:rFonts w:ascii="Arial" w:cs="Arial" w:eastAsia="Arial" w:hAnsi="Arial"/>
          <w:i/>
          <w:iCs/>
          <w:sz w:val="24"/>
          <w:szCs w:val="24"/>
        </w:rPr>
        <w:t xml:space="preserve">Goal: Step back from the details and show the full research process as an architecture. Connect it to the IDE framework and to the skills participants are developing.</w:t>
      </w:r>
    </w:p>
    <w:p>
      <w:pPr>
        <w:spacing w:after="160" w:before="0"/>
      </w:pPr>
      <w:r>
        <w:rPr>
          <w:rFonts w:ascii="Arial" w:cs="Arial" w:eastAsia="Arial" w:hAnsi="Arial"/>
          <w:b/>
          <w:bCs/>
          <w:sz w:val="24"/>
          <w:szCs w:val="24"/>
        </w:rPr>
        <w:t xml:space="preserve">Present the full process map.</w:t>
      </w:r>
      <w:r>
        <w:rPr>
          <w:rFonts w:ascii="Arial" w:cs="Arial" w:eastAsia="Arial" w:hAnsi="Arial"/>
          <w:sz w:val="24"/>
          <w:szCs w:val="24"/>
        </w:rPr>
        <w:t xml:space="preserve"> Show all steps in sequence with their products:</w:t>
      </w:r>
    </w:p>
    <w:p>
      <w:pPr>
        <w:pStyle w:val="ListParagraph"/>
        <w:numPr>
          <w:ilvl w:val="0"/>
          <w:numId w:val="2"/>
        </w:numPr>
        <w:spacing w:after="160" w:before="0"/>
      </w:pPr>
      <w:r>
        <w:rPr>
          <w:rFonts w:ascii="Arial" w:cs="Arial" w:eastAsia="Arial" w:hAnsi="Arial"/>
          <w:b/>
          <w:bCs/>
          <w:sz w:val="24"/>
          <w:szCs w:val="24"/>
        </w:rPr>
        <w:t xml:space="preserve">DR sweep</w:t>
      </w:r>
      <w:r>
        <w:rPr>
          <w:rFonts w:ascii="Arial" w:cs="Arial" w:eastAsia="Arial" w:hAnsi="Arial"/>
          <w:sz w:val="24"/>
          <w:szCs w:val="24"/>
        </w:rPr>
        <w:t xml:space="preserve"> → Raw source list (73 sources)</w:t>
      </w:r>
    </w:p>
    <w:p>
      <w:pPr>
        <w:pStyle w:val="ListParagraph"/>
        <w:numPr>
          <w:ilvl w:val="0"/>
          <w:numId w:val="2"/>
        </w:numPr>
        <w:spacing w:after="160" w:before="0"/>
      </w:pPr>
      <w:r>
        <w:rPr>
          <w:rFonts w:ascii="Arial" w:cs="Arial" w:eastAsia="Arial" w:hAnsi="Arial"/>
          <w:b/>
          <w:bCs/>
          <w:sz w:val="24"/>
          <w:szCs w:val="24"/>
        </w:rPr>
        <w:t xml:space="preserve">Training knowledge sweep</w:t>
      </w:r>
      <w:r>
        <w:rPr>
          <w:rFonts w:ascii="Arial" w:cs="Arial" w:eastAsia="Arial" w:hAnsi="Arial"/>
          <w:sz w:val="24"/>
          <w:szCs w:val="24"/>
        </w:rPr>
        <w:t xml:space="preserve"> → Supplementary source list (40 sources)</w:t>
      </w:r>
    </w:p>
    <w:p>
      <w:pPr>
        <w:pStyle w:val="ListParagraph"/>
        <w:numPr>
          <w:ilvl w:val="0"/>
          <w:numId w:val="2"/>
        </w:numPr>
        <w:spacing w:after="160" w:before="0"/>
      </w:pPr>
      <w:r>
        <w:rPr>
          <w:rFonts w:ascii="Arial" w:cs="Arial" w:eastAsia="Arial" w:hAnsi="Arial"/>
          <w:b/>
          <w:bCs/>
          <w:sz w:val="24"/>
          <w:szCs w:val="24"/>
        </w:rPr>
        <w:t xml:space="preserve">Human knowledge sweep</w:t>
      </w:r>
      <w:r>
        <w:rPr>
          <w:rFonts w:ascii="Arial" w:cs="Arial" w:eastAsia="Arial" w:hAnsi="Arial"/>
          <w:sz w:val="24"/>
          <w:szCs w:val="24"/>
        </w:rPr>
        <w:t xml:space="preserve"> → Combined source list</w:t>
      </w:r>
    </w:p>
    <w:p>
      <w:pPr>
        <w:pStyle w:val="ListParagraph"/>
        <w:numPr>
          <w:ilvl w:val="0"/>
          <w:numId w:val="2"/>
        </w:numPr>
        <w:spacing w:after="160" w:before="0"/>
      </w:pPr>
      <w:r>
        <w:rPr>
          <w:rFonts w:ascii="Arial" w:cs="Arial" w:eastAsia="Arial" w:hAnsi="Arial"/>
          <w:b/>
          <w:bCs/>
          <w:sz w:val="24"/>
          <w:szCs w:val="24"/>
        </w:rPr>
        <w:t xml:space="preserve">Source quality check</w:t>
      </w:r>
      <w:r>
        <w:rPr>
          <w:rFonts w:ascii="Arial" w:cs="Arial" w:eastAsia="Arial" w:hAnsi="Arial"/>
          <w:sz w:val="24"/>
          <w:szCs w:val="24"/>
        </w:rPr>
        <w:t xml:space="preserve"> → Annotated source audit (115 sources, with status, credibility, relevance)</w:t>
      </w:r>
    </w:p>
    <w:p>
      <w:pPr>
        <w:pStyle w:val="ListParagraph"/>
        <w:numPr>
          <w:ilvl w:val="0"/>
          <w:numId w:val="2"/>
        </w:numPr>
        <w:spacing w:after="160" w:before="0"/>
      </w:pPr>
      <w:r>
        <w:rPr>
          <w:rFonts w:ascii="Arial" w:cs="Arial" w:eastAsia="Arial" w:hAnsi="Arial"/>
          <w:b/>
          <w:bCs/>
          <w:sz w:val="24"/>
          <w:szCs w:val="24"/>
        </w:rPr>
        <w:t xml:space="preserve">Human curation</w:t>
      </w:r>
      <w:r>
        <w:rPr>
          <w:rFonts w:ascii="Arial" w:cs="Arial" w:eastAsia="Arial" w:hAnsi="Arial"/>
          <w:sz w:val="24"/>
          <w:szCs w:val="24"/>
        </w:rPr>
        <w:t xml:space="preserve"> → Curated source list (40 sources, ranked)</w:t>
      </w:r>
    </w:p>
    <w:p>
      <w:pPr>
        <w:pStyle w:val="ListParagraph"/>
        <w:numPr>
          <w:ilvl w:val="0"/>
          <w:numId w:val="2"/>
        </w:numPr>
        <w:spacing w:after="160" w:before="0"/>
      </w:pPr>
      <w:r>
        <w:rPr>
          <w:rFonts w:ascii="Arial" w:cs="Arial" w:eastAsia="Arial" w:hAnsi="Arial"/>
          <w:b/>
          <w:bCs/>
          <w:sz w:val="24"/>
          <w:szCs w:val="24"/>
        </w:rPr>
        <w:t xml:space="preserve">Literature review</w:t>
      </w:r>
      <w:r>
        <w:rPr>
          <w:rFonts w:ascii="Arial" w:cs="Arial" w:eastAsia="Arial" w:hAnsi="Arial"/>
          <w:sz w:val="24"/>
          <w:szCs w:val="24"/>
        </w:rPr>
        <w:t xml:space="preserve"> → Source-by-source digest</w:t>
      </w:r>
    </w:p>
    <w:p>
      <w:pPr>
        <w:pStyle w:val="ListParagraph"/>
        <w:numPr>
          <w:ilvl w:val="0"/>
          <w:numId w:val="2"/>
        </w:numPr>
        <w:spacing w:after="160" w:before="0"/>
      </w:pPr>
      <w:r>
        <w:rPr>
          <w:rFonts w:ascii="Arial" w:cs="Arial" w:eastAsia="Arial" w:hAnsi="Arial"/>
          <w:b/>
          <w:bCs/>
          <w:sz w:val="24"/>
          <w:szCs w:val="24"/>
        </w:rPr>
        <w:t xml:space="preserve">Analytical synthesis</w:t>
      </w:r>
      <w:r>
        <w:rPr>
          <w:rFonts w:ascii="Arial" w:cs="Arial" w:eastAsia="Arial" w:hAnsi="Arial"/>
          <w:sz w:val="24"/>
          <w:szCs w:val="24"/>
        </w:rPr>
        <w:t xml:space="preserve"> → Thematic analysis with evidence ratings, tensions, gaps</w:t>
      </w:r>
    </w:p>
    <w:p>
      <w:pPr>
        <w:pStyle w:val="ListParagraph"/>
        <w:numPr>
          <w:ilvl w:val="0"/>
          <w:numId w:val="2"/>
        </w:numPr>
        <w:spacing w:after="160" w:before="0"/>
      </w:pPr>
      <w:r>
        <w:rPr>
          <w:rFonts w:ascii="Arial" w:cs="Arial" w:eastAsia="Arial" w:hAnsi="Arial"/>
          <w:b/>
          <w:bCs/>
          <w:sz w:val="24"/>
          <w:szCs w:val="24"/>
        </w:rPr>
        <w:t xml:space="preserve">Report</w:t>
      </w:r>
      <w:r>
        <w:rPr>
          <w:rFonts w:ascii="Arial" w:cs="Arial" w:eastAsia="Arial" w:hAnsi="Arial"/>
          <w:sz w:val="24"/>
          <w:szCs w:val="24"/>
        </w:rPr>
        <w:t xml:space="preserve"> → Defensible, evidence-graded output</w:t>
      </w:r>
    </w:p>
    <w:p>
      <w:pPr>
        <w:spacing w:after="160" w:before="0"/>
      </w:pPr>
      <w:r>
        <w:rPr>
          <w:rFonts w:ascii="Arial" w:cs="Arial" w:eastAsia="Arial" w:hAnsi="Arial"/>
          <w:b/>
          <w:bCs/>
          <w:sz w:val="24"/>
          <w:szCs w:val="24"/>
        </w:rPr>
        <w:t xml:space="preserve">The funnel:</w:t>
      </w:r>
      <w:r>
        <w:rPr>
          <w:rFonts w:ascii="Arial" w:cs="Arial" w:eastAsia="Arial" w:hAnsi="Arial"/>
          <w:sz w:val="24"/>
          <w:szCs w:val="24"/>
        </w:rPr>
        <w:t xml:space="preserve"> The process has a clear shape — wide at the top (cast a broad net for sources), narrowing through quality checks and curation, synthesised into themes, then shaped into a report. Each step reduces volume and increases quality.</w:t>
      </w:r>
    </w:p>
    <w:p>
      <w:pPr>
        <w:spacing w:after="160" w:before="0"/>
      </w:pPr>
      <w:r>
        <w:rPr>
          <w:rFonts w:ascii="Arial" w:cs="Arial" w:eastAsia="Arial" w:hAnsi="Arial"/>
          <w:b/>
          <w:bCs/>
          <w:sz w:val="24"/>
          <w:szCs w:val="24"/>
        </w:rPr>
        <w:t xml:space="preserve">The Direction repertoire:</w:t>
      </w:r>
      <w:r>
        <w:rPr>
          <w:rFonts w:ascii="Arial" w:cs="Arial" w:eastAsia="Arial" w:hAnsi="Arial"/>
          <w:sz w:val="24"/>
          <w:szCs w:val="24"/>
        </w:rPr>
        <w:t xml:space="preserve"> Review the different kinds of instruction used across the process:</w:t>
      </w:r>
    </w:p>
    <w:p>
      <w:pPr>
        <w:pStyle w:val="ListParagraph"/>
        <w:numPr>
          <w:ilvl w:val="0"/>
          <w:numId w:val="2"/>
        </w:numPr>
        <w:spacing w:after="160" w:before="0"/>
      </w:pPr>
      <w:r>
        <w:rPr>
          <w:rFonts w:ascii="Arial" w:cs="Arial" w:eastAsia="Arial" w:hAnsi="Arial"/>
          <w:b/>
          <w:bCs/>
          <w:sz w:val="24"/>
          <w:szCs w:val="24"/>
        </w:rPr>
        <w:t xml:space="preserve">Minimal direction</w:t>
      </w:r>
      <w:r>
        <w:rPr>
          <w:rFonts w:ascii="Arial" w:cs="Arial" w:eastAsia="Arial" w:hAnsi="Arial"/>
          <w:sz w:val="24"/>
          <w:szCs w:val="24"/>
        </w:rPr>
        <w:t xml:space="preserve"> (DR sweep) — deliberately under-specified to see what the tool finds on its own</w:t>
      </w:r>
    </w:p>
    <w:p>
      <w:pPr>
        <w:pStyle w:val="ListParagraph"/>
        <w:numPr>
          <w:ilvl w:val="0"/>
          <w:numId w:val="2"/>
        </w:numPr>
        <w:spacing w:after="160" w:before="0"/>
      </w:pPr>
      <w:r>
        <w:rPr>
          <w:rFonts w:ascii="Arial" w:cs="Arial" w:eastAsia="Arial" w:hAnsi="Arial"/>
          <w:b/>
          <w:bCs/>
          <w:sz w:val="24"/>
          <w:szCs w:val="24"/>
        </w:rPr>
        <w:t xml:space="preserve">Knowledge elicitation</w:t>
      </w:r>
      <w:r>
        <w:rPr>
          <w:rFonts w:ascii="Arial" w:cs="Arial" w:eastAsia="Arial" w:hAnsi="Arial"/>
          <w:sz w:val="24"/>
          <w:szCs w:val="24"/>
        </w:rPr>
        <w:t xml:space="preserve"> (training knowledge sweep) — asking Claude to critique a list against its own training</w:t>
      </w:r>
    </w:p>
    <w:p>
      <w:pPr>
        <w:pStyle w:val="ListParagraph"/>
        <w:numPr>
          <w:ilvl w:val="0"/>
          <w:numId w:val="2"/>
        </w:numPr>
        <w:spacing w:after="160" w:before="0"/>
      </w:pPr>
      <w:r>
        <w:rPr>
          <w:rFonts w:ascii="Arial" w:cs="Arial" w:eastAsia="Arial" w:hAnsi="Arial"/>
          <w:b/>
          <w:bCs/>
          <w:sz w:val="24"/>
          <w:szCs w:val="24"/>
        </w:rPr>
        <w:t xml:space="preserve">Structured audit</w:t>
      </w:r>
      <w:r>
        <w:rPr>
          <w:rFonts w:ascii="Arial" w:cs="Arial" w:eastAsia="Arial" w:hAnsi="Arial"/>
          <w:sz w:val="24"/>
          <w:szCs w:val="24"/>
        </w:rPr>
        <w:t xml:space="preserve"> (quality check) — explicit column definitions, output format, actionable recommendations</w:t>
      </w:r>
    </w:p>
    <w:p>
      <w:pPr>
        <w:pStyle w:val="ListParagraph"/>
        <w:numPr>
          <w:ilvl w:val="0"/>
          <w:numId w:val="2"/>
        </w:numPr>
        <w:spacing w:after="160" w:before="0"/>
      </w:pPr>
      <w:r>
        <w:rPr>
          <w:rFonts w:ascii="Arial" w:cs="Arial" w:eastAsia="Arial" w:hAnsi="Arial"/>
          <w:b/>
          <w:bCs/>
          <w:sz w:val="24"/>
          <w:szCs w:val="24"/>
        </w:rPr>
        <w:t xml:space="preserve">Constraint instruction</w:t>
      </w:r>
      <w:r>
        <w:rPr>
          <w:rFonts w:ascii="Arial" w:cs="Arial" w:eastAsia="Arial" w:hAnsi="Arial"/>
          <w:sz w:val="24"/>
          <w:szCs w:val="24"/>
        </w:rPr>
        <w:t xml:space="preserve"> (literature review) — telling Claude what not to do (don’t add sources, don’t synthesise)</w:t>
      </w:r>
    </w:p>
    <w:p>
      <w:pPr>
        <w:pStyle w:val="ListParagraph"/>
        <w:numPr>
          <w:ilvl w:val="0"/>
          <w:numId w:val="2"/>
        </w:numPr>
        <w:spacing w:after="160" w:before="0"/>
      </w:pPr>
      <w:r>
        <w:rPr>
          <w:rFonts w:ascii="Arial" w:cs="Arial" w:eastAsia="Arial" w:hAnsi="Arial"/>
          <w:b/>
          <w:bCs/>
          <w:sz w:val="24"/>
          <w:szCs w:val="24"/>
        </w:rPr>
        <w:t xml:space="preserve">Analytical instruction</w:t>
      </w:r>
      <w:r>
        <w:rPr>
          <w:rFonts w:ascii="Arial" w:cs="Arial" w:eastAsia="Arial" w:hAnsi="Arial"/>
          <w:sz w:val="24"/>
          <w:szCs w:val="24"/>
        </w:rPr>
        <w:t xml:space="preserve"> (synthesis) — organise and assess, don’t conclude</w:t>
      </w:r>
    </w:p>
    <w:p>
      <w:pPr>
        <w:pStyle w:val="ListParagraph"/>
        <w:numPr>
          <w:ilvl w:val="0"/>
          <w:numId w:val="2"/>
        </w:numPr>
        <w:spacing w:after="160" w:before="0"/>
      </w:pPr>
      <w:r>
        <w:rPr>
          <w:rFonts w:ascii="Arial" w:cs="Arial" w:eastAsia="Arial" w:hAnsi="Arial"/>
          <w:b/>
          <w:bCs/>
          <w:sz w:val="24"/>
          <w:szCs w:val="24"/>
        </w:rPr>
        <w:t xml:space="preserve">Opinionated instruction</w:t>
      </w:r>
      <w:r>
        <w:rPr>
          <w:rFonts w:ascii="Arial" w:cs="Arial" w:eastAsia="Arial" w:hAnsi="Arial"/>
          <w:sz w:val="24"/>
          <w:szCs w:val="24"/>
        </w:rPr>
        <w:t xml:space="preserve"> (report) — audience, structure, tone, evidence-handling rules, no-filler constraint</w:t>
      </w:r>
    </w:p>
    <w:p>
      <w:pPr>
        <w:spacing w:after="160" w:before="0"/>
      </w:pPr>
      <w:r>
        <w:rPr>
          <w:rFonts w:ascii="Arial" w:cs="Arial" w:eastAsia="Arial" w:hAnsi="Arial"/>
          <w:sz w:val="24"/>
          <w:szCs w:val="24"/>
        </w:rPr>
        <w:t xml:space="preserve">Each instruction is shaped by what it needs to produce. A minimal instruction for the DR sweep would be wrong for the report. An opinionated instruction for the DR sweep would constrain the search prematurely. Understanding why each instruction is shaped the way it is — that is Direction as a skill.</w:t>
      </w:r>
    </w:p>
    <w:p>
      <w:pPr>
        <w:spacing w:after="160" w:before="0"/>
      </w:pPr>
      <w:r>
        <w:rPr>
          <w:rFonts w:ascii="Arial" w:cs="Arial" w:eastAsia="Arial" w:hAnsi="Arial"/>
          <w:b/>
          <w:bCs/>
          <w:sz w:val="24"/>
          <w:szCs w:val="24"/>
        </w:rPr>
        <w:t xml:space="preserve">Input and Evaluation, present but not foregrounded:</w:t>
      </w:r>
      <w:r>
        <w:rPr>
          <w:rFonts w:ascii="Arial" w:cs="Arial" w:eastAsia="Arial" w:hAnsi="Arial"/>
          <w:sz w:val="24"/>
          <w:szCs w:val="24"/>
        </w:rPr>
        <w:t xml:space="preserve"> Source curation (steps 3.3–3.5) is Input in action — deciding what material the model works with. Evaluation is woven throughout: assessing source quality, checking whether DR respected constraints, reviewing the synthesis for accuracy. But the foreground skill today has been Direction — the craft of telling an AI what to do at each stage of a complex process.</w:t>
      </w:r>
    </w:p>
    <w:p>
      <w:pPr>
        <w:spacing w:after="160" w:before="0"/>
      </w:pPr>
      <w:r>
        <w:rPr>
          <w:rFonts w:ascii="Arial" w:cs="Arial" w:eastAsia="Arial" w:hAnsi="Arial"/>
          <w:b/>
          <w:bCs/>
          <w:sz w:val="24"/>
          <w:szCs w:val="24"/>
        </w:rPr>
        <w:t xml:space="preserve">The recurring research point:</w:t>
      </w:r>
      <w:r>
        <w:rPr>
          <w:rFonts w:ascii="Arial" w:cs="Arial" w:eastAsia="Arial" w:hAnsi="Arial"/>
          <w:sz w:val="24"/>
          <w:szCs w:val="24"/>
        </w:rPr>
        <w:t xml:space="preserve"> This process is designed for a first run. On subsequent runs — monthly, quarterly — the source discovery pipeline gets lighter (check the canonical list, search for new publications), while the synthesis and report steps remain the core work. The process gets faster and the source list gets better over time. For a training organisation serving banks, this is a sustainable research capability, not a one-off exercise.</w:t>
      </w:r>
    </w:p>
    <w:p>
      <w:pPr>
        <w:pStyle w:val="Heading1"/>
        <w:spacing w:after="160" w:before="0"/>
      </w:pPr>
      <w:r>
        <w:rPr>
          <w:rFonts w:ascii="Arial" w:cs="Arial" w:eastAsia="Arial" w:hAnsi="Arial"/>
          <w:sz w:val="24"/>
          <w:szCs w:val="24"/>
        </w:rPr>
        <w:t xml:space="preserve">STEP 8 — Close and bridge to Session 5 (10 minutes)</w:t>
      </w:r>
    </w:p>
    <w:p>
      <w:pPr>
        <w:spacing w:after="160" w:before="0"/>
      </w:pPr>
      <w:r>
        <w:rPr>
          <w:rFonts w:ascii="Arial" w:cs="Arial" w:eastAsia="Arial" w:hAnsi="Arial"/>
          <w:i/>
          <w:iCs/>
          <w:sz w:val="24"/>
          <w:szCs w:val="24"/>
        </w:rPr>
        <w:t xml:space="preserve">Goal: Land the session’s argument, introduce the homework, and set up Session 5.</w:t>
      </w:r>
    </w:p>
    <w:p>
      <w:pPr>
        <w:spacing w:after="160" w:before="0"/>
      </w:pPr>
      <w:r>
        <w:rPr>
          <w:rFonts w:ascii="Arial" w:cs="Arial" w:eastAsia="Arial" w:hAnsi="Arial"/>
          <w:b/>
          <w:bCs/>
          <w:sz w:val="24"/>
          <w:szCs w:val="24"/>
        </w:rPr>
        <w:t xml:space="preserve">The argument:</w:t>
      </w:r>
      <w:r>
        <w:rPr>
          <w:rFonts w:ascii="Arial" w:cs="Arial" w:eastAsia="Arial" w:hAnsi="Arial"/>
          <w:sz w:val="24"/>
          <w:szCs w:val="24"/>
        </w:rPr>
        <w:t xml:space="preserve"> Today you’ve seen a complete directed research process — from source discovery to a finished report. Every step was transparent. Every source was chosen deliberately. Every claim in the final report can be traced back through the synthesis to specific sources in the curated list. The report acknowledges what the evidence supports and what it doesn’t. It is defensible under scrutiny.</w:t>
      </w:r>
    </w:p>
    <w:p>
      <w:pPr>
        <w:spacing w:after="160" w:before="0"/>
      </w:pPr>
      <w:r>
        <w:rPr>
          <w:rFonts w:ascii="Arial" w:cs="Arial" w:eastAsia="Arial" w:hAnsi="Arial"/>
          <w:sz w:val="24"/>
          <w:szCs w:val="24"/>
        </w:rPr>
        <w:t xml:space="preserve">That is what Direction and Input, applied deliberately, produce. Not a better prompt into a canned tool — a structured, multi-step process where human judgment and AI capability combine at every stage.</w:t>
      </w:r>
    </w:p>
    <w:p>
      <w:pPr>
        <w:spacing w:after="160" w:before="0"/>
      </w:pPr>
      <w:r>
        <w:rPr>
          <w:rFonts w:ascii="Arial" w:cs="Arial" w:eastAsia="Arial" w:hAnsi="Arial"/>
          <w:b/>
          <w:bCs/>
          <w:sz w:val="24"/>
          <w:szCs w:val="24"/>
        </w:rPr>
        <w:t xml:space="preserve">What’s missing:</w:t>
      </w:r>
      <w:r>
        <w:rPr>
          <w:rFonts w:ascii="Arial" w:cs="Arial" w:eastAsia="Arial" w:hAnsi="Arial"/>
          <w:sz w:val="24"/>
          <w:szCs w:val="24"/>
        </w:rPr>
        <w:t xml:space="preserve"> The report we produced is strong on online sources — regulatory publications, news coverage, consulting analyses, survey data. But several of the evidence gaps the synthesis identified point to material that isn’t freely available on the web: the Big 5 banks’ annual integrated reports, internal workforce data, confidential survey results, salary benchmarking data. For serious policy research, this kind of offline and confidential material is often where the most valuable evidence lives.</w:t>
      </w:r>
    </w:p>
    <w:p>
      <w:pPr>
        <w:spacing w:after="160" w:before="0"/>
      </w:pPr>
      <w:r>
        <w:rPr>
          <w:rFonts w:ascii="Arial" w:cs="Arial" w:eastAsia="Arial" w:hAnsi="Arial"/>
          <w:sz w:val="24"/>
          <w:szCs w:val="24"/>
        </w:rPr>
        <w:t xml:space="preserve">That is the problem Session 5 addresses: how do you bring offline and confidential material into an AI-assisted research workflow safely? How do you clean messy spreadsheets, anonymise sensitive data, process documents that can’t go into a web-connected tool, and integrate the findings with your online research?</w:t>
      </w:r>
    </w:p>
    <w:p>
      <w:pPr>
        <w:spacing w:after="160" w:before="0"/>
      </w:pPr>
      <w:r>
        <w:rPr>
          <w:rFonts w:ascii="Arial" w:cs="Arial" w:eastAsia="Arial" w:hAnsi="Arial"/>
          <w:b/>
          <w:bCs/>
          <w:sz w:val="24"/>
          <w:szCs w:val="24"/>
        </w:rPr>
        <w:t xml:space="preserve">Homework:</w:t>
      </w:r>
    </w:p>
    <w:p>
      <w:pPr>
        <w:pStyle w:val="ListParagraph"/>
        <w:numPr>
          <w:ilvl w:val="0"/>
          <w:numId w:val="2"/>
        </w:numPr>
        <w:spacing w:after="160" w:before="0"/>
      </w:pPr>
      <w:r>
        <w:rPr>
          <w:rFonts w:ascii="Arial" w:cs="Arial" w:eastAsia="Arial" w:hAnsi="Arial"/>
          <w:sz w:val="24"/>
          <w:szCs w:val="24"/>
        </w:rPr>
        <w:t xml:space="preserve">Read the final report and the analytical synthesis side by side. Identify two places where you think the report’s claims are well-supported by the synthesis and two places where you think it overreaches or understates.</w:t>
      </w:r>
    </w:p>
    <w:p>
      <w:pPr>
        <w:pStyle w:val="ListParagraph"/>
        <w:numPr>
          <w:ilvl w:val="0"/>
          <w:numId w:val="2"/>
        </w:numPr>
        <w:spacing w:after="160" w:before="0"/>
      </w:pPr>
      <w:r>
        <w:rPr>
          <w:rFonts w:ascii="Arial" w:cs="Arial" w:eastAsia="Arial" w:hAnsi="Arial"/>
          <w:sz w:val="24"/>
          <w:szCs w:val="24"/>
        </w:rPr>
        <w:t xml:space="preserve">Think about your own work: what research question would benefit from this kind of directed process? What sources would go into your curated list? Come to Session 5 with a question in mind.</w:t>
      </w:r>
    </w:p>
    <w:p>
      <w:pPr>
        <w:spacing w:after="160" w:before="0"/>
      </w:pPr>
      <w:r>
        <w:rPr>
          <w:rFonts w:ascii="Arial" w:cs="Arial" w:eastAsia="Arial" w:hAnsi="Arial"/>
          <w:b/>
          <w:bCs/>
          <w:sz w:val="24"/>
          <w:szCs w:val="24"/>
        </w:rPr>
        <w:t xml:space="preserve">The question to bring:</w:t>
      </w:r>
      <w:r>
        <w:rPr>
          <w:rFonts w:ascii="Arial" w:cs="Arial" w:eastAsia="Arial" w:hAnsi="Arial"/>
          <w:sz w:val="24"/>
          <w:szCs w:val="24"/>
        </w:rPr>
        <w:t xml:space="preserve"> </w:t>
      </w:r>
      <w:r>
        <w:rPr>
          <w:rFonts w:ascii="Arial" w:cs="Arial" w:eastAsia="Arial" w:hAnsi="Arial"/>
          <w:i/>
          <w:iCs/>
          <w:sz w:val="24"/>
          <w:szCs w:val="24"/>
        </w:rPr>
        <w:t xml:space="preserve">What offline or confidential material would strengthen this report — and how would you handle it safely?</w:t>
      </w:r>
    </w:p>
    <w:p>
      <w:pPr>
        <w:spacing w:after="160" w:before="0"/>
      </w:pPr>
      <w:r>
        <w:rPr>
          <w:rFonts w:ascii="Arial" w:cs="Arial" w:eastAsia="Arial" w:hAnsi="Arial"/>
          <w:sz w:val="24"/>
          <w:szCs w:val="24"/>
        </w:rPr>
        <w:t xml:space="preserve">That question is the bridge to Session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2026-04-06T07:31:32.821Z</dcterms:created>
  <dcterms:modified xsi:type="dcterms:W3CDTF">2026-04-06T07:31:32.822Z</dcterms:modified>
</cp:coreProperties>
</file>

<file path=docProps/custom.xml><?xml version="1.0" encoding="utf-8"?>
<Properties xmlns="http://schemas.openxmlformats.org/officeDocument/2006/custom-properties" xmlns:vt="http://schemas.openxmlformats.org/officeDocument/2006/docPropsVTypes"/>
</file>