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B77DB" w:rsidRDefault="008E3DE9">
      <w:pPr>
        <w:jc w:val="center"/>
        <w:rPr>
          <w:b/>
        </w:rPr>
      </w:pPr>
      <w:r>
        <w:rPr>
          <w:b/>
        </w:rPr>
        <w:t>Anaphylaxis Chart Review Form</w:t>
      </w:r>
    </w:p>
    <w:p w14:paraId="00000002" w14:textId="77777777" w:rsidR="000B77DB" w:rsidRDefault="000B77DB">
      <w:pPr>
        <w:jc w:val="center"/>
      </w:pPr>
    </w:p>
    <w:p w14:paraId="00000003" w14:textId="77777777" w:rsidR="000B77DB" w:rsidRDefault="008E3DE9">
      <w:pPr>
        <w:jc w:val="center"/>
      </w:pPr>
      <w:r>
        <w:t>Sentinel Innovation Center’s Scalable NLP Project</w:t>
      </w:r>
    </w:p>
    <w:p w14:paraId="00000004" w14:textId="77777777" w:rsidR="000B77DB" w:rsidRDefault="008E3DE9">
      <w:pPr>
        <w:jc w:val="center"/>
      </w:pPr>
      <w:r>
        <w:t>8/16/2023</w:t>
      </w:r>
    </w:p>
    <w:p w14:paraId="00000005" w14:textId="77777777" w:rsidR="000B77DB" w:rsidRDefault="000B77DB"/>
    <w:p w14:paraId="00000006" w14:textId="77777777" w:rsidR="000B77DB" w:rsidRDefault="000B77DB"/>
    <w:p w14:paraId="00000007" w14:textId="77777777" w:rsidR="000B77DB" w:rsidRDefault="000B77DB"/>
    <w:p w14:paraId="00000008" w14:textId="77777777" w:rsidR="000B77DB" w:rsidRDefault="008E3DE9">
      <w:pPr>
        <w:spacing w:after="200"/>
      </w:pPr>
      <w:r>
        <w:t xml:space="preserve">The questions listed here are designed to guide manual chart review for the purposes of determining whether a patient's clinical record supports a determination that the patient actually experienced anaphylaxis on the date of an index encounter (or during </w:t>
      </w:r>
      <w:r>
        <w:t>any days of an inpatient stay if the index encounter was a hospitalization). Each of these question focuses on one of several clinical events criteria relevant to diagnosing anaphylaxis according to publications in 2006 by Sampson and colleagues</w:t>
      </w:r>
      <w:r>
        <w:rPr>
          <w:vertAlign w:val="superscript"/>
        </w:rPr>
        <w:footnoteReference w:id="1"/>
      </w:r>
      <w:r>
        <w:t xml:space="preserve"> and 2019 </w:t>
      </w:r>
      <w:r>
        <w:t>by Turner and colleagues.</w:t>
      </w:r>
      <w:r>
        <w:rPr>
          <w:vertAlign w:val="superscript"/>
        </w:rPr>
        <w:footnoteReference w:id="2"/>
      </w:r>
      <w:r>
        <w:t xml:space="preserve">  For brevity, each question is framed at a high level of abstraction; if chart reviewers are uncertain how to answer a particular question for a particular chart they may consult a clinical expert and/or the two papers cited abov</w:t>
      </w:r>
      <w:r>
        <w:t>e.</w:t>
      </w:r>
    </w:p>
    <w:p w14:paraId="00000009" w14:textId="77777777" w:rsidR="000B77DB" w:rsidRDefault="008E3DE9">
      <w:pPr>
        <w:spacing w:after="200"/>
      </w:pPr>
      <w:r>
        <w:t>Answers to these questions may be used to establish whether a particular chart contains sufficient documentation to determine that anaphylaxis was present according to either the 2006/Sampson criteria or the 2019/Turner criteria. If the application of t</w:t>
      </w:r>
      <w:r>
        <w:t>hese two sets of clinical events criteria to a chart yield discordant determinations (e.g., one indicates anaphylaxis was present and the other does not) we will use the 2006/Sampson determination as our gold standard label for purposes of evaluation.</w:t>
      </w:r>
    </w:p>
    <w:p w14:paraId="0000000A" w14:textId="77777777" w:rsidR="000B77DB" w:rsidRDefault="008E3DE9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t xml:space="preserve">Was </w:t>
      </w:r>
      <w:r>
        <w:rPr>
          <w:b/>
        </w:rPr>
        <w:t>there an acute onset of the illness?</w:t>
      </w:r>
    </w:p>
    <w:p w14:paraId="0000000B" w14:textId="77777777" w:rsidR="000B77DB" w:rsidRDefault="008E3DE9">
      <w:pPr>
        <w:spacing w:after="200"/>
        <w:ind w:left="720"/>
      </w:pPr>
      <w:r>
        <w:t>Responses: Yes, No, Uncertain</w:t>
      </w:r>
    </w:p>
    <w:p w14:paraId="0000000C" w14:textId="77777777" w:rsidR="000B77DB" w:rsidRDefault="008E3DE9">
      <w:pPr>
        <w:spacing w:after="200"/>
        <w:ind w:left="720"/>
      </w:pPr>
      <w:r>
        <w:t>Note: Be generous in interpreting this question. The chart may not use the exact terminology "acute onset" but may contain other information indicating or suggesting that onset was acute.</w:t>
      </w:r>
    </w:p>
    <w:p w14:paraId="0000000D" w14:textId="77777777" w:rsidR="000B77DB" w:rsidRDefault="000B77DB">
      <w:pPr>
        <w:spacing w:after="200"/>
      </w:pPr>
    </w:p>
    <w:p w14:paraId="0000000E" w14:textId="77777777" w:rsidR="000B77DB" w:rsidRDefault="008E3DE9">
      <w:pPr>
        <w:keepNext/>
        <w:numPr>
          <w:ilvl w:val="0"/>
          <w:numId w:val="1"/>
        </w:numPr>
        <w:spacing w:after="200"/>
        <w:rPr>
          <w:b/>
        </w:rPr>
      </w:pPr>
      <w:r>
        <w:rPr>
          <w:b/>
        </w:rPr>
        <w:lastRenderedPageBreak/>
        <w:t>Was there involvement of the skin and/or mucosal tissue?</w:t>
      </w:r>
    </w:p>
    <w:p w14:paraId="0000000F" w14:textId="77777777" w:rsidR="000B77DB" w:rsidRDefault="008E3DE9">
      <w:pPr>
        <w:spacing w:after="200"/>
        <w:ind w:left="720"/>
      </w:pPr>
      <w:r>
        <w:t>Responses: Yes, No, Uncertain</w:t>
      </w:r>
    </w:p>
    <w:p w14:paraId="00000010" w14:textId="77777777" w:rsidR="000B77DB" w:rsidRDefault="008E3DE9">
      <w:pPr>
        <w:spacing w:after="200"/>
        <w:ind w:left="720"/>
      </w:pPr>
      <w:r>
        <w:t>Note: This may include generalized hives, pruritus or flushing, swollen lips-tongue-uvula, and other types of skin or mucosal involvement.</w:t>
      </w:r>
    </w:p>
    <w:p w14:paraId="00000011" w14:textId="77777777" w:rsidR="000B77DB" w:rsidRDefault="008E3DE9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t>Was there respiratory compromi</w:t>
      </w:r>
      <w:r>
        <w:rPr>
          <w:b/>
        </w:rPr>
        <w:t>se?</w:t>
      </w:r>
    </w:p>
    <w:p w14:paraId="00000012" w14:textId="77777777" w:rsidR="000B77DB" w:rsidRDefault="008E3DE9">
      <w:pPr>
        <w:spacing w:after="200"/>
        <w:ind w:left="720"/>
      </w:pPr>
      <w:r>
        <w:t>Responses: Yes, No, Uncertain</w:t>
      </w:r>
    </w:p>
    <w:p w14:paraId="00000013" w14:textId="77777777" w:rsidR="000B77DB" w:rsidRDefault="008E3DE9">
      <w:pPr>
        <w:spacing w:after="200"/>
        <w:ind w:left="720"/>
      </w:pPr>
      <w:r>
        <w:t>Note: This may include dyspnea, wheeze-bronchospasm, stridor, reduced PEF, hypoxemia, and related symptoms.</w:t>
      </w:r>
    </w:p>
    <w:p w14:paraId="00000014" w14:textId="77777777" w:rsidR="000B77DB" w:rsidRDefault="008E3DE9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t>Were there any associated symptoms of end-organ dysfunction?</w:t>
      </w:r>
    </w:p>
    <w:p w14:paraId="00000015" w14:textId="77777777" w:rsidR="000B77DB" w:rsidRDefault="008E3DE9">
      <w:pPr>
        <w:spacing w:after="200"/>
        <w:ind w:left="720"/>
      </w:pPr>
      <w:r>
        <w:t>Responses: Yes, No, Uncertain</w:t>
      </w:r>
    </w:p>
    <w:p w14:paraId="00000016" w14:textId="77777777" w:rsidR="000B77DB" w:rsidRDefault="008E3DE9">
      <w:pPr>
        <w:spacing w:after="200"/>
        <w:ind w:left="720"/>
      </w:pPr>
      <w:r>
        <w:t xml:space="preserve">Note: This may include </w:t>
      </w:r>
      <w:r>
        <w:t>hypotonia (collapse), syncope, incontinence, and comparable symptoms.</w:t>
      </w:r>
    </w:p>
    <w:p w14:paraId="00000017" w14:textId="77777777" w:rsidR="000B77DB" w:rsidRDefault="008E3DE9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t>Were there severe and/or persistent gastrointestinal symptoms?</w:t>
      </w:r>
    </w:p>
    <w:p w14:paraId="00000018" w14:textId="77777777" w:rsidR="000B77DB" w:rsidRDefault="008E3DE9">
      <w:pPr>
        <w:spacing w:after="200"/>
        <w:ind w:left="720"/>
      </w:pPr>
      <w:r>
        <w:t>Responses: Yes, No, Uncertain</w:t>
      </w:r>
    </w:p>
    <w:p w14:paraId="00000019" w14:textId="77777777" w:rsidR="000B77DB" w:rsidRDefault="008E3DE9">
      <w:pPr>
        <w:spacing w:after="200"/>
        <w:ind w:left="720"/>
      </w:pPr>
      <w:r>
        <w:t>Note: This may include crampy abdominal pain, vomiting, and related symptoms.</w:t>
      </w:r>
    </w:p>
    <w:p w14:paraId="0000001A" w14:textId="77777777" w:rsidR="000B77DB" w:rsidRDefault="008E3DE9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t xml:space="preserve">Was there an exposure to an allergen the patient was </w:t>
      </w:r>
      <w:r>
        <w:rPr>
          <w:b/>
          <w:u w:val="single"/>
        </w:rPr>
        <w:t>known</w:t>
      </w:r>
      <w:r>
        <w:rPr>
          <w:b/>
        </w:rPr>
        <w:t xml:space="preserve"> to be allergic to?</w:t>
      </w:r>
    </w:p>
    <w:p w14:paraId="0000001B" w14:textId="77777777" w:rsidR="000B77DB" w:rsidRDefault="008E3DE9">
      <w:pPr>
        <w:spacing w:after="200"/>
        <w:ind w:left="720"/>
      </w:pPr>
      <w:r>
        <w:t>Responses: Yes, No, Uncertain</w:t>
      </w:r>
    </w:p>
    <w:p w14:paraId="0000001C" w14:textId="77777777" w:rsidR="000B77DB" w:rsidRDefault="008E3DE9">
      <w:pPr>
        <w:spacing w:after="200"/>
        <w:ind w:left="720"/>
      </w:pPr>
      <w:r>
        <w:t>Note: An allergen is “known” for a patient if the chart indicates the patient has had an allergic reaction to the allergen in the past (e.g., “Patie</w:t>
      </w:r>
      <w:r>
        <w:t>nt was exposed to peanut butter and has a history of allergic reaction to peanuts.”).</w:t>
      </w:r>
    </w:p>
    <w:p w14:paraId="0000001D" w14:textId="77777777" w:rsidR="000B77DB" w:rsidRDefault="008E3DE9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t xml:space="preserve">Was there an exposure to a </w:t>
      </w:r>
      <w:r>
        <w:rPr>
          <w:b/>
          <w:u w:val="single"/>
        </w:rPr>
        <w:t>likely</w:t>
      </w:r>
      <w:r>
        <w:rPr>
          <w:b/>
        </w:rPr>
        <w:t xml:space="preserve"> allergen?</w:t>
      </w:r>
    </w:p>
    <w:p w14:paraId="0000001E" w14:textId="77777777" w:rsidR="000B77DB" w:rsidRDefault="008E3DE9">
      <w:pPr>
        <w:spacing w:after="200"/>
        <w:ind w:left="720"/>
      </w:pPr>
      <w:r>
        <w:t>Responses: Yes, No, Uncertain</w:t>
      </w:r>
    </w:p>
    <w:p w14:paraId="0000001F" w14:textId="77777777" w:rsidR="000B77DB" w:rsidRDefault="008E3DE9">
      <w:pPr>
        <w:spacing w:after="200"/>
        <w:ind w:left="720"/>
      </w:pPr>
      <w:r>
        <w:t>Note: An allergen is “likely” if it is known to be capable of causing allergic reactions in some</w:t>
      </w:r>
      <w:r>
        <w:t xml:space="preserve"> people, regardless of whether it is known to be an allergen for the patient in question.</w:t>
      </w:r>
    </w:p>
    <w:p w14:paraId="00000020" w14:textId="77777777" w:rsidR="000B77DB" w:rsidRDefault="008E3DE9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t>Was there any documentation of hypotension?</w:t>
      </w:r>
    </w:p>
    <w:p w14:paraId="00000021" w14:textId="77777777" w:rsidR="000B77DB" w:rsidRDefault="008E3DE9">
      <w:pPr>
        <w:spacing w:after="200"/>
        <w:ind w:left="720"/>
      </w:pPr>
      <w:r>
        <w:t>Responses: Yes, No, Uncertain</w:t>
      </w:r>
    </w:p>
    <w:p w14:paraId="00000022" w14:textId="46CCCB4A" w:rsidR="000B77DB" w:rsidRDefault="008E3DE9">
      <w:pPr>
        <w:spacing w:after="200"/>
        <w:ind w:left="720"/>
      </w:pPr>
      <w:r>
        <w:t xml:space="preserve">Note: Documentation of hypotension may include a narrative description that the patient was </w:t>
      </w:r>
      <w:r>
        <w:t xml:space="preserve">hypotensive, a recording or mention of a systolic blood pressure less than 90 mm </w:t>
      </w:r>
      <w:r>
        <w:lastRenderedPageBreak/>
        <w:t xml:space="preserve">Hg, or a recording or documentation of more than a 30% decrease in </w:t>
      </w:r>
      <w:bookmarkStart w:id="0" w:name="_GoBack"/>
      <w:bookmarkEnd w:id="0"/>
      <w:r>
        <w:t>blood pressure relative to the patient’s baseline blood pressure.</w:t>
      </w:r>
    </w:p>
    <w:p w14:paraId="00000023" w14:textId="77777777" w:rsidR="000B77DB" w:rsidRDefault="008E3DE9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t>Was there any implicit evidenc</w:t>
      </w:r>
      <w:r>
        <w:rPr>
          <w:b/>
        </w:rPr>
        <w:t>e of hypotension or documentation of symptoms associated with hypotension?</w:t>
      </w:r>
    </w:p>
    <w:p w14:paraId="00000024" w14:textId="77777777" w:rsidR="000B77DB" w:rsidRDefault="008E3DE9">
      <w:pPr>
        <w:spacing w:after="200"/>
        <w:ind w:left="720"/>
      </w:pPr>
      <w:r>
        <w:t>Responses: Yes, No, Uncertain</w:t>
      </w:r>
    </w:p>
    <w:p w14:paraId="00000025" w14:textId="77777777" w:rsidR="000B77DB" w:rsidRDefault="008E3DE9">
      <w:pPr>
        <w:spacing w:after="200"/>
        <w:ind w:left="720"/>
      </w:pPr>
      <w:r>
        <w:t>Note: Implicit evidence includes mention of symptoms likely to be caused by acute hypotension, such as dizziness, lightheadedness, syncope, loss of con</w:t>
      </w:r>
      <w:r>
        <w:t>sciousness, weakness, blurred vision, or fatigue.</w:t>
      </w:r>
    </w:p>
    <w:p w14:paraId="00000026" w14:textId="77777777" w:rsidR="000B77DB" w:rsidRDefault="008E3DE9">
      <w:pPr>
        <w:keepNext/>
        <w:numPr>
          <w:ilvl w:val="0"/>
          <w:numId w:val="1"/>
        </w:numPr>
        <w:spacing w:after="200"/>
        <w:rPr>
          <w:b/>
        </w:rPr>
      </w:pPr>
      <w:r>
        <w:rPr>
          <w:b/>
        </w:rPr>
        <w:t>Were there bronchospasms?</w:t>
      </w:r>
    </w:p>
    <w:p w14:paraId="00000027" w14:textId="77777777" w:rsidR="000B77DB" w:rsidRDefault="008E3DE9">
      <w:pPr>
        <w:spacing w:after="200"/>
        <w:ind w:left="720"/>
      </w:pPr>
      <w:r>
        <w:t>Responses: Yes, No, Uncertain</w:t>
      </w:r>
    </w:p>
    <w:p w14:paraId="00000028" w14:textId="77777777" w:rsidR="000B77DB" w:rsidRDefault="008E3DE9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t>Was there laryngeal involvement?</w:t>
      </w:r>
    </w:p>
    <w:p w14:paraId="00000029" w14:textId="77777777" w:rsidR="000B77DB" w:rsidRDefault="008E3DE9">
      <w:pPr>
        <w:spacing w:after="200"/>
        <w:ind w:left="720"/>
      </w:pPr>
      <w:r>
        <w:t>Responses: Yes, No, Uncertain</w:t>
      </w:r>
    </w:p>
    <w:p w14:paraId="0000002A" w14:textId="77777777" w:rsidR="000B77DB" w:rsidRDefault="008E3DE9">
      <w:pPr>
        <w:spacing w:after="200"/>
        <w:ind w:left="720"/>
      </w:pPr>
      <w:r>
        <w:t>Note: laryngeal involvement includes stridor, vocal changes, odynophagia, and related s</w:t>
      </w:r>
      <w:r>
        <w:t>ymptoms.</w:t>
      </w:r>
    </w:p>
    <w:p w14:paraId="0000002B" w14:textId="77777777" w:rsidR="000B77DB" w:rsidRDefault="008E3DE9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t>Was there an explicit, narrative mention in the chart that the patient was diagnosed with anaphylaxis?</w:t>
      </w:r>
    </w:p>
    <w:p w14:paraId="0000002C" w14:textId="77777777" w:rsidR="000B77DB" w:rsidRDefault="008E3DE9">
      <w:pPr>
        <w:spacing w:after="200"/>
        <w:ind w:left="720"/>
      </w:pPr>
      <w:r>
        <w:t>Responses: Yes, No, Uncertain</w:t>
      </w:r>
    </w:p>
    <w:p w14:paraId="0000002D" w14:textId="77777777" w:rsidR="000B77DB" w:rsidRDefault="008E3DE9">
      <w:pPr>
        <w:spacing w:after="200"/>
        <w:ind w:left="720"/>
      </w:pPr>
      <w:r>
        <w:t>Note: This requires more than a diagnosis code for anaphylaxis being associated with the encounter; the chart note must explicitly describe the patient as being likely to have anaphylaxis.</w:t>
      </w:r>
    </w:p>
    <w:p w14:paraId="0000002E" w14:textId="77777777" w:rsidR="000B77DB" w:rsidRDefault="008E3DE9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t>Based on your own opinion, does the preponderance of evidence sugge</w:t>
      </w:r>
      <w:r>
        <w:rPr>
          <w:b/>
        </w:rPr>
        <w:t>st this was a case of anaphylaxis?</w:t>
      </w:r>
    </w:p>
    <w:p w14:paraId="0000002F" w14:textId="77777777" w:rsidR="000B77DB" w:rsidRDefault="008E3DE9">
      <w:pPr>
        <w:spacing w:after="200"/>
        <w:ind w:left="720"/>
      </w:pPr>
      <w:r>
        <w:t>Responses: Yes, No, Uncertain</w:t>
      </w:r>
    </w:p>
    <w:p w14:paraId="00000030" w14:textId="77777777" w:rsidR="000B77DB" w:rsidRDefault="008E3DE9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t>Did you find it difficult to make a determination for this chart and/or did making your determination require considering complex information?</w:t>
      </w:r>
    </w:p>
    <w:p w14:paraId="00000031" w14:textId="77777777" w:rsidR="000B77DB" w:rsidRDefault="008E3DE9">
      <w:pPr>
        <w:spacing w:after="200"/>
        <w:ind w:left="720"/>
      </w:pPr>
      <w:r>
        <w:t>Responses: Yes, No, Uncertain</w:t>
      </w:r>
    </w:p>
    <w:p w14:paraId="00000032" w14:textId="77777777" w:rsidR="000B77DB" w:rsidRDefault="008E3DE9">
      <w:pPr>
        <w:spacing w:after="200"/>
        <w:ind w:left="720"/>
      </w:pPr>
      <w:r>
        <w:t>Note: You may resp</w:t>
      </w:r>
      <w:r>
        <w:t>ond “Yes” if you had a hard time finding relevant information, or you found the evidence relevant to the determination was complex or involved some sort of complication that rendered the determination difficult to make.</w:t>
      </w:r>
    </w:p>
    <w:p w14:paraId="00000033" w14:textId="77777777" w:rsidR="000B77DB" w:rsidRDefault="008E3DE9">
      <w:pPr>
        <w:keepNext/>
        <w:numPr>
          <w:ilvl w:val="0"/>
          <w:numId w:val="1"/>
        </w:numPr>
        <w:spacing w:after="200"/>
        <w:rPr>
          <w:b/>
        </w:rPr>
      </w:pPr>
      <w:r>
        <w:rPr>
          <w:b/>
        </w:rPr>
        <w:lastRenderedPageBreak/>
        <w:t>Are you uncertain about your determination for this chart?</w:t>
      </w:r>
    </w:p>
    <w:p w14:paraId="00000034" w14:textId="77777777" w:rsidR="000B77DB" w:rsidRDefault="008E3DE9">
      <w:pPr>
        <w:keepNext/>
        <w:spacing w:after="200"/>
        <w:ind w:left="720"/>
      </w:pPr>
      <w:r>
        <w:t>Responses: Yes, No</w:t>
      </w:r>
    </w:p>
    <w:p w14:paraId="00000035" w14:textId="77777777" w:rsidR="000B77DB" w:rsidRDefault="008E3DE9">
      <w:pPr>
        <w:spacing w:after="200"/>
        <w:ind w:left="720"/>
      </w:pPr>
      <w:r>
        <w:t>Note: You may respond “Yes” if you feel you cannot make a determination or if you wish to consult with another reviewer or a clinical expert about this chart.</w:t>
      </w:r>
    </w:p>
    <w:p w14:paraId="00000036" w14:textId="77777777" w:rsidR="000B77DB" w:rsidRDefault="008E3DE9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t>Optional open-ended</w:t>
      </w:r>
      <w:r>
        <w:rPr>
          <w:b/>
        </w:rPr>
        <w:t xml:space="preserve"> comments.</w:t>
      </w:r>
    </w:p>
    <w:p w14:paraId="00000037" w14:textId="77777777" w:rsidR="000B77DB" w:rsidRDefault="008E3DE9">
      <w:pPr>
        <w:spacing w:after="200"/>
        <w:ind w:left="720"/>
      </w:pPr>
      <w:r>
        <w:t>Note: Please avoid including in your comments personally identifying information about the patient or clinical care team.</w:t>
      </w:r>
    </w:p>
    <w:sectPr w:rsidR="000B77DB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96E7C" w14:textId="77777777" w:rsidR="008E3DE9" w:rsidRDefault="008E3DE9">
      <w:pPr>
        <w:spacing w:line="240" w:lineRule="auto"/>
      </w:pPr>
      <w:r>
        <w:separator/>
      </w:r>
    </w:p>
  </w:endnote>
  <w:endnote w:type="continuationSeparator" w:id="0">
    <w:p w14:paraId="44097F16" w14:textId="77777777" w:rsidR="008E3DE9" w:rsidRDefault="008E3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367CCD52" w:rsidR="000B77DB" w:rsidRDefault="008E3DE9">
    <w:r>
      <w:fldChar w:fldCharType="begin"/>
    </w:r>
    <w:r>
      <w:instrText>PAGE</w:instrText>
    </w:r>
    <w:r w:rsidR="0087014A">
      <w:fldChar w:fldCharType="separate"/>
    </w:r>
    <w:r w:rsidR="0087014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0549E" w14:textId="77777777" w:rsidR="008E3DE9" w:rsidRDefault="008E3DE9">
      <w:pPr>
        <w:spacing w:line="240" w:lineRule="auto"/>
      </w:pPr>
      <w:r>
        <w:separator/>
      </w:r>
    </w:p>
  </w:footnote>
  <w:footnote w:type="continuationSeparator" w:id="0">
    <w:p w14:paraId="4B699480" w14:textId="77777777" w:rsidR="008E3DE9" w:rsidRDefault="008E3DE9">
      <w:pPr>
        <w:spacing w:line="240" w:lineRule="auto"/>
      </w:pPr>
      <w:r>
        <w:continuationSeparator/>
      </w:r>
    </w:p>
  </w:footnote>
  <w:footnote w:id="1">
    <w:p w14:paraId="00000039" w14:textId="77777777" w:rsidR="000B77DB" w:rsidRDefault="008E3DE9">
      <w:pPr>
        <w:spacing w:after="20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Sampson HA, Muñoz-Furlong A, Campbell RL, </w:t>
      </w:r>
      <w:proofErr w:type="spellStart"/>
      <w:r>
        <w:rPr>
          <w:sz w:val="20"/>
          <w:szCs w:val="20"/>
        </w:rPr>
        <w:t>Adkinson</w:t>
      </w:r>
      <w:proofErr w:type="spellEnd"/>
      <w:r>
        <w:rPr>
          <w:sz w:val="20"/>
          <w:szCs w:val="20"/>
        </w:rPr>
        <w:t xml:space="preserve"> NF Jr, Bock SA, </w:t>
      </w:r>
      <w:proofErr w:type="spellStart"/>
      <w:r>
        <w:rPr>
          <w:sz w:val="20"/>
          <w:szCs w:val="20"/>
        </w:rPr>
        <w:t>Branum</w:t>
      </w:r>
      <w:proofErr w:type="spellEnd"/>
      <w:r>
        <w:rPr>
          <w:sz w:val="20"/>
          <w:szCs w:val="20"/>
        </w:rPr>
        <w:t xml:space="preserve"> A, Br</w:t>
      </w:r>
      <w:r>
        <w:rPr>
          <w:sz w:val="20"/>
          <w:szCs w:val="20"/>
        </w:rPr>
        <w:t xml:space="preserve">own SG, Camargo CA Jr, </w:t>
      </w:r>
      <w:proofErr w:type="spellStart"/>
      <w:r>
        <w:rPr>
          <w:sz w:val="20"/>
          <w:szCs w:val="20"/>
        </w:rPr>
        <w:t>Cydulka</w:t>
      </w:r>
      <w:proofErr w:type="spellEnd"/>
      <w:r>
        <w:rPr>
          <w:sz w:val="20"/>
          <w:szCs w:val="20"/>
        </w:rPr>
        <w:t xml:space="preserve"> R, Galli SJ, </w:t>
      </w:r>
      <w:proofErr w:type="spellStart"/>
      <w:r>
        <w:rPr>
          <w:sz w:val="20"/>
          <w:szCs w:val="20"/>
        </w:rPr>
        <w:t>Gidudu</w:t>
      </w:r>
      <w:proofErr w:type="spellEnd"/>
      <w:r>
        <w:rPr>
          <w:sz w:val="20"/>
          <w:szCs w:val="20"/>
        </w:rPr>
        <w:t xml:space="preserve"> J, Gruchalla RS, </w:t>
      </w:r>
      <w:proofErr w:type="spellStart"/>
      <w:r>
        <w:rPr>
          <w:sz w:val="20"/>
          <w:szCs w:val="20"/>
        </w:rPr>
        <w:t>Harlor</w:t>
      </w:r>
      <w:proofErr w:type="spellEnd"/>
      <w:r>
        <w:rPr>
          <w:sz w:val="20"/>
          <w:szCs w:val="20"/>
        </w:rPr>
        <w:t xml:space="preserve"> AD Jr, Hepner DL, Lewis LM, Lieberman PL, Metcalfe DD, O'Connor R, </w:t>
      </w:r>
      <w:proofErr w:type="spellStart"/>
      <w:r>
        <w:rPr>
          <w:sz w:val="20"/>
          <w:szCs w:val="20"/>
        </w:rPr>
        <w:t>Muraro</w:t>
      </w:r>
      <w:proofErr w:type="spellEnd"/>
      <w:r>
        <w:rPr>
          <w:sz w:val="20"/>
          <w:szCs w:val="20"/>
        </w:rPr>
        <w:t xml:space="preserve"> A, Rudman A, Schmitt C, Scherrer D, Simons FE, Thomas S, Wood JP, Decker WW. Second symposium on the defini</w:t>
      </w:r>
      <w:r>
        <w:rPr>
          <w:sz w:val="20"/>
          <w:szCs w:val="20"/>
        </w:rPr>
        <w:t xml:space="preserve">tion and management of anaphylaxis: summary report--Second National Institute of Allergy and Infectious Disease/Food Allergy and Anaphylaxis Network symposium. J Allergy </w:t>
      </w:r>
      <w:proofErr w:type="spellStart"/>
      <w:r>
        <w:rPr>
          <w:sz w:val="20"/>
          <w:szCs w:val="20"/>
        </w:rPr>
        <w:t>Clin</w:t>
      </w:r>
      <w:proofErr w:type="spellEnd"/>
      <w:r>
        <w:rPr>
          <w:sz w:val="20"/>
          <w:szCs w:val="20"/>
        </w:rPr>
        <w:t xml:space="preserve"> Immunol. 2006 Feb;117(2):391-7. </w:t>
      </w:r>
      <w:proofErr w:type="spellStart"/>
      <w:r>
        <w:rPr>
          <w:sz w:val="20"/>
          <w:szCs w:val="20"/>
        </w:rPr>
        <w:t>doi</w:t>
      </w:r>
      <w:proofErr w:type="spellEnd"/>
      <w:r>
        <w:rPr>
          <w:sz w:val="20"/>
          <w:szCs w:val="20"/>
        </w:rPr>
        <w:t>: 10.1016/j.jaci.2005.12.1303. PMID: 16461139.</w:t>
      </w:r>
    </w:p>
  </w:footnote>
  <w:footnote w:id="2">
    <w:p w14:paraId="00000038" w14:textId="77777777" w:rsidR="000B77DB" w:rsidRDefault="008E3DE9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Turner PJ, Worm M, </w:t>
      </w:r>
      <w:proofErr w:type="spellStart"/>
      <w:r>
        <w:rPr>
          <w:sz w:val="20"/>
          <w:szCs w:val="20"/>
        </w:rPr>
        <w:t>Ansotegui</w:t>
      </w:r>
      <w:proofErr w:type="spellEnd"/>
      <w:r>
        <w:rPr>
          <w:sz w:val="20"/>
          <w:szCs w:val="20"/>
        </w:rPr>
        <w:t xml:space="preserve"> IJ, El-Gamal Y, Rivas MF, </w:t>
      </w:r>
      <w:proofErr w:type="spellStart"/>
      <w:r>
        <w:rPr>
          <w:sz w:val="20"/>
          <w:szCs w:val="20"/>
        </w:rPr>
        <w:t>Fineman</w:t>
      </w:r>
      <w:proofErr w:type="spellEnd"/>
      <w:r>
        <w:rPr>
          <w:sz w:val="20"/>
          <w:szCs w:val="20"/>
        </w:rPr>
        <w:t xml:space="preserve"> S, Geller M, Gonzalez-Estrada A, Greenberger PA, </w:t>
      </w:r>
      <w:proofErr w:type="spellStart"/>
      <w:r>
        <w:rPr>
          <w:sz w:val="20"/>
          <w:szCs w:val="20"/>
        </w:rPr>
        <w:t>Tanno</w:t>
      </w:r>
      <w:proofErr w:type="spellEnd"/>
      <w:r>
        <w:rPr>
          <w:sz w:val="20"/>
          <w:szCs w:val="20"/>
        </w:rPr>
        <w:t xml:space="preserve"> LK, Borges MS, Senna G, Sheikh A, Thong BY, </w:t>
      </w:r>
      <w:proofErr w:type="spellStart"/>
      <w:r>
        <w:rPr>
          <w:sz w:val="20"/>
          <w:szCs w:val="20"/>
        </w:rPr>
        <w:t>Ebisawa</w:t>
      </w:r>
      <w:proofErr w:type="spellEnd"/>
      <w:r>
        <w:rPr>
          <w:sz w:val="20"/>
          <w:szCs w:val="20"/>
        </w:rPr>
        <w:t xml:space="preserve"> M, Cardona V; WAO Anaphylaxis Committee. Time to revisit</w:t>
      </w:r>
      <w:r>
        <w:rPr>
          <w:sz w:val="20"/>
          <w:szCs w:val="20"/>
        </w:rPr>
        <w:t xml:space="preserve"> the definition and clinical criteria for anaphylaxis? World Allergy Organ J. 2019 Oct 31;12(10):100066. </w:t>
      </w:r>
      <w:proofErr w:type="spellStart"/>
      <w:r>
        <w:rPr>
          <w:sz w:val="20"/>
          <w:szCs w:val="20"/>
        </w:rPr>
        <w:t>doi</w:t>
      </w:r>
      <w:proofErr w:type="spellEnd"/>
      <w:r>
        <w:rPr>
          <w:sz w:val="20"/>
          <w:szCs w:val="20"/>
        </w:rPr>
        <w:t>: 10.1016/j.waojou.2019.100066. PMID: 31719946; PMCID: PMC6838992.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E0431"/>
    <w:multiLevelType w:val="multilevel"/>
    <w:tmpl w:val="13CE4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7DB"/>
    <w:rsid w:val="000B77DB"/>
    <w:rsid w:val="0087014A"/>
    <w:rsid w:val="008E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B9480"/>
  <w15:docId w15:val="{CE5F0379-8B17-254B-8099-E9EDFB07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14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4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C. Smith</cp:lastModifiedBy>
  <cp:revision>2</cp:revision>
  <dcterms:created xsi:type="dcterms:W3CDTF">2023-08-28T20:05:00Z</dcterms:created>
  <dcterms:modified xsi:type="dcterms:W3CDTF">2023-08-28T20:06:00Z</dcterms:modified>
</cp:coreProperties>
</file>