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both"/>
      </w:pPr>
      <w:r>
        <w:rPr>
          <w:b w:val="0"/>
          <w:i w:val="0"/>
        </w:rPr>
      </w:r>
    </w:p>
    <w:p>
      <w:pPr>
        <w:spacing w:after="240"/>
        <w:jc w:val="both"/>
      </w:pPr>
      <w:r>
        <w:rPr>
          <w:b w:val="0"/>
          <w:i w:val="0"/>
        </w:rPr>
      </w:r>
    </w:p>
    <w:p>
      <w:pPr>
        <w:spacing w:after="240"/>
        <w:jc w:val="both"/>
      </w:pPr>
      <w:r>
        <w:rPr>
          <w:b w:val="0"/>
          <w:i w:val="0"/>
        </w:rPr>
      </w:r>
    </w:p>
    <w:p>
      <w:pPr>
        <w:jc w:val="center"/>
      </w:pPr>
      <w:r>
        <w:rPr>
          <w:b/>
          <w:i w:val="0"/>
          <w:color w:val="1F3A5F"/>
          <w:sz w:val="36"/>
        </w:rPr>
        <w:t>THE LIBYAN ACADEMY</w:t>
      </w:r>
    </w:p>
    <w:p>
      <w:pPr>
        <w:jc w:val="center"/>
      </w:pPr>
      <w:r>
        <w:rPr>
          <w:b w:val="0"/>
          <w:i w:val="0"/>
          <w:sz w:val="26"/>
        </w:rPr>
        <w:t>Faculty of Engineering — Department of Mechanical Engineering</w:t>
      </w:r>
    </w:p>
    <w:p>
      <w:pPr>
        <w:spacing w:after="480"/>
        <w:jc w:val="both"/>
      </w:pPr>
      <w:r>
        <w:rPr>
          <w:b w:val="0"/>
          <w:i w:val="0"/>
        </w:rPr>
      </w:r>
    </w:p>
    <w:p>
      <w:pPr>
        <w:jc w:val="center"/>
      </w:pPr>
      <w:r>
        <w:rPr>
          <w:b/>
          <w:i w:val="0"/>
          <w:sz w:val="30"/>
        </w:rPr>
        <w:t>RESEARCH PROPOSAL</w:t>
      </w:r>
    </w:p>
    <w:p>
      <w:pPr>
        <w:jc w:val="center"/>
      </w:pPr>
      <w:r>
        <w:rPr>
          <w:b/>
          <w:i w:val="0"/>
          <w:color w:val="1F3A5F"/>
          <w:sz w:val="40"/>
        </w:rPr>
        <w:t>Modeling and Simulation Study of a Dynamic Gas Turbine System in a Virtual Test Bed Environment</w:t>
      </w:r>
    </w:p>
    <w:p>
      <w:pPr>
        <w:spacing w:after="480"/>
        <w:jc w:val="both"/>
      </w:pPr>
      <w:r>
        <w:rPr>
          <w:b w:val="0"/>
          <w:i w:val="0"/>
        </w:rPr>
      </w:r>
    </w:p>
    <w:p>
      <w:pPr>
        <w:jc w:val="center"/>
      </w:pPr>
      <w:r>
        <w:rPr>
          <w:b w:val="0"/>
          <w:i/>
        </w:rPr>
        <w:t>Submitted in partial fulfillment of the requirements for the degree of Master of Science in Mechanical Engineering</w:t>
      </w:r>
    </w:p>
    <w:p>
      <w:pPr>
        <w:spacing w:after="480"/>
        <w:jc w:val="both"/>
      </w:pPr>
      <w:r>
        <w:rPr>
          <w:b w:val="0"/>
          <w:i w:val="0"/>
        </w:rPr>
      </w:r>
    </w:p>
    <w:p>
      <w:pPr>
        <w:jc w:val="center"/>
      </w:pPr>
      <w:r>
        <w:rPr>
          <w:b w:val="0"/>
          <w:i w:val="0"/>
        </w:rPr>
        <w:t>Prepared by: [Student Name]</w:t>
      </w:r>
    </w:p>
    <w:p>
      <w:pPr>
        <w:jc w:val="center"/>
      </w:pPr>
      <w:r>
        <w:rPr>
          <w:b w:val="0"/>
          <w:i w:val="0"/>
        </w:rPr>
        <w:t>Supervisor: [Supervisor Name]</w:t>
      </w:r>
    </w:p>
    <w:p>
      <w:pPr>
        <w:jc w:val="center"/>
      </w:pPr>
      <w:r>
        <w:rPr>
          <w:b w:val="0"/>
          <w:i w:val="0"/>
        </w:rPr>
        <w:t>Academic Year: 2026</w:t>
      </w:r>
    </w:p>
    <w:p>
      <w:r>
        <w:br w:type="page"/>
      </w:r>
    </w:p>
    <w:p>
      <w:pPr>
        <w:pStyle w:val="Heading1"/>
      </w:pPr>
      <w:r>
        <w:t>Abstract</w:t>
      </w:r>
    </w:p>
    <w:p>
      <w:pPr>
        <w:jc w:val="both"/>
      </w:pPr>
      <w:r>
        <w:rPr>
          <w:b w:val="0"/>
          <w:i w:val="0"/>
        </w:rPr>
        <w:t>A gas turbine rarely sits at a single operating point. It is started from rest, brought up to speed, hit with sudden load changes, and occasionally asked to ride through a disturbance in its fuel supply. Each of these events pushes the machine through a transient in which spinning inertia, pressure and temperature stored in the gas path, and the control system all interact at once. Those are exactly the moments when things go wrong: the compressor drifts toward surge, the turbine inlet temperature overshoots, or the shaft speed swings further than the protection system tolerates.</w:t>
      </w:r>
    </w:p>
    <w:p>
      <w:pPr>
        <w:jc w:val="both"/>
      </w:pPr>
      <w:r>
        <w:rPr>
          <w:b w:val="0"/>
          <w:i w:val="0"/>
        </w:rPr>
        <w:t>Studying these transients on a real machine is expensive and, at the limits, genuinely risky. This proposal therefore sets out a plan to build a virtual test bed (VTB): a physics-based, component-level dynamic model of a single-shaft gas turbine, covering the intake, compressor, combustor, turbine and rotor, implemented in MATLAB/Simulink and arranged so that test scenarios can be changed without touching the model itself. The VTB will be used to simulate start-up, load steps and fuel-flow disturbances, and its behavior (shaft speed, turbine inlet temperature, pressure ratio and surge margin) will be checked against published reference data. The intended result is an open, well-documented platform that other students and researchers can reuse for studying transient behavior and, later, for designing controllers, without needing access to a physical test rig.</w:t>
      </w:r>
    </w:p>
    <w:p>
      <w:pPr>
        <w:jc w:val="both"/>
      </w:pPr>
      <w:r>
        <w:rPr>
          <w:b w:val="0"/>
          <w:i/>
        </w:rPr>
        <w:t>Keywords: gas turbine, dynamic modeling, virtual test bed, transient simulation, MATLAB/Simulink, rotor dynamics, compressor map, surge margin.</w:t>
      </w:r>
    </w:p>
    <w:p>
      <w:pPr>
        <w:pStyle w:val="Heading1"/>
      </w:pPr>
      <w:r>
        <w:t>1. Introduction</w:t>
      </w:r>
    </w:p>
    <w:p>
      <w:pPr>
        <w:pStyle w:val="Heading2"/>
      </w:pPr>
      <w:r>
        <w:t>1.1 Background</w:t>
      </w:r>
    </w:p>
    <w:p>
      <w:pPr>
        <w:jc w:val="both"/>
      </w:pPr>
      <w:r>
        <w:rPr>
          <w:b w:val="0"/>
          <w:i w:val="0"/>
        </w:rPr>
        <w:t>A gas turbine turns the chemical energy of a fuel into shaft power through a continuous cycle of compression, combustion and expansion. Because air flows through the machine steadily instead of in discrete strokes, gas turbines deliver a great deal of power for their weight and respond to changes in demand much faster than reciprocating engines of similar size. That is why they power aircraft, peaking and combined-cycle plants, offshore platforms, and the compressors and pumps of the oil and gas industry.</w:t>
      </w:r>
    </w:p>
    <w:p>
      <w:pPr>
        <w:jc w:val="both"/>
      </w:pPr>
      <w:r>
        <w:rPr>
          <w:b w:val="0"/>
          <w:i w:val="0"/>
        </w:rPr>
        <w:t>Steady-state analysis, however, only tells part of the story. A turbine that is accelerating, or absorbing a sudden load, is not at equilibrium: the rotor is storing or releasing kinetic energy, the ducts and plenums between components are filling or emptying, and the fuel governor is reacting to what it sees. Ignoring these effects can lead to wrong predictions of the very phenomena engineers worry about most, namely compressor surge, turbine over-temperature and unacceptable speed overshoot.</w:t>
      </w:r>
    </w:p>
    <w:p>
      <w:pPr>
        <w:pStyle w:val="Heading2"/>
      </w:pPr>
      <w:r>
        <w:t>1.2 Why a Virtual Test Bed?</w:t>
      </w:r>
    </w:p>
    <w:p>
      <w:pPr>
        <w:jc w:val="both"/>
      </w:pPr>
      <w:r>
        <w:rPr>
          <w:b w:val="0"/>
          <w:i w:val="0"/>
        </w:rPr>
        <w:t>A virtual test bed is a simulation environment that reproduces a machine's behavior closely enough to support analysis, training and control development without the hardware being present. For gas turbines it usually means an integrated dynamic model of the main components, coupled to representative control logic and a set of disturbance scenarios.</w:t>
      </w:r>
    </w:p>
    <w:p>
      <w:pPr>
        <w:jc w:val="both"/>
      </w:pPr>
      <w:r>
        <w:rPr>
          <w:b w:val="0"/>
          <w:i w:val="0"/>
        </w:rPr>
        <w:t>Three advantages make the idea attractive. First, it removes the cost and danger of deliberately driving a real machine toward its limits; nobody wants to test surge margin on an engine they cannot afford to damage. Second, experiments are perfectly repeatable, whereas a physical rig is affected by wear, drift and scheduling. Third, control strategies can be developed and tuned in simulation before they ever reach real equipment, which shortens commissioning and lowers risk.</w:t>
      </w:r>
    </w:p>
    <w:p>
      <w:pPr>
        <w:jc w:val="both"/>
      </w:pPr>
      <w:r>
        <w:rPr>
          <w:b w:val="0"/>
          <w:i w:val="0"/>
        </w:rPr>
        <w:t>This research is motivated by the wish to build such a platform for a representative single-shaft gas turbine, using first-principles equations rather than a black-box fit, so that every assumption is visible, every block can be inspected, and the finished tool is useful for teaching as well as research.</w:t>
      </w:r>
    </w:p>
    <w:p>
      <w:pPr>
        <w:pStyle w:val="Heading1"/>
      </w:pPr>
      <w:r>
        <w:t>2. Problem Statement</w:t>
      </w:r>
    </w:p>
    <w:p>
      <w:pPr>
        <w:jc w:val="both"/>
      </w:pPr>
      <w:r>
        <w:rPr>
          <w:b w:val="0"/>
          <w:i w:val="0"/>
        </w:rPr>
        <w:t>Steady-state performance modeling of gas turbines is mature and well documented. Dynamic modeling is much harder to get hold of in practice. Commercial packages that can handle transients tend to be closed-source, costly and difficult to adapt to a machine outside their built-in library. Many published academic models, on the other hand, simplify the physics heavily, treating volume dynamics or rotor inertia only partially, which limits what they can say about problems such as surge-margin erosion during a fast transient.</w:t>
      </w:r>
    </w:p>
    <w:p>
      <w:pPr>
        <w:jc w:val="both"/>
      </w:pPr>
      <w:r>
        <w:rPr>
          <w:b w:val="0"/>
          <w:i w:val="0"/>
        </w:rPr>
        <w:t>A gap therefore exists between simple transfer-function models, which are convenient but physically shallow, and full CFD or proprietary cycle software, which is physically rich but heavy and inaccessible for iterative academic work. This study aims to occupy the middle ground: an intermediate-fidelity, component-level model built from openly documented equations and packaged as a virtual test bed that can be configured freely.</w:t>
      </w:r>
    </w:p>
    <w:p>
      <w:pPr>
        <w:jc w:val="both"/>
      </w:pPr>
      <w:r>
        <w:rPr>
          <w:b w:val="0"/>
          <w:i w:val="0"/>
        </w:rPr>
        <w:t>Stated formally, the research problem is this: how can the dynamic interaction between the thermodynamic states of a gas turbine's gas path and the mechanical inertia of its rotor be represented in a transparent, modular simulation model, and how can that model be organized into a virtual test bed that reproduces realistic transient responses for analysis and future control-system development?</w:t>
      </w:r>
    </w:p>
    <w:p>
      <w:pPr>
        <w:pStyle w:val="Heading1"/>
      </w:pPr>
      <w:r>
        <w:t>3. Research Questions</w:t>
      </w:r>
    </w:p>
    <w:p>
      <w:pPr>
        <w:pStyle w:val="ListNumber"/>
        <w:spacing w:after="60"/>
      </w:pPr>
      <w:r>
        <w:t>How can the dynamic behavior of the intake, compressor, combustor, turbine and rotor shaft be expressed using conservation of mass, energy and momentum together with component performance maps?</w:t>
      </w:r>
    </w:p>
    <w:p>
      <w:pPr>
        <w:pStyle w:val="ListNumber"/>
        <w:spacing w:after="60"/>
      </w:pPr>
      <w:r>
        <w:t>What level of model fidelity (volume dynamics, heat-soak effects, control-loop representation) is needed to reproduce realistic start-up and load-step transients?</w:t>
      </w:r>
    </w:p>
    <w:p>
      <w:pPr>
        <w:pStyle w:val="ListNumber"/>
        <w:spacing w:after="60"/>
      </w:pPr>
      <w:r>
        <w:t>How does the integrated model respond, in terms of shaft speed, turbine inlet temperature and pressure ratio, to start-up, step load change and fuel-flow disturbance?</w:t>
      </w:r>
    </w:p>
    <w:p>
      <w:pPr>
        <w:pStyle w:val="ListNumber"/>
        <w:spacing w:after="60"/>
      </w:pPr>
      <w:r>
        <w:t>How closely do the simulated trends agree, qualitatively and quantitatively, with published reference data and established behavior reported in the literature?</w:t>
      </w:r>
    </w:p>
    <w:p>
      <w:pPr>
        <w:pStyle w:val="ListNumber"/>
        <w:spacing w:after="60"/>
      </w:pPr>
      <w:r>
        <w:t>How should the virtual test bed be structured, in terms of modularity and scenario configurability, so that it can be reused for future control studies?</w:t>
      </w:r>
    </w:p>
    <w:p>
      <w:pPr>
        <w:pStyle w:val="Heading1"/>
      </w:pPr>
      <w:r>
        <w:t>4. Objectives</w:t>
      </w:r>
    </w:p>
    <w:p>
      <w:pPr>
        <w:pStyle w:val="Heading2"/>
      </w:pPr>
      <w:r>
        <w:t>4.1 General Objective</w:t>
      </w:r>
    </w:p>
    <w:p>
      <w:pPr>
        <w:jc w:val="both"/>
      </w:pPr>
      <w:r>
        <w:rPr>
          <w:b w:val="0"/>
          <w:i w:val="0"/>
        </w:rPr>
        <w:t>To develop, validate and demonstrate a dynamic simulation model of a gas turbine implemented as a virtual test bed, and to use it to study transient behavior under representative start-up, load-change and disturbance scenarios.</w:t>
      </w:r>
    </w:p>
    <w:p>
      <w:pPr>
        <w:pStyle w:val="Heading2"/>
      </w:pPr>
      <w:r>
        <w:t>4.2 Specific Objectives</w:t>
      </w:r>
    </w:p>
    <w:p>
      <w:pPr>
        <w:pStyle w:val="ListNumber"/>
        <w:spacing w:after="60"/>
      </w:pPr>
      <w:r>
        <w:t>Review and synthesize existing approaches to gas turbine dynamic modeling, including component-map-based and lumped-parameter methods.</w:t>
      </w:r>
    </w:p>
    <w:p>
      <w:pPr>
        <w:pStyle w:val="ListNumber"/>
        <w:spacing w:after="60"/>
      </w:pPr>
      <w:r>
        <w:t>Formulate the mass, energy and momentum conservation equations for the intake, compressor, combustor, turbine and rotor shaft.</w:t>
      </w:r>
    </w:p>
    <w:p>
      <w:pPr>
        <w:pStyle w:val="ListNumber"/>
        <w:spacing w:after="60"/>
      </w:pPr>
      <w:r>
        <w:t>Incorporate representative compressor and turbine maps to capture off-design behavior.</w:t>
      </w:r>
    </w:p>
    <w:p>
      <w:pPr>
        <w:pStyle w:val="ListNumber"/>
        <w:spacing w:after="60"/>
      </w:pPr>
      <w:r>
        <w:t>Integrate the component models into a single modular system model in MATLAB/Simulink.</w:t>
      </w:r>
    </w:p>
    <w:p>
      <w:pPr>
        <w:pStyle w:val="ListNumber"/>
        <w:spacing w:after="60"/>
      </w:pPr>
      <w:r>
        <w:t>Design a virtual test bed architecture that supports configurable scenarios: start-up, step load change, fuel-flow disturbance and ambient variation.</w:t>
      </w:r>
    </w:p>
    <w:p>
      <w:pPr>
        <w:pStyle w:val="ListNumber"/>
        <w:spacing w:after="60"/>
      </w:pPr>
      <w:r>
        <w:t>Validate the model against reference data and case studies from the literature, qualitatively and, where data allow, quantitatively.</w:t>
      </w:r>
    </w:p>
    <w:p>
      <w:pPr>
        <w:pStyle w:val="ListNumber"/>
        <w:spacing w:after="60"/>
      </w:pPr>
      <w:r>
        <w:t>Analyze the transient response in terms of shaft speed, turbine inlet temperature, pressure ratio and surge margin.</w:t>
      </w:r>
    </w:p>
    <w:p>
      <w:pPr>
        <w:pStyle w:val="ListNumber"/>
        <w:spacing w:after="60"/>
      </w:pPr>
      <w:r>
        <w:t>Document assumptions and limitations, and recommend how the platform can be extended toward control-system studies.</w:t>
      </w:r>
    </w:p>
    <w:p>
      <w:pPr>
        <w:pStyle w:val="Heading1"/>
      </w:pPr>
      <w:r>
        <w:t>5. Significance of the Study</w:t>
      </w:r>
    </w:p>
    <w:p>
      <w:pPr>
        <w:jc w:val="both"/>
      </w:pPr>
      <w:r>
        <w:rPr>
          <w:b w:val="0"/>
          <w:i w:val="0"/>
        </w:rPr>
        <w:t>The study matters on three levels. Academically, it offers a transparent, physics-based reference model of gas turbine transient dynamics that can support teaching, later postgraduate work and reproducible publication, which closed commercial tools cannot because their internal formulations are hidden.</w:t>
      </w:r>
    </w:p>
    <w:p>
      <w:pPr>
        <w:jc w:val="both"/>
      </w:pPr>
      <w:r>
        <w:rPr>
          <w:b w:val="0"/>
          <w:i w:val="0"/>
        </w:rPr>
        <w:t>Practically, the test bed gives engineers a low-cost, risk-free place to explore events that would be hazardous or expensive to provoke on real equipment, such as approaching the surge line during rapid acceleration. Operators and maintenance engineers can use it to understand the operating envelope of their machines without putting those machines at risk.</w:t>
      </w:r>
    </w:p>
    <w:p>
      <w:pPr>
        <w:jc w:val="both"/>
      </w:pPr>
      <w:r>
        <w:rPr>
          <w:b w:val="0"/>
          <w:i w:val="0"/>
        </w:rPr>
        <w:t>Strategically, the modular structure is meant as a foundation. Once the open-loop model is validated, it can be extended with closed-loop fuel governors, surge-avoidance controllers or condition-monitoring algorithms, and these can be developed and tested in simulation well before any physical implementation.</w:t>
      </w:r>
    </w:p>
    <w:p>
      <w:pPr>
        <w:pStyle w:val="Heading1"/>
      </w:pPr>
      <w:r>
        <w:t>6. Literature Review</w:t>
      </w:r>
    </w:p>
    <w:p>
      <w:pPr>
        <w:pStyle w:val="Heading2"/>
      </w:pPr>
      <w:r>
        <w:t>6.1 Steady-State Performance Modeling</w:t>
      </w:r>
    </w:p>
    <w:p>
      <w:pPr>
        <w:jc w:val="both"/>
      </w:pPr>
      <w:r>
        <w:rPr>
          <w:b w:val="0"/>
          <w:i w:val="0"/>
        </w:rPr>
        <w:t>Gas turbine performance analysis rests on the Brayton cycle, extended with component efficiencies, pressure losses and off-design maps for the compressor and turbine (Saravanamuttoo, Rogers, Cohen, &amp; Straznicky, 2009; Walsh &amp; Fletcher, 2004). These texts set out the standard notation and the compressor–turbine matching procedure on which any dynamic extension depends. Steady-state models fix the operating point at each instant, but they say nothing about how the machine travels from one point to another after a disturbance. That is the job of dynamic modeling.</w:t>
      </w:r>
    </w:p>
    <w:p>
      <w:pPr>
        <w:pStyle w:val="Heading2"/>
      </w:pPr>
      <w:r>
        <w:t>6.2 Dynamic Modeling Approaches</w:t>
      </w:r>
    </w:p>
    <w:p>
      <w:pPr>
        <w:jc w:val="both"/>
      </w:pPr>
      <w:r>
        <w:rPr>
          <w:b w:val="0"/>
          <w:i w:val="0"/>
        </w:rPr>
        <w:t>Rowen (1983) proposed one of the earliest and most widely cited simplified representations of a heavy-duty industrial gas turbine, using transfer-function blocks to relate fuel flow, rotor speed and exhaust temperature. It remains computationally efficient and is still used in power-system stability studies, but it hides the underlying thermodynamic states and so cannot answer detailed questions such as how close the compressor comes to surge.</w:t>
      </w:r>
    </w:p>
    <w:p>
      <w:pPr>
        <w:jc w:val="both"/>
      </w:pPr>
      <w:r>
        <w:rPr>
          <w:b w:val="0"/>
          <w:i w:val="0"/>
        </w:rPr>
        <w:t>More detailed component-based models give each component its own conservation equations, couple them through shared pressure, temperature and flow at the interfaces, account for the finite time needed for gas-path volumes to fill and empty, and link the turbine–compressor torque imbalance to rotor acceleration. Kim, Song, Kim, and Ro (2001) developed and validated such a model for a heavy-duty gas turbine and showed that plenum volume dynamics measurably change the predicted transient compared with a quasi-steady treatment. Camporeale, Fortunato, and Mastrovito (2006) presented a modular Simulink implementation of a similar approach, explicitly built for real-time simulation, which is very close in spirit to the virtual test bed proposed here. Crosa et al. (1998) likewise built an aerothermodynamic Simulink model of a heavy-duty plant, further supporting Simulink as a practical platform.</w:t>
      </w:r>
    </w:p>
    <w:p>
      <w:pPr>
        <w:pStyle w:val="Heading2"/>
      </w:pPr>
      <w:r>
        <w:t>6.3 Data-Driven and Hybrid Approaches</w:t>
      </w:r>
    </w:p>
    <w:p>
      <w:pPr>
        <w:jc w:val="both"/>
      </w:pPr>
      <w:r>
        <w:rPr>
          <w:b w:val="0"/>
          <w:i w:val="0"/>
        </w:rPr>
        <w:t>A parallel line of work uses data-driven methods, such as neural networks, to identify gas turbine dynamics directly from operating data (Asgari, Chen, Menhaj, &amp; Sainudiin, 2013). These methods can be very accurate where plenty of data exist, but they offer little physical insight and are less trustworthy in off-design or fault conditions that the training data did not cover. This strengthens the case for a first-principles approach that does not depend on proprietary operational datasets.</w:t>
      </w:r>
    </w:p>
    <w:p>
      <w:pPr>
        <w:pStyle w:val="Heading2"/>
      </w:pPr>
      <w:r>
        <w:t>6.4 Models for System-Level Studies</w:t>
      </w:r>
    </w:p>
    <w:p>
      <w:pPr>
        <w:jc w:val="both"/>
      </w:pPr>
      <w:r>
        <w:rPr>
          <w:b w:val="0"/>
          <w:i w:val="0"/>
        </w:rPr>
        <w:t>Yee, Milanovic, and Hughes (2008) compared a range of gas turbine models used in power-system stability studies and highlighted the trade-off between simplicity, which large-scale simulations favor, and fidelity, which is needed to capture turbine-specific effects. This helps position the present work: detailed enough to resolve component-level transients, yet modular and light enough to run many scenarios quickly.</w:t>
      </w:r>
    </w:p>
    <w:p>
      <w:pPr>
        <w:pStyle w:val="Heading2"/>
      </w:pPr>
      <w:r>
        <w:t>6.5 Virtual Test Beds and Simulation Platforms</w:t>
      </w:r>
    </w:p>
    <w:p>
      <w:pPr>
        <w:jc w:val="both"/>
      </w:pPr>
      <w:r>
        <w:rPr>
          <w:b w:val="0"/>
          <w:i w:val="0"/>
        </w:rPr>
        <w:t>Replacing physical hardware with a validated model for safe, repeatable and configurable experiments is well established in engineering, from hardware-in-the-loop testing in power systems to aircraft engine control development (Jaw &amp; Mattingly, 2009). For gas turbines the idea fits naturally with component-based modeling in a block-diagram environment such as MATLAB/Simulink, where each component is an interchangeable module and different configurations or control strategies can be tried inside one framework.</w:t>
      </w:r>
    </w:p>
    <w:p>
      <w:pPr>
        <w:pStyle w:val="Heading2"/>
      </w:pPr>
      <w:r>
        <w:t>6.6 Positioning of the Present Study</w:t>
      </w:r>
    </w:p>
    <w:p>
      <w:pPr>
        <w:jc w:val="both"/>
      </w:pPr>
      <w:r>
        <w:rPr>
          <w:b w:val="0"/>
          <w:i w:val="0"/>
        </w:rPr>
        <w:t>The literature shows a solid theoretical basis for component-based dynamic modeling and clear precedent for building it in accessible tools. Yet most studies focus on a single application, such as stability studies or engine control, or on validating one proprietary configuration. Few present the model explicitly as a general, reusable test bed for exploratory academic work. This research sits at that intersection: it applies established modeling principles, but deliberately organizes the result as a configurable virtual test bed for repeated scenario-based experiments and as a base for future control research.</w:t>
      </w:r>
    </w:p>
    <w:p>
      <w:pPr>
        <w:pStyle w:val="Heading1"/>
      </w:pPr>
      <w:r>
        <w:t>7. Theoretical Framework and Governing Equations</w:t>
      </w:r>
    </w:p>
    <w:p>
      <w:pPr>
        <w:jc w:val="both"/>
      </w:pPr>
      <w:r>
        <w:rPr>
          <w:b w:val="0"/>
          <w:i w:val="0"/>
        </w:rPr>
        <w:t>The model combines steady-state component characteristics with time-dependent conservation equations. The relations below summarize what will be implemented for each part of the machine.</w:t>
      </w:r>
    </w:p>
    <w:p>
      <w:pPr>
        <w:pStyle w:val="Heading2"/>
      </w:pPr>
      <w:r>
        <w:t>7.1 Compressor</w:t>
      </w:r>
    </w:p>
    <w:p>
      <w:pPr>
        <w:jc w:val="both"/>
      </w:pPr>
      <w:r>
        <w:rPr>
          <w:b w:val="0"/>
          <w:i w:val="0"/>
        </w:rPr>
        <w:t>The compressor is described by a non-dimensional map giving pressure ratio and isentropic efficiency as functions of corrected mass flow and corrected speed. The power it absorbs from the shaft follows from the energy balance:</w:t>
      </w:r>
    </w:p>
    <w:p>
      <w:pPr>
        <w:spacing w:line="288" w:lineRule="auto"/>
        <w:jc w:val="center"/>
      </w:pPr>
      <w:r>
        <w:rPr>
          <w:i/>
        </w:rPr>
        <w:t>Ẇc = ṁa · Cpa · (T2 − T1) = ṁa · Cpa · T1 · [(P2/P1)^((γ−1)/γ) − 1] / ηc      (1)</w:t>
      </w:r>
    </w:p>
    <w:p>
      <w:pPr>
        <w:jc w:val="both"/>
      </w:pPr>
      <w:r>
        <w:rPr>
          <w:b w:val="0"/>
          <w:i w:val="0"/>
        </w:rPr>
        <w:t>Here ṁa is the air mass flow, Cpa the specific heat of air, T1 and T2 the inlet and exit temperatures, P2/P1 the pressure ratio, γ the specific heat ratio, and ηc the isentropic efficiency read from the map at the current operating point.</w:t>
      </w:r>
    </w:p>
    <w:p>
      <w:pPr>
        <w:pStyle w:val="Heading2"/>
      </w:pPr>
      <w:r>
        <w:t>7.2 Combustor</w:t>
      </w:r>
    </w:p>
    <w:p>
      <w:pPr>
        <w:jc w:val="both"/>
      </w:pPr>
      <w:r>
        <w:rPr>
          <w:b w:val="0"/>
          <w:i w:val="0"/>
        </w:rPr>
        <w:t>The combustor is modeled by a fuel–air energy balance with a first-order lag that stands in for the finite residence time and thermal inertia of the chamber:</w:t>
      </w:r>
    </w:p>
    <w:p>
      <w:pPr>
        <w:spacing w:line="288" w:lineRule="auto"/>
        <w:jc w:val="center"/>
      </w:pPr>
      <w:r>
        <w:rPr>
          <w:i/>
        </w:rPr>
        <w:t>ṁf · LHV · ηb = (ṁa + ṁf) · Cpg · T3 − ṁa · Cpa · T2      (2)</w:t>
      </w:r>
    </w:p>
    <w:p>
      <w:pPr>
        <w:spacing w:line="288" w:lineRule="auto"/>
        <w:jc w:val="center"/>
      </w:pPr>
      <w:r>
        <w:rPr>
          <w:i/>
        </w:rPr>
        <w:t>τb · dT3/dt + T3 = T3,steady(ṁf, ṁa)      (3)</w:t>
      </w:r>
    </w:p>
    <w:p>
      <w:pPr>
        <w:jc w:val="both"/>
      </w:pPr>
      <w:r>
        <w:rPr>
          <w:b w:val="0"/>
          <w:i w:val="0"/>
        </w:rPr>
        <w:t>Here ṁf is the fuel flow, LHV the fuel's lower heating value, ηb the combustion efficiency, T3 the turbine inlet temperature, Cpg the specific heat of the combustion gas, and τb a small time constant describing the delay between a change in fuel flow and the resulting change in turbine inlet temperature.</w:t>
      </w:r>
    </w:p>
    <w:p>
      <w:pPr>
        <w:pStyle w:val="Heading2"/>
      </w:pPr>
      <w:r>
        <w:t>7.3 Turbine</w:t>
      </w:r>
    </w:p>
    <w:p>
      <w:pPr>
        <w:jc w:val="both"/>
      </w:pPr>
      <w:r>
        <w:rPr>
          <w:b w:val="0"/>
          <w:i w:val="0"/>
        </w:rPr>
        <w:t>Like the compressor, the turbine is represented by a map of expansion ratio and efficiency against corrected flow and speed. The power delivered to the shaft is:</w:t>
      </w:r>
    </w:p>
    <w:p>
      <w:pPr>
        <w:spacing w:line="288" w:lineRule="auto"/>
        <w:jc w:val="center"/>
      </w:pPr>
      <w:r>
        <w:rPr>
          <w:i/>
        </w:rPr>
        <w:t>Ẇt = ṁg · Cpg · (T3 − T4) = ṁg · Cpg · T3 · ηt · [1 − (P4/P3)^((γ−1)/γ)]      (4)</w:t>
      </w:r>
    </w:p>
    <w:p>
      <w:pPr>
        <w:jc w:val="both"/>
      </w:pPr>
      <w:r>
        <w:rPr>
          <w:b w:val="0"/>
          <w:i w:val="0"/>
        </w:rPr>
        <w:t>where ṁg is the gas flow through the turbine, T4 the exit temperature and ηt the turbine isentropic efficiency.</w:t>
      </w:r>
    </w:p>
    <w:p>
      <w:pPr>
        <w:pStyle w:val="Heading2"/>
      </w:pPr>
      <w:r>
        <w:t>7.4 Rotor Dynamics</w:t>
      </w:r>
    </w:p>
    <w:p>
      <w:pPr>
        <w:jc w:val="both"/>
      </w:pPr>
      <w:r>
        <w:rPr>
          <w:b w:val="0"/>
          <w:i w:val="0"/>
        </w:rPr>
        <w:t>Any imbalance between turbine power and the power absorbed by the compressor and load accelerates or decelerates the rotor, according to Newton's second law for rotation:</w:t>
      </w:r>
    </w:p>
    <w:p>
      <w:pPr>
        <w:spacing w:line="288" w:lineRule="auto"/>
        <w:jc w:val="center"/>
      </w:pPr>
      <w:r>
        <w:rPr>
          <w:i/>
        </w:rPr>
        <w:t>J · dω/dt = (Ẇt − Ẇc − Ẇload) / ω      (5)</w:t>
      </w:r>
    </w:p>
    <w:p>
      <w:pPr>
        <w:jc w:val="both"/>
      </w:pPr>
      <w:r>
        <w:rPr>
          <w:b w:val="0"/>
          <w:i w:val="0"/>
        </w:rPr>
        <w:t>J is the polar moment of inertia of the rotor assembly, ω the shaft angular speed and Ẇload the power drawn by the generator or mechanical load. This equation is the main source of the relatively slow speed response to load and fuel changes, and it is central to getting start-up and load-step behavior right.</w:t>
      </w:r>
    </w:p>
    <w:p>
      <w:pPr>
        <w:pStyle w:val="Heading2"/>
      </w:pPr>
      <w:r>
        <w:t>7.5 Volume (Plenum) Dynamics</w:t>
      </w:r>
    </w:p>
    <w:p>
      <w:pPr>
        <w:jc w:val="both"/>
      </w:pPr>
      <w:r>
        <w:rPr>
          <w:b w:val="0"/>
          <w:i w:val="0"/>
        </w:rPr>
        <w:t>Pressure and temperature in the ducts and plenums between components cannot change instantly; they follow mass and energy storage in each finite volume V:</w:t>
      </w:r>
    </w:p>
    <w:p>
      <w:pPr>
        <w:spacing w:line="288" w:lineRule="auto"/>
        <w:jc w:val="center"/>
      </w:pPr>
      <w:r>
        <w:rPr>
          <w:i/>
        </w:rPr>
        <w:t>dP/dt = (γ · R · T / V) · (ṁin − ṁout)      (6)</w:t>
      </w:r>
    </w:p>
    <w:p>
      <w:pPr>
        <w:jc w:val="both"/>
      </w:pPr>
      <w:r>
        <w:rPr>
          <w:b w:val="0"/>
          <w:i w:val="0"/>
        </w:rPr>
        <w:t>This introduces the fast time scales associated with flow redistribution. Together with the slower rotor dynamics of Equation (5), it sets the overall bandwidth of the transient response.</w:t>
      </w:r>
    </w:p>
    <w:p>
      <w:pPr>
        <w:pStyle w:val="Heading2"/>
      </w:pPr>
      <w:r>
        <w:t>7.6 Integrated System</w:t>
      </w:r>
    </w:p>
    <w:p>
      <w:pPr>
        <w:jc w:val="both"/>
      </w:pPr>
      <w:r>
        <w:rPr>
          <w:b w:val="0"/>
          <w:i w:val="0"/>
        </w:rPr>
        <w:t>Equations (1) to (6), together with the compressor and turbine maps, form a coupled set of nonlinear differential and algebraic equations. They will be implemented as interconnected Simulink blocks, with fuel flow ṁf (and, optionally, load demand) as the external inputs that drive each scenario.</w:t>
      </w:r>
    </w:p>
    <w:p>
      <w:pPr>
        <w:pStyle w:val="Heading1"/>
      </w:pPr>
      <w:r>
        <w:t>8. Research Methodology</w:t>
      </w:r>
    </w:p>
    <w:p>
      <w:pPr>
        <w:pStyle w:val="Heading2"/>
      </w:pPr>
      <w:r>
        <w:t>8.1 Research Design</w:t>
      </w:r>
    </w:p>
    <w:p>
      <w:pPr>
        <w:jc w:val="both"/>
      </w:pPr>
      <w:r>
        <w:rPr>
          <w:b w:val="0"/>
          <w:i w:val="0"/>
        </w:rPr>
        <w:t>The study is quantitative and simulation-based. Instead of collecting data from a physical rig, it builds and exercises a computational model, using published data and typical industrial gas turbine parameters to define a representative case-study machine. The work moves through model formulation, software implementation, verification, scenario simulation and validation against literature benchmarks.</w:t>
      </w:r>
    </w:p>
    <w:p>
      <w:pPr>
        <w:pStyle w:val="Heading2"/>
      </w:pPr>
      <w:r>
        <w:t>8.2 Modeling Approach</w:t>
      </w:r>
    </w:p>
    <w:p>
      <w:pPr>
        <w:pStyle w:val="ListBullet"/>
        <w:spacing w:after="60"/>
      </w:pPr>
      <w:r>
        <w:t>Define a representative single-shaft, single-spool industrial gas turbine (intake, compressor, combustor, turbine, load) with design-point parameters taken from published case studies.</w:t>
      </w:r>
    </w:p>
    <w:p>
      <w:pPr>
        <w:pStyle w:val="ListBullet"/>
        <w:spacing w:after="60"/>
      </w:pPr>
      <w:r>
        <w:t>Represent each component with the equations in Section 7 and with representative compressor and turbine maps, digitized or approximated from published data.</w:t>
      </w:r>
    </w:p>
    <w:p>
      <w:pPr>
        <w:pStyle w:val="ListBullet"/>
        <w:spacing w:after="60"/>
      </w:pPr>
      <w:r>
        <w:t>Place plenum volumes at the key interfaces (compressor exit, turbine inlet, turbine exit) to capture mass and energy storage.</w:t>
      </w:r>
    </w:p>
    <w:p>
      <w:pPr>
        <w:pStyle w:val="ListBullet"/>
        <w:spacing w:after="60"/>
      </w:pPr>
      <w:r>
        <w:t>Model the shaft with a lumped inertia equation, taking load torque as an input.</w:t>
      </w:r>
    </w:p>
    <w:p>
      <w:pPr>
        <w:pStyle w:val="Heading2"/>
      </w:pPr>
      <w:r>
        <w:t>8.3 Simulation Platform</w:t>
      </w:r>
    </w:p>
    <w:p>
      <w:pPr>
        <w:jc w:val="both"/>
      </w:pPr>
      <w:r>
        <w:rPr>
          <w:b w:val="0"/>
          <w:i w:val="0"/>
        </w:rPr>
        <w:t>The model will be built in MATLAB/Simulink as a set of reusable subsystems (intake, compressor, combustor, turbine, shaft and plenums), each with clearly defined ports for mass flow, pressure, temperature, speed and power. This modularity is what turns the model into a test bed: a component or a scenario can be swapped without rebuilding anything else.</w:t>
      </w:r>
    </w:p>
    <w:p>
      <w:pPr>
        <w:pStyle w:val="Heading2"/>
      </w:pPr>
      <w:r>
        <w:t>8.4 Virtual Test Bed Architecture</w:t>
      </w:r>
    </w:p>
    <w:p>
      <w:pPr>
        <w:pStyle w:val="ListNumber"/>
        <w:spacing w:after="60"/>
      </w:pPr>
      <w:r>
        <w:t>Plant layer: the interconnected component sub-models.</w:t>
      </w:r>
    </w:p>
    <w:p>
      <w:pPr>
        <w:pStyle w:val="ListNumber"/>
        <w:spacing w:after="60"/>
      </w:pPr>
      <w:r>
        <w:t>Scenario layer: configurable signal generators for fuel flow, load demand and ambient conditions, so test cases can be selected or parameterized without altering the plant.</w:t>
      </w:r>
    </w:p>
    <w:p>
      <w:pPr>
        <w:pStyle w:val="ListNumber"/>
        <w:spacing w:after="60"/>
      </w:pPr>
      <w:r>
        <w:t>Monitoring and analysis layer: logging of shaft speed, turbine inlet temperature, pressure ratio and estimated surge margin for post-processing and comparison.</w:t>
      </w:r>
    </w:p>
    <w:p>
      <w:pPr>
        <w:pStyle w:val="Heading2"/>
      </w:pPr>
      <w:r>
        <w:t>8.5 Test Scenarios</w:t>
      </w:r>
    </w:p>
    <w:p>
      <w:pPr>
        <w:pStyle w:val="ListBullet"/>
        <w:spacing w:after="60"/>
      </w:pPr>
      <w:r>
        <w:t>Start-up: acceleration from rest or idle to rated speed under a prescribed fuel schedule.</w:t>
      </w:r>
    </w:p>
    <w:p>
      <w:pPr>
        <w:pStyle w:val="ListBullet"/>
        <w:spacing w:after="60"/>
      </w:pPr>
      <w:r>
        <w:t>Step load change: a sudden rise or drop in load at rated speed, examining speed droop, overshoot and recovery time.</w:t>
      </w:r>
    </w:p>
    <w:p>
      <w:pPr>
        <w:pStyle w:val="ListBullet"/>
        <w:spacing w:after="60"/>
      </w:pPr>
      <w:r>
        <w:t>Fuel-flow disturbance: a step or ramp in fuel flow at constant load, examining the turbine inlet temperature and speed deviation.</w:t>
      </w:r>
    </w:p>
    <w:p>
      <w:pPr>
        <w:pStyle w:val="ListBullet"/>
        <w:spacing w:after="60"/>
      </w:pPr>
      <w:r>
        <w:t>Ambient variation (optional, scope permitting): changes in ambient temperature and pressure, compared with published sensitivity trends.</w:t>
      </w:r>
    </w:p>
    <w:p>
      <w:pPr>
        <w:pStyle w:val="Heading2"/>
      </w:pPr>
      <w:r>
        <w:t>8.6 Validation Strategy</w:t>
      </w:r>
    </w:p>
    <w:p>
      <w:pPr>
        <w:jc w:val="both"/>
      </w:pPr>
      <w:r>
        <w:rPr>
          <w:b w:val="0"/>
          <w:i w:val="0"/>
        </w:rPr>
        <w:t>Since access to a physical gas turbine rig is not assumed, validation will rely mainly on published reference data and case studies from the literature reviewed above (for example Kim et al., 2001; Camporeale et al., 2006). Qualitative trends, meaning the direction and general shape of the speed, temperature and pressure responses, will be compared first. Where enough numerical data are published, approximate quantitative agreement will also be examined, such as settling time, overshoot percentage and steady-state error. A sensitivity analysis on the most uncertain parameters (rotor inertia, combustor time constant and plenum volumes) will show how much they influence the predictions and will indicate how far the results can be trusted.</w:t>
      </w:r>
    </w:p>
    <w:p>
      <w:pPr>
        <w:pStyle w:val="Heading2"/>
      </w:pPr>
      <w:r>
        <w:t>8.7 Data Analysis</w:t>
      </w:r>
    </w:p>
    <w:p>
      <w:pPr>
        <w:jc w:val="both"/>
      </w:pPr>
      <w:r>
        <w:rPr>
          <w:b w:val="0"/>
          <w:i w:val="0"/>
        </w:rPr>
        <w:t>For every scenario, the logged time series will be reduced to standard response metrics: rise time, settling time, percentage overshoot and steady-state values for shaft speed and turbine inlet temperature, together with the minimum surge margin reached. These will be tabulated and compared across scenarios and, where possible, with values reported in the literature.</w:t>
      </w:r>
    </w:p>
    <w:p>
      <w:pPr>
        <w:pStyle w:val="Heading1"/>
      </w:pPr>
      <w:r>
        <w:t>9. Expected Outcomes and Contribution</w:t>
      </w:r>
    </w:p>
    <w:p>
      <w:pPr>
        <w:pStyle w:val="ListNumber"/>
        <w:spacing w:after="60"/>
      </w:pPr>
      <w:r>
        <w:t>A documented, physics-based dynamic model of a representative single-shaft gas turbine in a modular Simulink architecture.</w:t>
      </w:r>
    </w:p>
    <w:p>
      <w:pPr>
        <w:pStyle w:val="ListNumber"/>
        <w:spacing w:after="60"/>
      </w:pPr>
      <w:r>
        <w:t>A working virtual test bed that runs several configurable transient scenarios without physical hardware.</w:t>
      </w:r>
    </w:p>
    <w:p>
      <w:pPr>
        <w:pStyle w:val="ListNumber"/>
        <w:spacing w:after="60"/>
      </w:pPr>
      <w:r>
        <w:t>A comparison of simulated behavior with literature benchmarks, together with a sensitivity analysis of key parameters.</w:t>
      </w:r>
    </w:p>
    <w:p>
      <w:pPr>
        <w:pStyle w:val="ListNumber"/>
        <w:spacing w:after="60"/>
      </w:pPr>
      <w:r>
        <w:t>A reusable platform and documented method that can support future research on gas turbine control (fuel governors, surge-avoidance logic) and serve in turbomachinery teaching.</w:t>
      </w:r>
    </w:p>
    <w:p>
      <w:pPr>
        <w:pStyle w:val="Heading1"/>
      </w:pPr>
      <w:r>
        <w:t>10. Tentative Work Plan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850"/>
            <w:shd w:val="clear" w:fill="1F3A5F"/>
          </w:tcPr>
          <w:p>
            <w:pPr>
              <w:spacing w:line="264" w:lineRule="auto" w:after="40"/>
            </w:pPr>
            <w:r/>
            <w:r>
              <w:rPr>
                <w:b/>
                <w:color w:val="FFFFFF"/>
                <w:sz w:val="21"/>
              </w:rPr>
              <w:t>Phase</w:t>
            </w:r>
          </w:p>
        </w:tc>
        <w:tc>
          <w:tcPr>
            <w:tcW w:type="dxa" w:w="4252"/>
            <w:shd w:val="clear" w:fill="1F3A5F"/>
          </w:tcPr>
          <w:p>
            <w:pPr>
              <w:spacing w:line="264" w:lineRule="auto" w:after="40"/>
            </w:pPr>
            <w:r/>
            <w:r>
              <w:rPr>
                <w:b/>
                <w:color w:val="FFFFFF"/>
                <w:sz w:val="21"/>
              </w:rPr>
              <w:t>Activity</w:t>
            </w:r>
          </w:p>
        </w:tc>
        <w:tc>
          <w:tcPr>
            <w:tcW w:type="dxa" w:w="1417"/>
            <w:shd w:val="clear" w:fill="1F3A5F"/>
          </w:tcPr>
          <w:p>
            <w:pPr>
              <w:spacing w:line="264" w:lineRule="auto" w:after="40"/>
            </w:pPr>
            <w:r/>
            <w:r>
              <w:rPr>
                <w:b/>
                <w:color w:val="FFFFFF"/>
                <w:sz w:val="21"/>
              </w:rPr>
              <w:t>Duration</w:t>
            </w:r>
          </w:p>
        </w:tc>
        <w:tc>
          <w:tcPr>
            <w:tcW w:type="dxa" w:w="2551"/>
            <w:shd w:val="clear" w:fill="1F3A5F"/>
          </w:tcPr>
          <w:p>
            <w:pPr>
              <w:spacing w:line="264" w:lineRule="auto" w:after="40"/>
            </w:pPr>
            <w:r/>
            <w:r>
              <w:rPr>
                <w:b/>
                <w:color w:val="FFFFFF"/>
                <w:sz w:val="21"/>
              </w:rPr>
              <w:t>Deliverable</w:t>
            </w:r>
          </w:p>
        </w:tc>
      </w:tr>
      <w:tr>
        <w:tc>
          <w:tcPr>
            <w:tcW w:type="dxa" w:w="850"/>
          </w:tcPr>
          <w:p>
            <w:pPr>
              <w:spacing w:line="264" w:lineRule="auto" w:after="40"/>
            </w:pPr>
            <w:r/>
            <w:r>
              <w:rPr>
                <w:sz w:val="21"/>
              </w:rPr>
              <w:t>1</w:t>
            </w:r>
          </w:p>
        </w:tc>
        <w:tc>
          <w:tcPr>
            <w:tcW w:type="dxa" w:w="4252"/>
          </w:tcPr>
          <w:p>
            <w:pPr>
              <w:spacing w:line="264" w:lineRule="auto" w:after="40"/>
            </w:pPr>
            <w:r/>
            <w:r>
              <w:rPr>
                <w:sz w:val="21"/>
              </w:rPr>
              <w:t>Literature review and theoretical foundation</w:t>
            </w:r>
          </w:p>
        </w:tc>
        <w:tc>
          <w:tcPr>
            <w:tcW w:type="dxa" w:w="1417"/>
          </w:tcPr>
          <w:p>
            <w:pPr>
              <w:spacing w:line="264" w:lineRule="auto" w:after="40"/>
            </w:pPr>
            <w:r/>
            <w:r>
              <w:rPr>
                <w:sz w:val="21"/>
              </w:rPr>
              <w:t>Weeks 1–6</w:t>
            </w:r>
          </w:p>
        </w:tc>
        <w:tc>
          <w:tcPr>
            <w:tcW w:type="dxa" w:w="2551"/>
          </w:tcPr>
          <w:p>
            <w:pPr>
              <w:spacing w:line="264" w:lineRule="auto" w:after="40"/>
            </w:pPr>
            <w:r/>
            <w:r>
              <w:rPr>
                <w:sz w:val="21"/>
              </w:rPr>
              <w:t>Literature review chapter draft</w:t>
            </w:r>
          </w:p>
        </w:tc>
      </w:tr>
      <w:tr>
        <w:tc>
          <w:tcPr>
            <w:tcW w:type="dxa" w:w="850"/>
          </w:tcPr>
          <w:p>
            <w:pPr>
              <w:spacing w:line="264" w:lineRule="auto" w:after="40"/>
            </w:pPr>
            <w:r/>
            <w:r>
              <w:rPr>
                <w:sz w:val="21"/>
              </w:rPr>
              <w:t>2</w:t>
            </w:r>
          </w:p>
        </w:tc>
        <w:tc>
          <w:tcPr>
            <w:tcW w:type="dxa" w:w="4252"/>
          </w:tcPr>
          <w:p>
            <w:pPr>
              <w:spacing w:line="264" w:lineRule="auto" w:after="40"/>
            </w:pPr>
            <w:r/>
            <w:r>
              <w:rPr>
                <w:sz w:val="21"/>
              </w:rPr>
              <w:t>Component-level equations; acquisition or approximation of compressor and turbine maps</w:t>
            </w:r>
          </w:p>
        </w:tc>
        <w:tc>
          <w:tcPr>
            <w:tcW w:type="dxa" w:w="1417"/>
          </w:tcPr>
          <w:p>
            <w:pPr>
              <w:spacing w:line="264" w:lineRule="auto" w:after="40"/>
            </w:pPr>
            <w:r/>
            <w:r>
              <w:rPr>
                <w:sz w:val="21"/>
              </w:rPr>
              <w:t>Weeks 5–10</w:t>
            </w:r>
          </w:p>
        </w:tc>
        <w:tc>
          <w:tcPr>
            <w:tcW w:type="dxa" w:w="2551"/>
          </w:tcPr>
          <w:p>
            <w:pPr>
              <w:spacing w:line="264" w:lineRule="auto" w:after="40"/>
            </w:pPr>
            <w:r/>
            <w:r>
              <w:rPr>
                <w:sz w:val="21"/>
              </w:rPr>
              <w:t>Documented mathematical model</w:t>
            </w:r>
          </w:p>
        </w:tc>
      </w:tr>
      <w:tr>
        <w:tc>
          <w:tcPr>
            <w:tcW w:type="dxa" w:w="850"/>
          </w:tcPr>
          <w:p>
            <w:pPr>
              <w:spacing w:line="264" w:lineRule="auto" w:after="40"/>
            </w:pPr>
            <w:r/>
            <w:r>
              <w:rPr>
                <w:sz w:val="21"/>
              </w:rPr>
              <w:t>3</w:t>
            </w:r>
          </w:p>
        </w:tc>
        <w:tc>
          <w:tcPr>
            <w:tcW w:type="dxa" w:w="4252"/>
          </w:tcPr>
          <w:p>
            <w:pPr>
              <w:spacing w:line="264" w:lineRule="auto" w:after="40"/>
            </w:pPr>
            <w:r/>
            <w:r>
              <w:rPr>
                <w:sz w:val="21"/>
              </w:rPr>
              <w:t>Implementation of sub-models in MATLAB/Simulink and model integration</w:t>
            </w:r>
          </w:p>
        </w:tc>
        <w:tc>
          <w:tcPr>
            <w:tcW w:type="dxa" w:w="1417"/>
          </w:tcPr>
          <w:p>
            <w:pPr>
              <w:spacing w:line="264" w:lineRule="auto" w:after="40"/>
            </w:pPr>
            <w:r/>
            <w:r>
              <w:rPr>
                <w:sz w:val="21"/>
              </w:rPr>
              <w:t>Weeks 9–16</w:t>
            </w:r>
          </w:p>
        </w:tc>
        <w:tc>
          <w:tcPr>
            <w:tcW w:type="dxa" w:w="2551"/>
          </w:tcPr>
          <w:p>
            <w:pPr>
              <w:spacing w:line="264" w:lineRule="auto" w:after="40"/>
            </w:pPr>
            <w:r/>
            <w:r>
              <w:rPr>
                <w:sz w:val="21"/>
              </w:rPr>
              <w:t>Working integrated Simulink model</w:t>
            </w:r>
          </w:p>
        </w:tc>
      </w:tr>
      <w:tr>
        <w:tc>
          <w:tcPr>
            <w:tcW w:type="dxa" w:w="850"/>
          </w:tcPr>
          <w:p>
            <w:pPr>
              <w:spacing w:line="264" w:lineRule="auto" w:after="40"/>
            </w:pPr>
            <w:r/>
            <w:r>
              <w:rPr>
                <w:sz w:val="21"/>
              </w:rPr>
              <w:t>4</w:t>
            </w:r>
          </w:p>
        </w:tc>
        <w:tc>
          <w:tcPr>
            <w:tcW w:type="dxa" w:w="4252"/>
          </w:tcPr>
          <w:p>
            <w:pPr>
              <w:spacing w:line="264" w:lineRule="auto" w:after="40"/>
            </w:pPr>
            <w:r/>
            <w:r>
              <w:rPr>
                <w:sz w:val="21"/>
              </w:rPr>
              <w:t>Virtual test bed: scenario layer and monitoring/analysis layer</w:t>
            </w:r>
          </w:p>
        </w:tc>
        <w:tc>
          <w:tcPr>
            <w:tcW w:type="dxa" w:w="1417"/>
          </w:tcPr>
          <w:p>
            <w:pPr>
              <w:spacing w:line="264" w:lineRule="auto" w:after="40"/>
            </w:pPr>
            <w:r/>
            <w:r>
              <w:rPr>
                <w:sz w:val="21"/>
              </w:rPr>
              <w:t>Weeks 15–20</w:t>
            </w:r>
          </w:p>
        </w:tc>
        <w:tc>
          <w:tcPr>
            <w:tcW w:type="dxa" w:w="2551"/>
          </w:tcPr>
          <w:p>
            <w:pPr>
              <w:spacing w:line="264" w:lineRule="auto" w:after="40"/>
            </w:pPr>
            <w:r/>
            <w:r>
              <w:rPr>
                <w:sz w:val="21"/>
              </w:rPr>
              <w:t>Functional virtual test bed</w:t>
            </w:r>
          </w:p>
        </w:tc>
      </w:tr>
      <w:tr>
        <w:tc>
          <w:tcPr>
            <w:tcW w:type="dxa" w:w="850"/>
          </w:tcPr>
          <w:p>
            <w:pPr>
              <w:spacing w:line="264" w:lineRule="auto" w:after="40"/>
            </w:pPr>
            <w:r/>
            <w:r>
              <w:rPr>
                <w:sz w:val="21"/>
              </w:rPr>
              <w:t>5</w:t>
            </w:r>
          </w:p>
        </w:tc>
        <w:tc>
          <w:tcPr>
            <w:tcW w:type="dxa" w:w="4252"/>
          </w:tcPr>
          <w:p>
            <w:pPr>
              <w:spacing w:line="264" w:lineRule="auto" w:after="40"/>
            </w:pPr>
            <w:r/>
            <w:r>
              <w:rPr>
                <w:sz w:val="21"/>
              </w:rPr>
              <w:t>Simulation runs, validation against benchmarks, sensitivity analysis</w:t>
            </w:r>
          </w:p>
        </w:tc>
        <w:tc>
          <w:tcPr>
            <w:tcW w:type="dxa" w:w="1417"/>
          </w:tcPr>
          <w:p>
            <w:pPr>
              <w:spacing w:line="264" w:lineRule="auto" w:after="40"/>
            </w:pPr>
            <w:r/>
            <w:r>
              <w:rPr>
                <w:sz w:val="21"/>
              </w:rPr>
              <w:t>Weeks 19–26</w:t>
            </w:r>
          </w:p>
        </w:tc>
        <w:tc>
          <w:tcPr>
            <w:tcW w:type="dxa" w:w="2551"/>
          </w:tcPr>
          <w:p>
            <w:pPr>
              <w:spacing w:line="264" w:lineRule="auto" w:after="40"/>
            </w:pPr>
            <w:r/>
            <w:r>
              <w:rPr>
                <w:sz w:val="21"/>
              </w:rPr>
              <w:t>Validated results and analysis</w:t>
            </w:r>
          </w:p>
        </w:tc>
      </w:tr>
      <w:tr>
        <w:tc>
          <w:tcPr>
            <w:tcW w:type="dxa" w:w="850"/>
          </w:tcPr>
          <w:p>
            <w:pPr>
              <w:spacing w:line="264" w:lineRule="auto" w:after="40"/>
            </w:pPr>
            <w:r/>
            <w:r>
              <w:rPr>
                <w:sz w:val="21"/>
              </w:rPr>
              <w:t>6</w:t>
            </w:r>
          </w:p>
        </w:tc>
        <w:tc>
          <w:tcPr>
            <w:tcW w:type="dxa" w:w="4252"/>
          </w:tcPr>
          <w:p>
            <w:pPr>
              <w:spacing w:line="264" w:lineRule="auto" w:after="40"/>
            </w:pPr>
            <w:r/>
            <w:r>
              <w:rPr>
                <w:sz w:val="21"/>
              </w:rPr>
              <w:t>Interpretation of results, thesis writing and revision</w:t>
            </w:r>
          </w:p>
        </w:tc>
        <w:tc>
          <w:tcPr>
            <w:tcW w:type="dxa" w:w="1417"/>
          </w:tcPr>
          <w:p>
            <w:pPr>
              <w:spacing w:line="264" w:lineRule="auto" w:after="40"/>
            </w:pPr>
            <w:r/>
            <w:r>
              <w:rPr>
                <w:sz w:val="21"/>
              </w:rPr>
              <w:t>Weeks 25–32</w:t>
            </w:r>
          </w:p>
        </w:tc>
        <w:tc>
          <w:tcPr>
            <w:tcW w:type="dxa" w:w="2551"/>
          </w:tcPr>
          <w:p>
            <w:pPr>
              <w:spacing w:line="264" w:lineRule="auto" w:after="40"/>
            </w:pPr>
            <w:r/>
            <w:r>
              <w:rPr>
                <w:sz w:val="21"/>
              </w:rPr>
              <w:t>Completed thesis draft</w:t>
            </w:r>
          </w:p>
        </w:tc>
      </w:tr>
    </w:tbl>
    <w:p>
      <w:pPr>
        <w:spacing w:after="40"/>
        <w:jc w:val="both"/>
      </w:pPr>
      <w:r>
        <w:rPr>
          <w:b w:val="0"/>
          <w:i w:val="0"/>
        </w:rPr>
      </w:r>
    </w:p>
    <w:p>
      <w:pPr>
        <w:pStyle w:val="Heading1"/>
      </w:pPr>
      <w:r>
        <w:t>11. Required Resources</w:t>
      </w:r>
    </w:p>
    <w:p>
      <w:pPr>
        <w:pStyle w:val="ListBullet"/>
        <w:spacing w:after="60"/>
      </w:pPr>
      <w:r>
        <w:t>MATLAB/Simulink license, available through the institution's engineering laboratories.</w:t>
      </w:r>
    </w:p>
    <w:p>
      <w:pPr>
        <w:pStyle w:val="ListBullet"/>
        <w:spacing w:after="60"/>
      </w:pPr>
      <w:r>
        <w:t>Access to published gas turbine performance data and compressor and turbine map data through the institutional library and journal databases.</w:t>
      </w:r>
    </w:p>
    <w:p>
      <w:pPr>
        <w:pStyle w:val="ListBullet"/>
        <w:spacing w:after="60"/>
      </w:pPr>
      <w:r>
        <w:t>A standard computing workstation suitable for repeated dynamic simulation runs.</w:t>
      </w:r>
    </w:p>
    <w:p>
      <w:pPr>
        <w:pStyle w:val="ListBullet"/>
        <w:spacing w:after="60"/>
      </w:pPr>
      <w:r>
        <w:t>Regular supervisory meetings to review modeling assumptions and validation results.</w:t>
      </w:r>
    </w:p>
    <w:p>
      <w:pPr>
        <w:pStyle w:val="Heading1"/>
      </w:pPr>
      <w:r>
        <w:t>12. Scope and Limitations</w:t>
      </w:r>
    </w:p>
    <w:p>
      <w:pPr>
        <w:jc w:val="both"/>
      </w:pPr>
      <w:r>
        <w:rPr>
          <w:b w:val="0"/>
          <w:i w:val="0"/>
        </w:rPr>
        <w:t>The study is limited to a single-shaft, single-spool gas turbine; multi-spool and combined-cycle configurations lie outside its scope and are noted as natural extensions. Because no instrumented rig is assumed, validation depends on published data, and quantitative validation can only be as strong as those data allow. The model will use representative maps drawn from the literature rather than proprietary manufacturer maps, so some discrepancy from any specific real machine is to be expected. These limitations will be discussed openly in the thesis, together with recommendations for future work.</w:t>
      </w:r>
    </w:p>
    <w:p>
      <w:pPr>
        <w:pStyle w:val="Heading1"/>
      </w:pPr>
      <w:r>
        <w:t>13. References</w:t>
      </w:r>
    </w:p>
    <w:p>
      <w:pPr>
        <w:spacing w:line="276" w:lineRule="auto"/>
        <w:ind w:left="567" w:hanging="567"/>
      </w:pPr>
      <w:r>
        <w:t>Asgari, H., Chen, X., Menhaj, M. B., &amp; Sainudiin, R. (2013). Artificial neural network-based system identification for a single-shaft gas turbine. Journal of Engineering for Gas Turbines and Power, 135(9), 092601.</w:t>
      </w:r>
    </w:p>
    <w:p>
      <w:pPr>
        <w:spacing w:line="276" w:lineRule="auto"/>
        <w:ind w:left="567" w:hanging="567"/>
      </w:pPr>
      <w:r>
        <w:t>Camporeale, S. M., Fortunato, B., &amp; Mastrovito, M. (2006). A modular code for real time dynamic simulation of gas turbines in Simulink. Journal of Engineering for Gas Turbines and Power, 128(3), 506–517.</w:t>
      </w:r>
    </w:p>
    <w:p>
      <w:pPr>
        <w:spacing w:line="276" w:lineRule="auto"/>
        <w:ind w:left="567" w:hanging="567"/>
      </w:pPr>
      <w:r>
        <w:t>Crosa, G., Pittaluga, F., Trucco, A., Beltrami, F., Torelli, A., &amp; Traverso, F. (1998). Heavy-duty gas turbine plant aerothermodynamic simulation using Simulink. Journal of Engineering for Gas Turbines and Power, 120(3), 550–556.</w:t>
      </w:r>
    </w:p>
    <w:p>
      <w:pPr>
        <w:spacing w:line="276" w:lineRule="auto"/>
        <w:ind w:left="567" w:hanging="567"/>
      </w:pPr>
      <w:r>
        <w:t>Jaw, L. C., &amp; Mattingly, J. D. (2009). Aircraft engine controls: Design, system analysis, and health monitoring. AIAA Education Series.</w:t>
      </w:r>
    </w:p>
    <w:p>
      <w:pPr>
        <w:spacing w:line="276" w:lineRule="auto"/>
        <w:ind w:left="567" w:hanging="567"/>
      </w:pPr>
      <w:r>
        <w:t>Kim, J. H., Song, T. W., Kim, T. S., &amp; Ro, S. T. (2001). Model development and simulation of transient behavior of heavy duty gas turbines. Journal of Engineering for Gas Turbines and Power, 123(3), 589–594.</w:t>
      </w:r>
    </w:p>
    <w:p>
      <w:pPr>
        <w:spacing w:line="276" w:lineRule="auto"/>
        <w:ind w:left="567" w:hanging="567"/>
      </w:pPr>
      <w:r>
        <w:t>MathWorks. (n.d.). MATLAB &amp; Simulink documentation. The MathWorks, Inc., Natick, MA.</w:t>
      </w:r>
    </w:p>
    <w:p>
      <w:pPr>
        <w:spacing w:line="276" w:lineRule="auto"/>
        <w:ind w:left="567" w:hanging="567"/>
      </w:pPr>
      <w:r>
        <w:t>Rowen, W. I. (1983). Simplified mathematical representations of heavy-duty gas turbines. Journal of Engineering for Power, 105(4), 865–869.</w:t>
      </w:r>
    </w:p>
    <w:p>
      <w:pPr>
        <w:spacing w:line="276" w:lineRule="auto"/>
        <w:ind w:left="567" w:hanging="567"/>
      </w:pPr>
      <w:r>
        <w:t>Saravanamuttoo, H. I. H., Rogers, G. F. C., Cohen, H., &amp; Straznicky, P. V. (2009). Gas turbine theory (6th ed.). Pearson Education.</w:t>
      </w:r>
    </w:p>
    <w:p>
      <w:pPr>
        <w:spacing w:line="276" w:lineRule="auto"/>
        <w:ind w:left="567" w:hanging="567"/>
      </w:pPr>
      <w:r>
        <w:t>Walsh, P. P., &amp; Fletcher, P. (2004). Gas turbine performance (2nd ed.). Blackwell Science.</w:t>
      </w:r>
    </w:p>
    <w:p>
      <w:pPr>
        <w:spacing w:line="276" w:lineRule="auto"/>
        <w:ind w:left="567" w:hanging="567"/>
      </w:pPr>
      <w:r>
        <w:t>Yee, S. K., Milanovic, J. V., &amp; Hughes, F. M. (2008). Overview and comparative analysis of gas turbine models for system stability studies. IEEE Transactions on Power Systems, 23(1), 108–118.</w:t>
      </w:r>
    </w:p>
    <w:p>
      <w:pPr>
        <w:jc w:val="both"/>
      </w:pPr>
      <w:r>
        <w:rPr>
          <w:b w:val="0"/>
          <w:i/>
        </w:rPr>
        <w:t>Note: this list will be expanded to 20–30 sources during the literature review stage.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