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66260</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Online meeting</w:t>
      </w:r>
      <w:r>
        <w:rPr>
          <w:rFonts w:eastAsia="SimSun" w:cs="Times New Roman" w:ascii="Times New Roman" w:hAnsi="Times New Roman"/>
          <w:b/>
          <w:sz w:val="28"/>
          <w:szCs w:val="24"/>
          <w:lang w:val="en-GB" w:eastAsia="zh-CN"/>
        </w:rPr>
        <w:t xml:space="preserve"> – </w:t>
      </w:r>
      <w:r>
        <w:rPr>
          <w:rFonts w:eastAsia="SimSun" w:cs="Times New Roman" w:ascii="Times New Roman" w:hAnsi="Times New Roman"/>
          <w:b/>
          <w:sz w:val="28"/>
          <w:szCs w:val="24"/>
          <w:lang w:val="en-GB" w:eastAsia="zh-CN"/>
        </w:rPr>
        <w:t>January</w:t>
      </w:r>
      <w:r>
        <w:rPr>
          <w:rFonts w:eastAsia="SimSun" w:cs="Times New Roman" w:ascii="Times New Roman" w:hAnsi="Times New Roman"/>
          <w:b/>
          <w:sz w:val="28"/>
          <w:szCs w:val="24"/>
          <w:lang w:val="en-GB" w:eastAsia="zh-CN"/>
        </w:rPr>
        <w:t xml:space="preserve"> 202</w:t>
      </w:r>
      <w:r>
        <w:rPr>
          <w:rFonts w:eastAsia="SimSun" w:cs="Times New Roman" w:ascii="Times New Roman" w:hAnsi="Times New Roman"/>
          <w:b/>
          <w:sz w:val="28"/>
          <w:szCs w:val="24"/>
          <w:lang w:val="en-GB" w:eastAsia="zh-CN"/>
        </w:rPr>
        <w:t>4</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sz w:val="28"/>
          <w:szCs w:val="24"/>
          <w:lang w:eastAsia="zh-CN"/>
        </w:rPr>
        <w:t xml:space="preserve">Proposed </w:t>
      </w:r>
      <w:r>
        <w:rPr>
          <w:rFonts w:eastAsia="SimSun" w:cs="Times New Roman" w:ascii="Times New Roman" w:hAnsi="Times New Roman"/>
          <w:b/>
          <w:sz w:val="28"/>
          <w:szCs w:val="24"/>
          <w:lang w:eastAsia="zh-CN"/>
        </w:rPr>
        <w:t xml:space="preserve">OFF </w:t>
      </w:r>
      <w:r>
        <w:rPr>
          <w:rFonts w:eastAsia="SimSun" w:cs="Times New Roman" w:ascii="Times New Roman" w:hAnsi="Times New Roman"/>
          <w:b/>
          <w:sz w:val="28"/>
          <w:szCs w:val="24"/>
          <w:lang w:eastAsia="zh-CN"/>
        </w:rPr>
        <w:t>c</w:t>
      </w:r>
      <w:r>
        <w:rPr>
          <w:rFonts w:eastAsia="SimSun" w:cs="Times New Roman" w:ascii="Times New Roman" w:hAnsi="Times New Roman"/>
          <w:b/>
          <w:sz w:val="28"/>
          <w:szCs w:val="24"/>
          <w:lang w:eastAsia="zh-CN"/>
        </w:rPr>
        <w:t>hanges</w:t>
      </w:r>
      <w:r>
        <w:rPr>
          <w:rFonts w:eastAsia="SimSun" w:cs="Times New Roman" w:ascii="Times New Roman" w:hAnsi="Times New Roman"/>
          <w:b/>
          <w:color w:val="202124"/>
          <w:sz w:val="28"/>
          <w:szCs w:val="24"/>
          <w:lang w:eastAsia="zh-CN"/>
        </w:rPr>
        <w:t xml:space="preserve"> to </w:t>
      </w:r>
      <w:r>
        <w:rPr>
          <w:rFonts w:eastAsia="SimSun" w:cs="Times New Roman" w:ascii="Times New Roman" w:hAnsi="Times New Roman"/>
          <w:b/>
          <w:color w:val="202124"/>
          <w:sz w:val="28"/>
          <w:szCs w:val="24"/>
          <w:lang w:eastAsia="zh-CN"/>
        </w:rPr>
        <w:t>accommodate</w:t>
      </w:r>
      <w:r>
        <w:rPr>
          <w:rFonts w:eastAsia="SimSun" w:cs="Times New Roman" w:ascii="Times New Roman" w:hAnsi="Times New Roman"/>
          <w:b/>
          <w:color w:val="202124"/>
          <w:sz w:val="28"/>
          <w:szCs w:val="24"/>
          <w:lang w:eastAsia="zh-CN"/>
        </w:rPr>
        <w:t xml:space="preserve"> larger character sets and </w:t>
      </w:r>
      <w:r>
        <w:rPr>
          <w:rFonts w:eastAsia="SimSun" w:cs="Times New Roman" w:ascii="Times New Roman" w:hAnsi="Times New Roman"/>
          <w:b/>
          <w:color w:val="202124"/>
          <w:sz w:val="28"/>
          <w:szCs w:val="24"/>
          <w:lang w:eastAsia="zh-CN"/>
        </w:rPr>
        <w:t xml:space="preserve">to add </w:t>
      </w:r>
      <w:r>
        <w:rPr>
          <w:rFonts w:eastAsia="SimSun" w:cs="Times New Roman" w:ascii="Times New Roman" w:hAnsi="Times New Roman"/>
          <w:b/>
          <w:color w:val="202124"/>
          <w:sz w:val="28"/>
          <w:szCs w:val="24"/>
          <w:lang w:eastAsia="zh-CN"/>
        </w:rPr>
        <w:t>new features</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Heading1"/>
        <w:numPr>
          <w:ilvl w:val="0"/>
          <w:numId w:val="0"/>
        </w:numPr>
        <w:ind w:hanging="0" w:left="0" w:right="0"/>
        <w:rPr>
          <w:rFonts w:ascii="Times New Roman" w:hAnsi="Times New Roman" w:eastAsia="SimSun" w:cs="Times New Roman"/>
          <w:b/>
          <w:sz w:val="28"/>
          <w:szCs w:val="24"/>
          <w:lang w:eastAsia="zh-CN"/>
        </w:rPr>
      </w:pPr>
      <w:bookmarkStart w:id="0" w:name="__RefHeading___Toc117687_1712311476"/>
      <w:bookmarkEnd w:id="0"/>
      <w:r>
        <w:rPr>
          <w:rFonts w:eastAsia="SimSun" w:cs="Times New Roman" w:ascii="Times New Roman" w:hAnsi="Times New Roman"/>
          <w:b/>
          <w:sz w:val="28"/>
          <w:szCs w:val="24"/>
          <w:lang w:eastAsia="zh-CN"/>
        </w:rPr>
        <w:t>Contents</w:t>
      </w:r>
    </w:p>
    <w:sdt>
      <w:sdtPr>
        <w:docPartObj>
          <w:docPartGallery w:val="Table of Contents"/>
          <w:docPartUnique w:val="true"/>
        </w:docPartObj>
      </w:sdtPr>
      <w:sdtContent>
        <w:p>
          <w:pPr>
            <w:pStyle w:val="TOCHeading"/>
            <w:rPr/>
          </w:pPr>
          <w:r>
            <w:rPr/>
            <w:t>Table of Contents</w:t>
          </w:r>
        </w:p>
        <w:p>
          <w:pPr>
            <w:pStyle w:val="TOC1"/>
            <w:tabs>
              <w:tab w:val="clear" w:pos="9026"/>
              <w:tab w:val="right" w:pos="10319" w:leader="dot"/>
            </w:tabs>
            <w:rPr/>
          </w:pPr>
          <w:r>
            <w:fldChar w:fldCharType="begin"/>
          </w:r>
          <w:r>
            <w:rPr>
              <w:rStyle w:val="IndexLink"/>
            </w:rPr>
            <w:instrText xml:space="preserve"> TOC \f \o "1-1" \h</w:instrText>
          </w:r>
          <w:r>
            <w:rPr>
              <w:rStyle w:val="IndexLink"/>
            </w:rPr>
            <w:fldChar w:fldCharType="separate"/>
          </w:r>
          <w:hyperlink w:anchor="__RefHeading___Toc117687_1712311476">
            <w:r>
              <w:rPr>
                <w:rStyle w:val="IndexLink"/>
              </w:rPr>
              <w:t>Contents</w:t>
              <w:tab/>
              <w:t>2</w:t>
            </w:r>
          </w:hyperlink>
        </w:p>
        <w:p>
          <w:pPr>
            <w:pStyle w:val="TOC1"/>
            <w:tabs>
              <w:tab w:val="clear" w:pos="9026"/>
              <w:tab w:val="right" w:pos="10319" w:leader="dot"/>
            </w:tabs>
            <w:rPr/>
          </w:pPr>
          <w:hyperlink w:anchor="__RefHeading___Toc117689_1712311476">
            <w:r>
              <w:rPr>
                <w:rStyle w:val="IndexLink"/>
              </w:rPr>
              <w:t>Introduction</w:t>
              <w:tab/>
              <w:t>2</w:t>
            </w:r>
          </w:hyperlink>
        </w:p>
        <w:p>
          <w:pPr>
            <w:pStyle w:val="TOC1"/>
            <w:tabs>
              <w:tab w:val="clear" w:pos="9026"/>
              <w:tab w:val="right" w:pos="10319" w:leader="dot"/>
            </w:tabs>
            <w:rPr/>
          </w:pPr>
          <w:hyperlink w:anchor="__RefHeading___Toc117691_1712311476">
            <w:r>
              <w:rPr>
                <w:rStyle w:val="IndexLink"/>
              </w:rPr>
              <w:t>maxp—Maximum profile [5.1.6]</w:t>
              <w:tab/>
              <w:t>4</w:t>
            </w:r>
          </w:hyperlink>
        </w:p>
        <w:p>
          <w:pPr>
            <w:pStyle w:val="TOC1"/>
            <w:tabs>
              <w:tab w:val="clear" w:pos="9026"/>
              <w:tab w:val="right" w:pos="10319" w:leader="dot"/>
            </w:tabs>
            <w:rPr/>
          </w:pPr>
          <w:hyperlink w:anchor="__RefHeading___Toc167853_4187903474">
            <w:r>
              <w:rPr>
                <w:rStyle w:val="IndexLink"/>
              </w:rPr>
              <w:t>MAXP—Maximum Profile, for 24-bit fonts</w:t>
              <w:tab/>
              <w:t>5</w:t>
            </w:r>
          </w:hyperlink>
        </w:p>
        <w:p>
          <w:pPr>
            <w:pStyle w:val="TOC1"/>
            <w:tabs>
              <w:tab w:val="clear" w:pos="9026"/>
              <w:tab w:val="right" w:pos="10319" w:leader="dot"/>
            </w:tabs>
            <w:rPr/>
          </w:pPr>
          <w:hyperlink w:anchor="__RefHeading___Toc117693_1712311476">
            <w:r>
              <w:rPr>
                <w:rStyle w:val="IndexLink"/>
              </w:rPr>
              <w:t>GLYF—Glyph data [insert before 5.2.4, or just before 5.3 to preserve section numbering]</w:t>
              <w:tab/>
              <w:t>6</w:t>
            </w:r>
          </w:hyperlink>
        </w:p>
        <w:p>
          <w:pPr>
            <w:pStyle w:val="TOC1"/>
            <w:tabs>
              <w:tab w:val="clear" w:pos="9026"/>
              <w:tab w:val="right" w:pos="10319" w:leader="dot"/>
            </w:tabs>
            <w:rPr/>
          </w:pPr>
          <w:hyperlink w:anchor="__RefHeading___Toc125563_1712311476">
            <w:r>
              <w:rPr>
                <w:rStyle w:val="IndexLink"/>
              </w:rPr>
              <w:t>LOCA—Index to location [new table inserted before 5.2.5 ‘loca’]</w:t>
              <w:tab/>
              <w:t>17</w:t>
            </w:r>
          </w:hyperlink>
        </w:p>
        <w:p>
          <w:pPr>
            <w:pStyle w:val="TOC1"/>
            <w:tabs>
              <w:tab w:val="clear" w:pos="9026"/>
              <w:tab w:val="right" w:pos="10319" w:leader="dot"/>
            </w:tabs>
            <w:rPr/>
          </w:pPr>
          <w:hyperlink w:anchor="__RefHeading___Toc117695_1712311476">
            <w:r>
              <w:rPr>
                <w:rStyle w:val="IndexLink"/>
              </w:rPr>
              <w:t>GVAR—Glyph variations table (a new table based on ‘gvar’) [7.3.4.1.1]</w:t>
              <w:tab/>
              <w:t>18</w:t>
            </w:r>
          </w:hyperlink>
        </w:p>
        <w:p>
          <w:pPr>
            <w:pStyle w:val="TOC1"/>
            <w:tabs>
              <w:tab w:val="clear" w:pos="9026"/>
              <w:tab w:val="right" w:pos="10319" w:leader="dot"/>
            </w:tabs>
            <w:rPr/>
          </w:pPr>
          <w:hyperlink w:anchor="__RefHeading___Toc117697_1712311476">
            <w:r>
              <w:rPr>
                <w:rStyle w:val="IndexLink"/>
              </w:rPr>
              <w:t>cmap—Character to glyph index mapping table [5.1.2]</w:t>
              <w:tab/>
              <w:t>19</w:t>
            </w:r>
          </w:hyperlink>
        </w:p>
        <w:p>
          <w:pPr>
            <w:pStyle w:val="TOC1"/>
            <w:tabs>
              <w:tab w:val="clear" w:pos="9026"/>
              <w:tab w:val="right" w:pos="10319" w:leader="dot"/>
            </w:tabs>
            <w:rPr/>
          </w:pPr>
          <w:hyperlink w:anchor="__RefHeading___Toc211693_4187903474">
            <w:r>
              <w:rPr>
                <w:rStyle w:val="IndexLink"/>
              </w:rPr>
              <w:t>COLR—Color Table [5.6.11]</w:t>
              <w:tab/>
              <w:t>20</w:t>
            </w:r>
          </w:hyperlink>
        </w:p>
        <w:p>
          <w:pPr>
            <w:pStyle w:val="TOC1"/>
            <w:tabs>
              <w:tab w:val="clear" w:pos="9026"/>
              <w:tab w:val="right" w:pos="10319" w:leader="dot"/>
            </w:tabs>
            <w:rPr/>
          </w:pPr>
          <w:hyperlink w:anchor="__RefHeading___Toc176513_1389668050">
            <w:r>
              <w:rPr>
                <w:rStyle w:val="IndexLink"/>
              </w:rPr>
              <w:t>BASE table structure</w:t>
              <w:tab/>
              <w:t>24</w:t>
            </w:r>
          </w:hyperlink>
        </w:p>
        <w:p>
          <w:pPr>
            <w:pStyle w:val="TOC1"/>
            <w:tabs>
              <w:tab w:val="clear" w:pos="9026"/>
              <w:tab w:val="right" w:pos="10319" w:leader="dot"/>
            </w:tabs>
            <w:rPr/>
          </w:pPr>
          <w:hyperlink w:anchor="__RefHeading___Toc117699_1712311476">
            <w:r>
              <w:rPr>
                <w:rStyle w:val="IndexLink"/>
              </w:rPr>
              <w:t>HHEA—Horizontal header [5.1.4]</w:t>
              <w:tab/>
              <w:t>25</w:t>
            </w:r>
          </w:hyperlink>
        </w:p>
        <w:p>
          <w:pPr>
            <w:pStyle w:val="TOC1"/>
            <w:tabs>
              <w:tab w:val="clear" w:pos="9026"/>
              <w:tab w:val="right" w:pos="10319" w:leader="dot"/>
            </w:tabs>
            <w:rPr/>
          </w:pPr>
          <w:hyperlink w:anchor="__RefHeading___Toc22268_2925186988">
            <w:r>
              <w:rPr>
                <w:rStyle w:val="IndexLink"/>
              </w:rPr>
              <w:t>HMTX—Horizontal metrics [insert before 5.1.5 hmtx]</w:t>
              <w:tab/>
              <w:t>26</w:t>
            </w:r>
          </w:hyperlink>
        </w:p>
        <w:p>
          <w:pPr>
            <w:pStyle w:val="TOC1"/>
            <w:tabs>
              <w:tab w:val="clear" w:pos="9026"/>
              <w:tab w:val="right" w:pos="10319" w:leader="dot"/>
            </w:tabs>
            <w:rPr/>
          </w:pPr>
          <w:hyperlink w:anchor="__RefHeading___Toc117701_1712311476">
            <w:r>
              <w:rPr>
                <w:rStyle w:val="IndexLink"/>
              </w:rPr>
              <w:t>VHEA—Vertical header table [insert before 5.6.9 ‘vhea’]</w:t>
              <w:tab/>
              <w:t>28</w:t>
            </w:r>
          </w:hyperlink>
        </w:p>
        <w:p>
          <w:pPr>
            <w:pStyle w:val="TOC1"/>
            <w:tabs>
              <w:tab w:val="clear" w:pos="9026"/>
              <w:tab w:val="right" w:pos="10319" w:leader="dot"/>
            </w:tabs>
            <w:rPr/>
          </w:pPr>
          <w:hyperlink w:anchor="__RefHeading___Toc117703_1712311476">
            <w:r>
              <w:rPr>
                <w:rStyle w:val="IndexLink"/>
              </w:rPr>
              <w:t>VMTX—Vertical metric table</w:t>
              <w:tab/>
              <w:t>33</w:t>
            </w:r>
          </w:hyperlink>
        </w:p>
        <w:p>
          <w:pPr>
            <w:pStyle w:val="TOC1"/>
            <w:tabs>
              <w:tab w:val="clear" w:pos="9026"/>
              <w:tab w:val="right" w:pos="10319" w:leader="dot"/>
            </w:tabs>
            <w:rPr/>
          </w:pPr>
          <w:hyperlink w:anchor="__RefHeading___Toc22276_2925186988">
            <w:r>
              <w:rPr>
                <w:rStyle w:val="IndexLink"/>
              </w:rPr>
              <w:t>VORG—Vertical origin table [5.3.4]</w:t>
              <w:tab/>
              <w:t>34</w:t>
            </w:r>
          </w:hyperlink>
        </w:p>
        <w:p>
          <w:pPr>
            <w:pStyle w:val="TOC1"/>
            <w:tabs>
              <w:tab w:val="clear" w:pos="9026"/>
              <w:tab w:val="right" w:pos="10319" w:leader="dot"/>
            </w:tabs>
            <w:rPr/>
          </w:pPr>
          <w:hyperlink w:anchor="__RefHeading___Toc117705_1712311476">
            <w:r>
              <w:rPr>
                <w:rStyle w:val="IndexLink"/>
              </w:rPr>
              <w:t>sbix—Standard bitmap graphics table [5.5.7]</w:t>
              <w:tab/>
              <w:t>35</w:t>
            </w:r>
          </w:hyperlink>
        </w:p>
        <w:p>
          <w:pPr>
            <w:pStyle w:val="TOC1"/>
            <w:tabs>
              <w:tab w:val="clear" w:pos="9026"/>
              <w:tab w:val="right" w:pos="10319" w:leader="dot"/>
            </w:tabs>
            <w:rPr/>
          </w:pPr>
          <w:hyperlink w:anchor="__RefHeading___Toc211695_4187903474">
            <w:r>
              <w:rPr>
                <w:rStyle w:val="IndexLink"/>
              </w:rPr>
              <w:t>ClassDef and Coverage</w:t>
              <w:tab/>
              <w:t>36</w:t>
            </w:r>
          </w:hyperlink>
        </w:p>
        <w:p>
          <w:pPr>
            <w:pStyle w:val="TOC1"/>
            <w:tabs>
              <w:tab w:val="clear" w:pos="9026"/>
              <w:tab w:val="right" w:pos="10319" w:leader="dot"/>
            </w:tabs>
            <w:rPr/>
          </w:pPr>
          <w:hyperlink w:anchor="__RefHeading___Toc22282_2925186988">
            <w:r>
              <w:rPr>
                <w:rStyle w:val="IndexLink"/>
              </w:rPr>
              <w:t>GDEF—The glyph definition table [6.3.2]</w:t>
              <w:tab/>
              <w:t>41</w:t>
            </w:r>
          </w:hyperlink>
        </w:p>
        <w:p>
          <w:pPr>
            <w:pStyle w:val="TOC1"/>
            <w:tabs>
              <w:tab w:val="clear" w:pos="9026"/>
              <w:tab w:val="right" w:pos="10319" w:leader="dot"/>
            </w:tabs>
            <w:rPr/>
          </w:pPr>
          <w:hyperlink w:anchor="__RefHeading___Toc125489_1712311476">
            <w:r>
              <w:rPr>
                <w:rStyle w:val="IndexLink"/>
              </w:rPr>
              <w:t>GPOS—The glyph positioning table [6.3.3]</w:t>
              <w:tab/>
              <w:t>42</w:t>
            </w:r>
          </w:hyperlink>
        </w:p>
        <w:p>
          <w:pPr>
            <w:pStyle w:val="TOC1"/>
            <w:tabs>
              <w:tab w:val="clear" w:pos="9026"/>
              <w:tab w:val="right" w:pos="10319" w:leader="dot"/>
            </w:tabs>
            <w:rPr/>
          </w:pPr>
          <w:hyperlink w:anchor="__RefHeading___Toc117721_1712311476">
            <w:r>
              <w:rPr>
                <w:rStyle w:val="IndexLink"/>
              </w:rPr>
              <w:t>GSUB—The glyph substitution table [6.3.4]</w:t>
              <w:tab/>
              <w:t>55</w:t>
            </w:r>
          </w:hyperlink>
        </w:p>
        <w:p>
          <w:pPr>
            <w:pStyle w:val="TOC1"/>
            <w:tabs>
              <w:tab w:val="clear" w:pos="9026"/>
              <w:tab w:val="right" w:pos="10319" w:leader="dot"/>
            </w:tabs>
            <w:rPr/>
          </w:pPr>
          <w:hyperlink w:anchor="__RefHeading___Toc211697_4187903474">
            <w:r>
              <w:rPr>
                <w:rStyle w:val="IndexLink"/>
              </w:rPr>
              <w:t>VARC—Variable Composite Glyph Descriptions</w:t>
              <w:tab/>
              <w:t>67</w:t>
            </w:r>
          </w:hyperlink>
        </w:p>
        <w:p>
          <w:pPr>
            <w:pStyle w:val="TOC1"/>
            <w:tabs>
              <w:tab w:val="clear" w:pos="9026"/>
              <w:tab w:val="right" w:pos="10319" w:leader="dot"/>
            </w:tabs>
            <w:rPr/>
          </w:pPr>
          <w:hyperlink w:anchor="__RefHeading___Toc175121_1389668050">
            <w:r>
              <w:rPr>
                <w:rStyle w:val="IndexLink"/>
              </w:rPr>
              <w:t>Data Types</w:t>
              <w:tab/>
              <w:t>68</w:t>
            </w:r>
          </w:hyperlink>
          <w:r>
            <w:rPr>
              <w:rStyle w:val="IndexLink"/>
            </w:rPr>
            <w:fldChar w:fldCharType="end"/>
          </w:r>
        </w:p>
      </w:sdtContent>
    </w:sdt>
    <w:p>
      <w:pPr>
        <w:pStyle w:val="Heading1"/>
        <w:numPr>
          <w:ilvl w:val="0"/>
          <w:numId w:val="0"/>
        </w:numPr>
        <w:ind w:hanging="0" w:left="0" w:right="0"/>
        <w:rPr>
          <w:rFonts w:ascii="Times New Roman" w:hAnsi="Times New Roman" w:eastAsia="SimSun" w:cs="Times New Roman"/>
          <w:b/>
          <w:sz w:val="28"/>
          <w:szCs w:val="24"/>
          <w:lang w:eastAsia="zh-CN"/>
        </w:rPr>
      </w:pPr>
      <w:bookmarkStart w:id="1" w:name="__RefHeading___Toc117689_1712311476"/>
      <w:bookmarkEnd w:id="1"/>
      <w:r>
        <w:rPr>
          <w:rFonts w:eastAsia="SimSun" w:cs="Times New Roman" w:ascii="Times New Roman" w:hAnsi="Times New Roman"/>
          <w:b/>
          <w:sz w:val="28"/>
          <w:szCs w:val="24"/>
          <w:lang w:eastAsia="zh-CN"/>
        </w:rPr>
        <w:t>Introduction</w:t>
      </w:r>
    </w:p>
    <w:p>
      <w:pPr>
        <w:pStyle w:val="Normal"/>
        <w:rPr/>
      </w:pPr>
      <w:r>
        <w:rPr/>
        <w:t>The proposal enables the following:</w:t>
      </w:r>
    </w:p>
    <w:p>
      <w:pPr>
        <w:pStyle w:val="BodyText"/>
        <w:numPr>
          <w:ilvl w:val="0"/>
          <w:numId w:val="17"/>
        </w:numPr>
        <w:rPr>
          <w:i w:val="false"/>
          <w:i w:val="false"/>
          <w:iCs w:val="false"/>
          <w:lang w:eastAsia="zh-CN"/>
        </w:rPr>
      </w:pPr>
      <w:r>
        <w:rPr>
          <w:i w:val="false"/>
          <w:iCs w:val="false"/>
          <w:lang w:eastAsia="zh-CN"/>
        </w:rPr>
        <w:t>Fonts can be made that work in both older and newer software, although older software will not of course support new features or access more than 65,535 glyphs in a font. Fonts can also be made that will not work in older software (e.g. have a ‘GLYF’ table but do not contain ‘glyf’, ‘CFF’, or ‘CFF2’). This leaves compatibility questions in the hands of font designers and font tools.</w:t>
      </w:r>
    </w:p>
    <w:p>
      <w:pPr>
        <w:pStyle w:val="BodyText"/>
        <w:numPr>
          <w:ilvl w:val="0"/>
          <w:numId w:val="17"/>
        </w:numPr>
        <w:rPr/>
      </w:pPr>
      <w:r>
        <w:rPr>
          <w:i w:val="false"/>
          <w:iCs w:val="false"/>
          <w:lang w:eastAsia="zh-CN"/>
        </w:rPr>
        <w:t>The maximum number of glyphs in a font is increased from 65,535 (16 bit</w:t>
      </w:r>
      <w:r>
        <w:rPr>
          <w:i w:val="false"/>
          <w:iCs w:val="false"/>
          <w:lang w:eastAsia="zh-CN"/>
        </w:rPr>
        <w:t>s</w:t>
      </w:r>
      <w:r>
        <w:rPr>
          <w:i w:val="false"/>
          <w:iCs w:val="false"/>
          <w:lang w:eastAsia="zh-CN"/>
        </w:rPr>
        <w:t>) to 16,777,216 (24 bit</w:t>
      </w:r>
      <w:r>
        <w:rPr>
          <w:i w:val="false"/>
          <w:iCs w:val="false"/>
          <w:lang w:eastAsia="zh-CN"/>
        </w:rPr>
        <w:t>s</w:t>
      </w:r>
      <w:r>
        <w:rPr>
          <w:i w:val="false"/>
          <w:iCs w:val="false"/>
          <w:lang w:eastAsia="zh-CN"/>
        </w:rPr>
        <w:t>).</w:t>
      </w:r>
    </w:p>
    <w:p>
      <w:pPr>
        <w:pStyle w:val="BodyText"/>
        <w:numPr>
          <w:ilvl w:val="0"/>
          <w:numId w:val="0"/>
        </w:numPr>
        <w:ind w:hanging="0" w:left="720"/>
        <w:rPr>
          <w:i w:val="false"/>
          <w:i w:val="false"/>
          <w:iCs w:val="false"/>
          <w:lang w:eastAsia="zh-CN"/>
        </w:rPr>
      </w:pPr>
      <w:r>
        <w:rPr>
          <w:i w:val="false"/>
          <w:iCs w:val="false"/>
          <w:lang w:eastAsia="zh-CN"/>
        </w:rPr>
        <w:t>Note: The entire Unicode space is approximately 21 bits. However, the new table is versioned, so that if 24-bits becomes a problem the number could be raised and multi-gigabyte font files could be introduced.</w:t>
      </w:r>
    </w:p>
    <w:p>
      <w:pPr>
        <w:pStyle w:val="BodyText"/>
        <w:rPr>
          <w:i w:val="false"/>
          <w:i w:val="false"/>
          <w:iCs w:val="false"/>
          <w:lang w:eastAsia="zh-CN"/>
        </w:rPr>
      </w:pPr>
      <w:r>
        <w:rPr>
          <w:i w:val="false"/>
          <w:iCs w:val="false"/>
          <w:lang w:eastAsia="zh-CN"/>
        </w:rPr>
        <w:t>In addition to increasing the maximum number of glyphs, and hence extending the glyph ID to be a 24-bit number, this proposal also address some limitations in the glyph data itself, as follows:</w:t>
      </w:r>
    </w:p>
    <w:p>
      <w:pPr>
        <w:pStyle w:val="BodyText"/>
        <w:numPr>
          <w:ilvl w:val="0"/>
          <w:numId w:val="17"/>
        </w:numPr>
        <w:rPr>
          <w:i w:val="false"/>
          <w:i w:val="false"/>
          <w:iCs w:val="false"/>
          <w:lang w:eastAsia="zh-CN"/>
        </w:rPr>
      </w:pPr>
      <w:r>
        <w:rPr>
          <w:i w:val="false"/>
          <w:iCs w:val="false"/>
          <w:lang w:eastAsia="zh-CN"/>
        </w:rPr>
        <w:t>The glyph path data is extended to allow individual glyphs to contain both cubic and quadratic Bézier curves.</w:t>
      </w:r>
    </w:p>
    <w:p>
      <w:pPr>
        <w:pStyle w:val="BodyText"/>
        <w:numPr>
          <w:ilvl w:val="0"/>
          <w:numId w:val="17"/>
        </w:numPr>
        <w:rPr/>
      </w:pPr>
      <w:r>
        <w:rPr>
          <w:i w:val="false"/>
          <w:iCs w:val="false"/>
          <w:lang w:eastAsia="zh-CN"/>
        </w:rPr>
        <w:t xml:space="preserve">The glyph table format is also extended to support Variable Composite glyphs, which can refer to variable components. </w:t>
      </w:r>
      <w:r>
        <w:rPr>
          <w:i w:val="false"/>
          <w:iCs w:val="false"/>
          <w:lang w:eastAsia="zh-CN"/>
        </w:rPr>
        <w:t xml:space="preserve">These variable components </w:t>
      </w:r>
      <w:r>
        <w:rPr>
          <w:i w:val="false"/>
          <w:iCs w:val="false"/>
          <w:lang w:eastAsia="zh-CN"/>
        </w:rPr>
        <w:t xml:space="preserve">can </w:t>
      </w:r>
      <w:r>
        <w:rPr>
          <w:i w:val="false"/>
          <w:iCs w:val="false"/>
          <w:lang w:eastAsia="zh-CN"/>
        </w:rPr>
        <w:t xml:space="preserve">have transformation </w:t>
      </w:r>
      <w:r>
        <w:rPr>
          <w:i w:val="false"/>
          <w:iCs w:val="false"/>
          <w:lang w:eastAsia="zh-CN"/>
        </w:rPr>
        <w:t>matrices</w:t>
      </w:r>
      <w:r>
        <w:rPr>
          <w:i w:val="false"/>
          <w:iCs w:val="false"/>
          <w:lang w:eastAsia="zh-CN"/>
        </w:rPr>
        <w:t xml:space="preserve"> applied to them, </w:t>
      </w:r>
      <w:r>
        <w:rPr>
          <w:i w:val="false"/>
          <w:iCs w:val="false"/>
          <w:lang w:eastAsia="zh-CN"/>
        </w:rPr>
        <w:t>as well as variable font axis values.</w:t>
      </w:r>
    </w:p>
    <w:p>
      <w:pPr>
        <w:pStyle w:val="BodyText"/>
        <w:rPr/>
      </w:pPr>
      <w:r>
        <w:rPr>
          <w:i/>
          <w:iCs/>
          <w:lang w:eastAsia="zh-CN"/>
        </w:rPr>
        <w:t>Note:</w:t>
      </w:r>
      <w:r>
        <w:rPr>
          <w:i w:val="false"/>
          <w:iCs w:val="false"/>
          <w:lang w:eastAsia="zh-CN"/>
        </w:rPr>
        <w:t xml:space="preserve"> The table names GLYX and LOCX have also been suggested.</w:t>
      </w:r>
    </w:p>
    <w:p>
      <w:pPr>
        <w:pStyle w:val="BodyText"/>
        <w:spacing w:before="1" w:after="283"/>
        <w:rPr/>
      </w:pPr>
      <w:r>
        <w:rPr/>
        <w:t xml:space="preserve">In this proposal, the number of glyphs in the </w:t>
      </w:r>
      <w:r>
        <w:rPr/>
        <w:t>GLYF table</w:t>
      </w:r>
      <w:r>
        <w:rPr/>
        <w:t xml:space="preserve"> </w:t>
      </w:r>
      <w:r>
        <w:rPr/>
        <w:t>is</w:t>
      </w:r>
      <w:r>
        <w:rPr/>
        <w:t xml:space="preserve"> </w:t>
      </w:r>
      <w:r>
        <w:rPr/>
        <w:t>the same as the number of entries in</w:t>
      </w:r>
      <w:r>
        <w:rPr/>
        <w:t xml:space="preserve"> the </w:t>
      </w:r>
      <w:r>
        <w:rPr/>
        <w:t>LOCA</w:t>
      </w:r>
      <w:r>
        <w:rPr/>
        <w:t xml:space="preserve"> table, </w:t>
      </w:r>
      <w:r>
        <w:rPr/>
        <w:t>minus one because of the end pointer</w:t>
      </w:r>
      <w:r>
        <w:rPr/>
        <w:t xml:space="preserve">. Moreover, tables that encode glyph indices as two-byte numbers are </w:t>
      </w:r>
      <w:r>
        <w:rPr/>
        <w:t>either given new</w:t>
      </w:r>
      <w:r>
        <w:rPr/>
        <w:t xml:space="preserve"> versions of structures that encode 24-bit glyph indices, </w:t>
      </w:r>
      <w:r>
        <w:rPr/>
        <w:t>or are replaced with new upper-case tables.</w:t>
      </w:r>
    </w:p>
    <w:p>
      <w:pPr>
        <w:pStyle w:val="Normal"/>
        <w:spacing w:before="1" w:after="283"/>
        <w:rPr>
          <w:rFonts w:ascii="Cambria;serif" w:hAnsi="Cambria;serif"/>
          <w:b w:val="false"/>
          <w:i w:val="false"/>
          <w:caps w:val="false"/>
          <w:smallCaps w:val="false"/>
          <w:strike w:val="false"/>
          <w:dstrike w:val="false"/>
          <w:color w:val="000000"/>
          <w:sz w:val="22"/>
          <w:u w:val="none"/>
          <w:effect w:val="none"/>
          <w:shd w:fill="auto" w:val="clear"/>
        </w:rPr>
      </w:pPr>
      <w:bookmarkStart w:id="2" w:name="docs-internal-guid-62676aee-7fff-e219-12"/>
      <w:bookmarkEnd w:id="2"/>
      <w:r>
        <w:rPr>
          <w:rFonts w:ascii="Cambria;serif" w:hAnsi="Cambria;serif"/>
          <w:b w:val="false"/>
          <w:i w:val="false"/>
          <w:caps w:val="false"/>
          <w:smallCaps w:val="false"/>
          <w:strike w:val="false"/>
          <w:dstrike w:val="false"/>
          <w:color w:val="000000"/>
          <w:sz w:val="22"/>
          <w:u w:val="none"/>
          <w:effect w:val="none"/>
          <w:shd w:fill="auto" w:val="clear"/>
        </w:rPr>
        <w:t xml:space="preserve">For tables where a new version with a new table tag is introduced, </w:t>
      </w:r>
      <w:r>
        <w:rPr>
          <w:rFonts w:ascii="Cambria;serif" w:hAnsi="Cambria;serif"/>
          <w:b w:val="false"/>
          <w:i w:val="false"/>
          <w:caps w:val="false"/>
          <w:smallCaps w:val="false"/>
          <w:strike w:val="false"/>
          <w:dstrike w:val="false"/>
          <w:color w:val="000000"/>
          <w:sz w:val="22"/>
          <w:u w:val="none"/>
          <w:effect w:val="none"/>
          <w:shd w:fill="auto" w:val="clear"/>
        </w:rPr>
        <w:t xml:space="preserve">that is, where there is a table with the same name in both upper and lower case, </w:t>
      </w:r>
      <w:r>
        <w:rPr>
          <w:rFonts w:ascii="Cambria;serif" w:hAnsi="Cambria;serif"/>
          <w:b w:val="false"/>
          <w:i w:val="false"/>
          <w:caps w:val="false"/>
          <w:smallCaps w:val="false"/>
          <w:strike w:val="false"/>
          <w:dstrike w:val="false"/>
          <w:color w:val="000000"/>
          <w:sz w:val="22"/>
          <w:u w:val="none"/>
          <w:effect w:val="none"/>
          <w:shd w:fill="auto" w:val="clear"/>
        </w:rPr>
        <w:t xml:space="preserve">if an implementation understands the new </w:t>
      </w:r>
      <w:r>
        <w:rPr>
          <w:rFonts w:ascii="Cambria;serif" w:hAnsi="Cambria;serif"/>
          <w:b w:val="false"/>
          <w:i w:val="false"/>
          <w:caps w:val="false"/>
          <w:smallCaps w:val="false"/>
          <w:strike w:val="false"/>
          <w:dstrike w:val="false"/>
          <w:color w:val="000000"/>
          <w:sz w:val="22"/>
          <w:u w:val="none"/>
          <w:effect w:val="none"/>
          <w:shd w:fill="auto" w:val="clear"/>
        </w:rPr>
        <w:t xml:space="preserve">upper-case-named </w:t>
      </w:r>
      <w:r>
        <w:rPr>
          <w:rFonts w:ascii="Cambria;serif" w:hAnsi="Cambria;serif"/>
          <w:b w:val="false"/>
          <w:i w:val="false"/>
          <w:caps w:val="false"/>
          <w:smallCaps w:val="false"/>
          <w:strike w:val="false"/>
          <w:dstrike w:val="false"/>
          <w:color w:val="000000"/>
          <w:sz w:val="22"/>
          <w:u w:val="none"/>
          <w:effect w:val="none"/>
          <w:shd w:fill="auto" w:val="clear"/>
        </w:rPr>
        <w:t xml:space="preserve">version, the </w:t>
      </w:r>
      <w:r>
        <w:rPr>
          <w:rFonts w:ascii="Cambria;serif" w:hAnsi="Cambria;serif"/>
          <w:b w:val="false"/>
          <w:i w:val="false"/>
          <w:caps w:val="false"/>
          <w:smallCaps w:val="false"/>
          <w:strike w:val="false"/>
          <w:dstrike w:val="false"/>
          <w:color w:val="000000"/>
          <w:sz w:val="22"/>
          <w:u w:val="none"/>
          <w:effect w:val="none"/>
          <w:shd w:fill="auto" w:val="clear"/>
        </w:rPr>
        <w:t>corresponding</w:t>
      </w:r>
      <w:r>
        <w:rPr>
          <w:rFonts w:ascii="Cambria;serif" w:hAnsi="Cambria;serif"/>
          <w:b w:val="false"/>
          <w:i w:val="false"/>
          <w:caps w:val="false"/>
          <w:smallCaps w:val="false"/>
          <w:strike w:val="false"/>
          <w:dstrike w:val="false"/>
          <w:color w:val="000000"/>
          <w:sz w:val="22"/>
          <w:u w:val="none"/>
          <w:effect w:val="none"/>
          <w:shd w:fill="auto" w:val="clear"/>
        </w:rPr>
        <w:t xml:space="preserve"> </w:t>
      </w:r>
      <w:r>
        <w:rPr>
          <w:rFonts w:ascii="Cambria;serif" w:hAnsi="Cambria;serif"/>
          <w:b w:val="false"/>
          <w:i w:val="false"/>
          <w:caps w:val="false"/>
          <w:smallCaps w:val="false"/>
          <w:strike w:val="false"/>
          <w:dstrike w:val="false"/>
          <w:color w:val="000000"/>
          <w:sz w:val="22"/>
          <w:u w:val="none"/>
          <w:effect w:val="none"/>
          <w:shd w:fill="auto" w:val="clear"/>
        </w:rPr>
        <w:t xml:space="preserve">lower-case-named </w:t>
      </w:r>
      <w:r>
        <w:rPr>
          <w:rFonts w:ascii="Cambria;serif" w:hAnsi="Cambria;serif"/>
          <w:b w:val="false"/>
          <w:i w:val="false"/>
          <w:caps w:val="false"/>
          <w:smallCaps w:val="false"/>
          <w:strike w:val="false"/>
          <w:dstrike w:val="false"/>
          <w:color w:val="000000"/>
          <w:sz w:val="22"/>
          <w:u w:val="none"/>
          <w:effect w:val="none"/>
          <w:shd w:fill="auto" w:val="clear"/>
        </w:rPr>
        <w:t xml:space="preserve">table </w:t>
      </w:r>
      <w:r>
        <w:rPr>
          <w:rFonts w:ascii="Cambria;serif" w:hAnsi="Cambria;serif"/>
          <w:b w:val="false"/>
          <w:i w:val="false"/>
          <w:caps w:val="false"/>
          <w:smallCaps w:val="false"/>
          <w:strike w:val="false"/>
          <w:dstrike w:val="false"/>
          <w:color w:val="000000"/>
          <w:sz w:val="22"/>
          <w:u w:val="none"/>
          <w:effect w:val="none"/>
          <w:shd w:fill="auto" w:val="clear"/>
        </w:rPr>
        <w:t>shall be</w:t>
      </w:r>
      <w:r>
        <w:rPr>
          <w:rFonts w:ascii="Cambria;serif" w:hAnsi="Cambria;serif"/>
          <w:b w:val="false"/>
          <w:i w:val="false"/>
          <w:caps w:val="false"/>
          <w:smallCaps w:val="false"/>
          <w:strike w:val="false"/>
          <w:dstrike w:val="false"/>
          <w:color w:val="000000"/>
          <w:sz w:val="22"/>
          <w:u w:val="none"/>
          <w:effect w:val="none"/>
          <w:shd w:fill="auto" w:val="clear"/>
        </w:rPr>
        <w:t xml:space="preserve"> ignored.</w:t>
      </w:r>
    </w:p>
    <w:p>
      <w:pPr>
        <w:pStyle w:val="BodyText"/>
        <w:spacing w:before="1" w:after="283"/>
        <w:rPr/>
      </w:pPr>
      <w:r>
        <w:rPr/>
        <w:t>T</w:t>
      </w:r>
      <w:r>
        <w:rPr/>
        <w:t xml:space="preserve">ables are also extended </w:t>
      </w:r>
      <w:r>
        <w:rPr/>
        <w:t xml:space="preserve">where necessary </w:t>
      </w:r>
      <w:r>
        <w:rPr/>
        <w:t xml:space="preserve">to use 24-bit offsets instead of 16-bit offsets to allow for </w:t>
      </w:r>
      <w:r>
        <w:rPr/>
        <w:t xml:space="preserve">the </w:t>
      </w:r>
      <w:r>
        <w:rPr/>
        <w:t xml:space="preserve">larger tables </w:t>
      </w:r>
      <w:r>
        <w:rPr/>
        <w:t xml:space="preserve">that are </w:t>
      </w:r>
      <w:r>
        <w:rPr/>
        <w:t>necessary for the larger number of glyphs.</w:t>
      </w:r>
    </w:p>
    <w:p>
      <w:pPr>
        <w:pStyle w:val="BodyText"/>
        <w:spacing w:before="1" w:after="283"/>
        <w:rPr/>
      </w:pPr>
      <w:r>
        <w:rPr/>
        <w:t>Where a new table has been introduced, such as GLYF or LOCA, the corresponding older table need not be present. Older software will not then be able to use the font unless it has a CFF alternative. But older software that does not understand more than the first 6553</w:t>
      </w:r>
      <w:r>
        <w:rPr/>
        <w:t>5</w:t>
      </w:r>
      <w:r>
        <w:rPr/>
        <w:t xml:space="preserve"> glyphs in the font will be unable to access all the glyphs in any case, </w:t>
      </w:r>
      <w:r>
        <w:rPr/>
        <w:t>and might not understand variable components or mixed cubic and quadratic paths</w:t>
      </w:r>
      <w:r>
        <w:rPr/>
        <w:t>; sometimes this may be acceptable, in which case glyf and loca tables should be provided.</w:t>
      </w:r>
    </w:p>
    <w:p>
      <w:pPr>
        <w:pStyle w:val="BodyText"/>
        <w:spacing w:before="1" w:after="283"/>
        <w:rPr/>
      </w:pPr>
      <w:r>
        <w:rPr/>
        <w:t xml:space="preserve">In the text that follows, new or changed text is </w:t>
      </w:r>
      <w:r>
        <w:rPr>
          <w:shd w:fill="FFFF00" w:val="clear"/>
        </w:rPr>
        <w:t>highlighted</w:t>
      </w:r>
      <w:r>
        <w:rPr/>
        <w:t xml:space="preserve">, but entirely new sections are not. </w:t>
      </w:r>
      <w:r>
        <w:rPr/>
        <w:t>Different highlighting colours were used for each successive draft to help people review changes. The highlighting is not part of the proposal.</w:t>
      </w:r>
    </w:p>
    <w:p>
      <w:pPr>
        <w:pStyle w:val="BodyText"/>
        <w:spacing w:before="1" w:after="283"/>
        <w:rPr>
          <w:shd w:fill="FFFF00" w:val="clear"/>
          <w:lang w:val="en-GB"/>
        </w:rPr>
      </w:pPr>
      <w:r>
        <w:rPr>
          <w:shd w:fill="FFFF00" w:val="clear"/>
          <w:lang w:val="en-GB"/>
        </w:rPr>
      </w:r>
    </w:p>
    <w:p>
      <w:pPr>
        <w:pStyle w:val="BodyText"/>
        <w:spacing w:before="1" w:after="283"/>
        <w:rPr/>
      </w:pPr>
      <w:r>
        <w:rPr/>
      </w:r>
    </w:p>
    <w:p>
      <w:pPr>
        <w:pStyle w:val="Heading2"/>
        <w:rPr/>
      </w:pPr>
      <w:bookmarkStart w:id="3" w:name="__RefHeading___Toc21920_2335824944"/>
      <w:bookmarkStart w:id="4" w:name="user-content-per-table-changes"/>
      <w:bookmarkEnd w:id="3"/>
      <w:bookmarkEnd w:id="4"/>
      <w:r>
        <w:rPr/>
        <w:t>Per-table changes</w:t>
      </w:r>
    </w:p>
    <w:p>
      <w:pPr>
        <w:pStyle w:val="Heading1"/>
        <w:numPr>
          <w:ilvl w:val="0"/>
          <w:numId w:val="0"/>
        </w:numPr>
        <w:ind w:hanging="0" w:left="0"/>
        <w:rPr/>
      </w:pPr>
      <w:bookmarkStart w:id="5" w:name="__RefHeading___Toc117691_1712311476"/>
      <w:bookmarkStart w:id="6" w:name="_Toc113348383"/>
      <w:bookmarkStart w:id="7" w:name="_Toc113087979"/>
      <w:bookmarkStart w:id="8" w:name="_Toc224979109"/>
      <w:bookmarkStart w:id="9" w:name="_Toc518658232"/>
      <w:bookmarkStart w:id="10" w:name="_Toc521662478"/>
      <w:bookmarkStart w:id="11" w:name="_Toc133507310"/>
      <w:bookmarkStart w:id="12" w:name="_Toc534817014"/>
      <w:bookmarkEnd w:id="5"/>
      <w:r>
        <w:rPr/>
        <w:t>maxp—Maximum profile</w:t>
      </w:r>
      <w:bookmarkEnd w:id="6"/>
      <w:bookmarkEnd w:id="7"/>
      <w:bookmarkEnd w:id="8"/>
      <w:bookmarkEnd w:id="9"/>
      <w:bookmarkEnd w:id="10"/>
      <w:bookmarkEnd w:id="11"/>
      <w:bookmarkEnd w:id="12"/>
      <w:r>
        <w:rPr/>
        <w:t xml:space="preserve"> </w:t>
      </w:r>
      <w:r>
        <w:rPr/>
        <w:t>[5.1.6]</w:t>
      </w:r>
    </w:p>
    <w:p>
      <w:pPr>
        <w:pStyle w:val="NormalWeb"/>
        <w:rPr>
          <w:shd w:fill="FFFF00" w:val="clear"/>
        </w:rPr>
      </w:pPr>
      <w:r>
        <w:rPr>
          <w:shd w:fill="FFFF00" w:val="clear"/>
        </w:rPr>
        <w:t xml:space="preserve">This table is unchanged except for an editorial note to add, highlighted in yellow. </w:t>
      </w:r>
      <w:r>
        <w:rPr>
          <w:shd w:fill="00FFFF" w:val="clear"/>
        </w:rPr>
        <w:t>However, see below for a new MAXP table.</w:t>
      </w:r>
    </w:p>
    <w:p>
      <w:pPr>
        <w:pStyle w:val="Normal"/>
        <w:rPr>
          <w:lang w:val="en-GB"/>
        </w:rPr>
      </w:pPr>
      <w:r>
        <w:rPr/>
      </w:r>
    </w:p>
    <w:p>
      <w:pPr>
        <w:pStyle w:val="Normal"/>
        <w:rPr>
          <w:lang w:val="en-GB"/>
        </w:rPr>
      </w:pPr>
      <w:r>
        <w:rPr>
          <w:lang w:val="en-GB"/>
        </w:rPr>
        <w:t xml:space="preserve">This table establishes the memory requirements for this font. Fonts with CFF or CFF2 outlines shall use Version 0.5 of this table, specifying only the numGlyphs field. Fonts with TrueType outlines </w:t>
      </w:r>
      <w:r>
        <w:rPr>
          <w:lang w:val="en-GB"/>
        </w:rPr>
        <w:t>shall</w:t>
      </w:r>
      <w:r>
        <w:rPr>
          <w:lang w:val="en-GB"/>
        </w:rPr>
        <w:t xml:space="preserve"> use Version 1.0 of this table, where all data is required.</w:t>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number of glyphs in the fo</w:t>
            </w:r>
            <w:r>
              <w:rPr/>
              <w:t>nt.</w:t>
            </w:r>
          </w:p>
        </w:tc>
      </w:tr>
    </w:tbl>
    <w:p>
      <w:pPr>
        <w:pStyle w:val="Normal"/>
        <w:spacing w:before="280" w:after="120"/>
        <w:rPr>
          <w:lang w:val="en-GB"/>
        </w:rPr>
      </w:pPr>
      <w:r>
        <w:rPr>
          <w:lang w:val="en-GB"/>
        </w:rPr>
        <w:t xml:space="preserve">Version 1.0 </w:t>
      </w:r>
    </w:p>
    <w:tbl>
      <w:tblPr>
        <w:tblW w:w="9738" w:type="dxa"/>
        <w:jc w:val="left"/>
        <w:tblInd w:w="0" w:type="dxa"/>
        <w:tblLayout w:type="fixed"/>
        <w:tblCellMar>
          <w:top w:w="0" w:type="dxa"/>
          <w:left w:w="108" w:type="dxa"/>
          <w:bottom w:w="0" w:type="dxa"/>
          <w:right w:w="108" w:type="dxa"/>
        </w:tblCellMar>
      </w:tblPr>
      <w:tblGrid>
        <w:gridCol w:w="1385"/>
        <w:gridCol w:w="2693"/>
        <w:gridCol w:w="5660"/>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66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66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numGlyphs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rPr/>
            </w:pPr>
            <w:r>
              <w:rPr/>
              <w:t xml:space="preserve">The number of glyphs in the font. </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‘glyf’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w:t>
            </w:r>
            <w:r>
              <w:rPr>
                <w:shd w:fill="FFFF00" w:val="clear"/>
              </w:rPr>
              <w:t xml:space="preserve">separate </w:t>
            </w:r>
            <w:r>
              <w:rPr>
                <w:shd w:fill="FFFF00" w:val="clear"/>
              </w:rPr>
              <w:t xml:space="preserve">GLYF table does not </w:t>
            </w:r>
            <w:r>
              <w:rPr>
                <w:shd w:fill="FFFF00" w:val="clear"/>
              </w:rPr>
              <w:t>use</w:t>
            </w:r>
            <w:r>
              <w:rPr>
                <w:shd w:fill="FFFF00" w:val="clear"/>
              </w:rPr>
              <w:t xml:space="preserve"> this number; the number of entries in the GLYF table is </w:t>
            </w:r>
            <w:r>
              <w:rPr>
                <w:shd w:fill="FFFF00" w:val="clear"/>
              </w:rPr>
              <w:t>determined by the size in bytes of the</w:t>
            </w:r>
            <w:r>
              <w:rPr>
                <w:shd w:fill="FFFF00" w:val="clear"/>
              </w:rPr>
              <w:t xml:space="preserve"> LOCA </w:t>
            </w:r>
            <w:r>
              <w:rPr>
                <w:shd w:fill="FFFF00" w:val="clear"/>
              </w:rPr>
              <w:t xml:space="preserve">table , taking into account </w:t>
            </w:r>
            <w:r>
              <w:rPr>
                <w:shd w:fill="FFFF00" w:val="clear"/>
              </w:rPr>
              <w:t xml:space="preserve">the value of </w:t>
            </w:r>
            <w:r>
              <w:rPr>
                <w:shd w:fill="FFFF00" w:val="clear"/>
              </w:rPr>
              <w:t>indexToLocForma</w:t>
            </w:r>
            <w:r>
              <w:rPr>
                <w:shd w:fill="FFFF00" w:val="clear"/>
              </w:rPr>
              <w:t xml:space="preserve">t, </w:t>
            </w:r>
            <w:r>
              <w:rPr>
                <w:shd w:fill="FFFF00" w:val="clear"/>
              </w:rPr>
              <w:t>or from the ‘MAXP’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maxZones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maxTwilightPoints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maxStorage</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maxFunctionDefs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maxInstructionDefs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maxStackElements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maxSizeOfInstructions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maxComponentElements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maxComponentDepth</w:t>
            </w:r>
          </w:p>
        </w:tc>
        <w:tc>
          <w:tcPr>
            <w:tcW w:w="566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levels of recursion; 1 for simple components.</w:t>
            </w:r>
          </w:p>
        </w:tc>
      </w:tr>
    </w:tbl>
    <w:p>
      <w:pPr>
        <w:pStyle w:val="NormalWeb"/>
        <w:rPr/>
      </w:pPr>
      <w:r>
        <w:rPr/>
      </w:r>
    </w:p>
    <w:p>
      <w:pPr>
        <w:pStyle w:val="Heading1"/>
        <w:rPr/>
      </w:pPr>
      <w:bookmarkStart w:id="13" w:name="__RefHeading___Toc167853_4187903474"/>
      <w:bookmarkEnd w:id="13"/>
      <w:r>
        <w:rPr/>
        <w:t>MAXP—Maximum Profile, for 24-bit fonts</w:t>
      </w:r>
    </w:p>
    <w:p>
      <w:pPr>
        <w:pStyle w:val="NormalWeb"/>
        <w:rPr>
          <w:shd w:fill="00FFFF" w:val="clear"/>
        </w:rPr>
      </w:pPr>
      <w:r>
        <w:rPr>
          <w:shd w:fill="00FFFF" w:val="clear"/>
        </w:rPr>
        <w:t xml:space="preserve">This table </w:t>
      </w:r>
      <w:r>
        <w:rPr>
          <w:shd w:fill="00FFFF" w:val="clear"/>
        </w:rPr>
        <w:t xml:space="preserve">mirrors the ‘maxp’ table, but for fonts in which GlyphID values are represented as 24-bit integers; the older ‘maxp’ table assumes 16-bit values. Fonts containing both ‘MAXP’ and ‘maxp’ tables are said to be </w:t>
      </w:r>
      <w:r>
        <w:rPr>
          <w:i/>
          <w:iCs/>
          <w:shd w:fill="00FFFF" w:val="clear"/>
        </w:rPr>
        <w:t>hybrid</w:t>
      </w:r>
      <w:r>
        <w:rPr>
          <w:i w:val="false"/>
          <w:iCs w:val="false"/>
          <w:shd w:fill="00FFFF" w:val="clear"/>
        </w:rPr>
        <w:t>. They will work as 16-bit fonts in older software, and newer software will use the newer tables, typically ‘GLYF’ instead of, or alongside, ‘glyf’. However, older software will not of course be able to access more than 65535 glyphs in a font, will not be able to use the newer features allowed in glyph definitions found in the ‘GLYF’ table (such as cubic curves), and likely will not be able to access new features such as AVAR 2, so the user experience may be limited, as is also the case with software that does not support features such as swash (SWSH) or small caps (SMCP).</w:t>
      </w:r>
    </w:p>
    <w:p>
      <w:pPr>
        <w:pStyle w:val="NormalWeb"/>
        <w:rPr>
          <w:shd w:fill="00FFFF" w:val="clear"/>
        </w:rPr>
      </w:pPr>
      <w:r>
        <w:rPr>
          <w:i w:val="false"/>
          <w:iCs w:val="false"/>
          <w:shd w:fill="00FFFF" w:val="clear"/>
        </w:rPr>
        <w:t>A</w:t>
      </w:r>
      <w:r>
        <w:rPr>
          <w:i w:val="false"/>
          <w:iCs w:val="false"/>
          <w:shd w:fill="00FFFF" w:val="clear"/>
        </w:rPr>
        <w:t>s with ‘maxp’ the values in the table are intended to establish memory requirements for the font. However, implementer</w:t>
      </w:r>
      <w:r>
        <w:rPr>
          <w:i w:val="false"/>
          <w:iCs w:val="false"/>
          <w:shd w:fill="00FFFF" w:val="clear"/>
        </w:rPr>
        <w:t>s</w:t>
      </w:r>
      <w:r>
        <w:rPr>
          <w:i w:val="false"/>
          <w:iCs w:val="false"/>
          <w:shd w:fill="00FFFF" w:val="clear"/>
        </w:rPr>
        <w:t xml:space="preserve"> are warned that the values may be inaccurate or maliciously incorrect.</w:t>
      </w:r>
    </w:p>
    <w:p>
      <w:pPr>
        <w:pStyle w:val="Normal"/>
        <w:rPr>
          <w:lang w:val="en-GB"/>
        </w:rPr>
      </w:pPr>
      <w:r>
        <w:rPr>
          <w:i w:val="false"/>
          <w:iCs w:val="false"/>
          <w:lang w:val="en-GB"/>
        </w:rPr>
        <w:t>Fonts with CFF or CFF2 outlines shall use Version 0.5 of this table, specifying only the numGlyphs field. Fonts with TrueType outlines must use Version 1.0 of this table, where all data is required.</w:t>
      </w:r>
    </w:p>
    <w:p>
      <w:pPr>
        <w:pStyle w:val="BodyText"/>
        <w:rPr>
          <w:lang w:val="en-GB"/>
        </w:rPr>
      </w:pPr>
      <w:bookmarkStart w:id="14" w:name="docs-internal-guid-c6843d9e-7fff-43c6-a3"/>
      <w:bookmarkEnd w:id="14"/>
      <w:r>
        <w:rPr>
          <w:shd w:fill="00FFFF" w:val="clear"/>
        </w:rPr>
        <w:t>Software supporting MAXP shall ignore maxp where both tables are present.</w:t>
      </w:r>
    </w:p>
    <w:p>
      <w:pPr>
        <w:pStyle w:val="BodyText"/>
        <w:rPr/>
      </w:pPr>
      <w:r>
        <w:rPr/>
        <w:br/>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number of glyphs in the fon</w:t>
            </w:r>
            <w:r>
              <w:rPr/>
              <w:t>t.</w:t>
            </w:r>
          </w:p>
        </w:tc>
      </w:tr>
    </w:tbl>
    <w:p>
      <w:pPr>
        <w:pStyle w:val="Normal"/>
        <w:spacing w:before="280" w:after="120"/>
        <w:rPr>
          <w:lang w:val="en-GB"/>
        </w:rPr>
      </w:pPr>
      <w:r>
        <w:rPr>
          <w:lang w:val="en-GB"/>
        </w:rPr>
        <w:t xml:space="preserve">Version 1.0 </w:t>
      </w:r>
    </w:p>
    <w:tbl>
      <w:tblPr>
        <w:tblW w:w="9464" w:type="dxa"/>
        <w:jc w:val="left"/>
        <w:tblInd w:w="0" w:type="dxa"/>
        <w:tblLayout w:type="fixed"/>
        <w:tblCellMar>
          <w:top w:w="0" w:type="dxa"/>
          <w:left w:w="108" w:type="dxa"/>
          <w:bottom w:w="0" w:type="dxa"/>
          <w:right w:w="108" w:type="dxa"/>
        </w:tblCellMar>
      </w:tblPr>
      <w:tblGrid>
        <w:gridCol w:w="1385"/>
        <w:gridCol w:w="2693"/>
        <w:gridCol w:w="5386"/>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38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numGlyphs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rPr/>
            </w:pPr>
            <w:r>
              <w:rPr/>
              <w:t>The number of glyphs in the font.</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w:t>
            </w:r>
            <w:r>
              <w:rPr>
                <w:shd w:fill="FFFF00" w:val="clear"/>
              </w:rPr>
              <w:t>GLYF</w:t>
            </w:r>
            <w:r>
              <w:rPr>
                <w:shd w:fill="FFFF00" w:val="clear"/>
              </w:rPr>
              <w:t xml:space="preserve">’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number of entries in the GLYF table is </w:t>
            </w:r>
            <w:r>
              <w:rPr>
                <w:shd w:fill="FFFF00" w:val="clear"/>
              </w:rPr>
              <w:t>determined by the size in bytes of the</w:t>
            </w:r>
            <w:r>
              <w:rPr>
                <w:shd w:fill="FFFF00" w:val="clear"/>
              </w:rPr>
              <w:t xml:space="preserve"> LOCA </w:t>
            </w:r>
            <w:r>
              <w:rPr>
                <w:shd w:fill="FFFF00" w:val="clear"/>
              </w:rPr>
              <w:t xml:space="preserve">table, taking into account </w:t>
            </w:r>
            <w:r>
              <w:rPr>
                <w:shd w:fill="FFFF00" w:val="clear"/>
              </w:rPr>
              <w:t xml:space="preserve">the value of </w:t>
            </w:r>
            <w:r>
              <w:rPr>
                <w:shd w:fill="FFFF00" w:val="clear"/>
              </w:rPr>
              <w:t>indexToLocForma</w:t>
            </w:r>
            <w:r>
              <w:rPr>
                <w:shd w:fill="FFFF00" w:val="clear"/>
              </w:rPr>
              <w:t xml:space="preserve">t. </w:t>
            </w:r>
            <w:r>
              <w:rPr>
                <w:shd w:fill="FFFF00" w:val="clear"/>
              </w:rPr>
              <w:t>The value here may be useful for initial memory allocation, but cannot be relied upon</w:t>
            </w:r>
            <w:r>
              <w:rPr>
                <w:shd w:fill="FFFF00" w:val="clear"/>
              </w:rPr>
              <w:t xml:space="preserve">.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maxZones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maxTwilightPoints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maxStorage</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maxFunctionDefs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maxInstructionDefs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maxStackElements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maxSizeOfInstructions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maxComponentElements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maxComponentDepth</w:t>
            </w:r>
          </w:p>
        </w:tc>
        <w:tc>
          <w:tcPr>
            <w:tcW w:w="538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Maximum levels of recursion; 1 for simple components.</w:t>
            </w:r>
          </w:p>
        </w:tc>
      </w:tr>
    </w:tbl>
    <w:p>
      <w:pPr>
        <w:pStyle w:val="NormalWeb"/>
        <w:rPr/>
      </w:pPr>
      <w:r>
        <w:rPr/>
      </w:r>
    </w:p>
    <w:p>
      <w:pPr>
        <w:pStyle w:val="Heading1"/>
        <w:numPr>
          <w:ilvl w:val="0"/>
          <w:numId w:val="0"/>
        </w:numPr>
        <w:ind w:hanging="0" w:left="0"/>
        <w:rPr/>
      </w:pPr>
      <w:bookmarkStart w:id="15" w:name="__RefHeading___Toc117693_1712311476"/>
      <w:bookmarkEnd w:id="15"/>
      <w:r>
        <w:rPr/>
        <w:t>GLYF—Glyph data [</w:t>
      </w:r>
      <w:r>
        <w:rPr/>
        <w:t xml:space="preserve">insert before </w:t>
      </w:r>
      <w:r>
        <w:rPr/>
        <w:t xml:space="preserve">5.2.4, </w:t>
      </w:r>
      <w:r>
        <w:rPr/>
        <w:t>or just before 5.3 to preserve section numbering</w:t>
      </w:r>
      <w:r>
        <w:rPr/>
        <w:t>]</w:t>
      </w:r>
    </w:p>
    <w:p>
      <w:pPr>
        <w:pStyle w:val="Heading4"/>
        <w:rPr/>
      </w:pPr>
      <w:r>
        <w:rPr>
          <w:rStyle w:val="Strong1"/>
          <w:b/>
        </w:rPr>
        <w:t xml:space="preserve">[5.2.4.1] </w:t>
      </w:r>
      <w:r>
        <w:rPr>
          <w:rStyle w:val="Strong1"/>
          <w:b/>
        </w:rPr>
        <w:t>Table structure</w:t>
      </w:r>
    </w:p>
    <w:p>
      <w:pPr>
        <w:pStyle w:val="BodyText"/>
        <w:rPr>
          <w:lang w:val="en-GB"/>
        </w:rPr>
      </w:pPr>
      <w:r>
        <w:rPr>
          <w:lang w:val="en-GB"/>
        </w:rPr>
        <w:t xml:space="preserve">This table contains information that describes the glyphs in the font in the TrueType outline format. Information regarding the rasterizer (scaler) refers to the TrueType rasterizer.  For details regarding scaling, grid-fitting and rasterization of TrueType outlines, see </w:t>
      </w:r>
      <w:r>
        <w:rPr>
          <w:rFonts w:cs="Arial"/>
          <w:lang w:val="en-GB"/>
        </w:rPr>
        <w:t>TrueType Fundamentals</w:t>
      </w:r>
      <w:r>
        <w:rPr>
          <w:vertAlign w:val="superscript"/>
          <w:lang w:val="en-GB"/>
        </w:rPr>
        <w:t xml:space="preserve"> [35]</w:t>
      </w:r>
      <w:r>
        <w:rPr>
          <w:lang w:val="en-GB"/>
        </w:rPr>
        <w:t>.</w:t>
      </w:r>
    </w:p>
    <w:p>
      <w:pPr>
        <w:pStyle w:val="BodyText"/>
        <w:rPr>
          <w:shd w:fill="FFFF00" w:val="clear"/>
        </w:rPr>
      </w:pPr>
      <w:r>
        <w:rPr>
          <w:shd w:fill="FFFF00" w:val="clear"/>
        </w:rPr>
        <w:t xml:space="preserve">The ‘GLYF’ table contains </w:t>
      </w:r>
      <w:r>
        <w:rPr>
          <w:shd w:fill="FFFF00" w:val="clear"/>
          <w:lang w:val="en-GB"/>
        </w:rPr>
        <w:t xml:space="preserve">information that describes the glyphs in the font in </w:t>
      </w:r>
      <w:r>
        <w:rPr>
          <w:shd w:fill="FFFF00" w:val="clear"/>
          <w:lang w:val="en-GB"/>
        </w:rPr>
        <w:t>a format based on</w:t>
      </w:r>
      <w:r>
        <w:rPr>
          <w:shd w:fill="FFFF00" w:val="clear"/>
          <w:lang w:val="en-GB"/>
        </w:rPr>
        <w:t xml:space="preserve"> </w:t>
      </w:r>
      <w:r>
        <w:rPr>
          <w:shd w:fill="FFFF00" w:val="clear"/>
          <w:lang w:val="en-GB"/>
        </w:rPr>
        <w:t xml:space="preserve">the </w:t>
      </w:r>
      <w:r>
        <w:rPr>
          <w:shd w:fill="FFFF00" w:val="clear"/>
          <w:lang w:val="en-GB"/>
        </w:rPr>
        <w:t xml:space="preserve">TrueType </w:t>
      </w:r>
      <w:r>
        <w:rPr>
          <w:shd w:fill="FFFF00" w:val="clear"/>
          <w:lang w:val="en-GB"/>
        </w:rPr>
        <w:t>outline format</w:t>
      </w:r>
      <w:r>
        <w:rPr>
          <w:shd w:fill="FFFF00" w:val="clear"/>
          <w:lang w:val="en-GB"/>
        </w:rPr>
        <w:t>.</w:t>
      </w:r>
    </w:p>
    <w:p>
      <w:pPr>
        <w:pStyle w:val="BodyText"/>
        <w:rPr>
          <w:shd w:fill="FFFF00" w:val="clear"/>
        </w:rPr>
      </w:pPr>
      <w:r>
        <w:rPr>
          <w:shd w:fill="FFFF00" w:val="clear"/>
        </w:rPr>
        <w:t xml:space="preserve">For compatibility with older software, a ‘glyf’ table may also be present, </w:t>
      </w:r>
      <w:r>
        <w:rPr>
          <w:shd w:fill="FFFF00" w:val="clear"/>
        </w:rPr>
        <w:t xml:space="preserve">in the same format as the ‘GLYF’ table, </w:t>
      </w:r>
      <w:r>
        <w:rPr>
          <w:shd w:fill="FFFF00" w:val="clear"/>
        </w:rPr>
        <w:t>and</w:t>
      </w:r>
      <w:r>
        <w:rPr>
          <w:shd w:fill="FFFF00" w:val="clear"/>
        </w:rPr>
        <w:t xml:space="preserve"> contains</w:t>
      </w:r>
      <w:r>
        <w:rPr>
          <w:shd w:fill="FFFF00" w:val="clear"/>
        </w:rPr>
        <w:t xml:space="preserve"> outlines </w:t>
      </w:r>
      <w:r>
        <w:rPr>
          <w:shd w:fill="FFFF00" w:val="clear"/>
        </w:rPr>
        <w:t>and hinting instructions</w:t>
      </w:r>
      <w:r>
        <w:rPr>
          <w:shd w:fill="FFFF00" w:val="clear"/>
        </w:rPr>
        <w:t xml:space="preserve"> suitable for older software. </w:t>
      </w:r>
      <w:r>
        <w:rPr>
          <w:shd w:fill="FFFF00" w:val="clear"/>
          <w:lang w:val="en-GB"/>
        </w:rPr>
        <w:t xml:space="preserve"> For details regarding scaling, grid-fitting and rasterization of TrueType outlines, see </w:t>
      </w:r>
      <w:r>
        <w:rPr>
          <w:rFonts w:cs="Arial"/>
          <w:shd w:fill="FFFF00" w:val="clear"/>
          <w:lang w:val="en-GB"/>
        </w:rPr>
        <w:t>TrueType Fundamentals</w:t>
      </w:r>
      <w:r>
        <w:rPr>
          <w:shd w:fill="FFFF00" w:val="clear"/>
          <w:vertAlign w:val="superscript"/>
          <w:lang w:val="en-GB"/>
        </w:rPr>
        <w:t xml:space="preserve"> [35]</w:t>
      </w:r>
      <w:r>
        <w:rPr>
          <w:shd w:fill="FFFF00" w:val="clear"/>
          <w:lang w:val="en-GB"/>
        </w:rPr>
        <w:t xml:space="preserve">. </w:t>
      </w:r>
      <w:r>
        <w:rPr>
          <w:shd w:fill="FFFF00" w:val="clear"/>
        </w:rPr>
        <w:t>The ‘glyf’ table is restricted to contain no more than 65535 entries, and some flags and features from ‘GLYF’ entries are not supported; these are documented in the description of ‘GLYF’.</w:t>
      </w:r>
    </w:p>
    <w:p>
      <w:pPr>
        <w:pStyle w:val="BodyText"/>
        <w:rPr>
          <w:shd w:fill="FFFF00" w:val="clear"/>
        </w:rPr>
      </w:pPr>
      <w:r>
        <w:rPr>
          <w:shd w:fill="FFFF00" w:val="clear"/>
        </w:rPr>
        <w:t xml:space="preserve">If both ‘GLYF’ and ‘glyf’ tables are present, software that can process the ‘GLYF’ table shall ignore the ‘glyf’ table. </w:t>
      </w:r>
      <w:r>
        <w:rPr>
          <w:shd w:fill="FFFF00" w:val="clear"/>
          <w:lang w:val="en-GB"/>
        </w:rPr>
        <w:t>The ‘LOCA’ table shall always be present if there is a non-empty ‘GLYF’ table.</w:t>
      </w:r>
    </w:p>
    <w:p>
      <w:pPr>
        <w:pStyle w:val="BodyText"/>
        <w:rPr>
          <w:shd w:fill="FFFF00" w:val="clear"/>
        </w:rPr>
      </w:pPr>
      <w:r>
        <w:rPr>
          <w:shd w:fill="FFFF00" w:val="clear"/>
        </w:rPr>
        <w:t>The number of entri</w:t>
      </w:r>
      <w:r>
        <w:rPr>
          <w:shd w:fill="FFFF00" w:val="clear"/>
        </w:rPr>
        <w:t xml:space="preserve">es of the ‘GLYF’ table is equal to the number of entries in the ‘LOCA’ table, </w:t>
      </w:r>
      <w:r>
        <w:rPr>
          <w:shd w:fill="FFFF00" w:val="clear"/>
        </w:rPr>
        <w:t>minus one to account for the pointer to the end of the last entry</w:t>
      </w:r>
      <w:r>
        <w:rPr>
          <w:shd w:fill="FFFF00" w:val="clear"/>
        </w:rPr>
        <w:t>.</w:t>
      </w:r>
    </w:p>
    <w:p>
      <w:pPr>
        <w:pStyle w:val="Normal"/>
        <w:rPr>
          <w:shd w:fill="FFFF00" w:val="clear"/>
        </w:rPr>
      </w:pPr>
      <w:bookmarkStart w:id="16" w:name="docs-internal-guid-562babbb-7fff-0edd-4f"/>
      <w:bookmarkEnd w:id="16"/>
      <w:r>
        <w:rPr>
          <w:shd w:fill="FFFF00" w:val="clear"/>
        </w:rPr>
        <w:t xml:space="preserve">In some tables, some offset fields are duplicated but with a 2 at the end of their name, and are 32-bit instead of 16-bit. Where these are non-zero, software </w:t>
      </w:r>
      <w:r>
        <w:rPr>
          <w:shd w:fill="FFFF00" w:val="clear"/>
        </w:rPr>
        <w:t xml:space="preserve">that can process the ‘GLYF’ table </w:t>
      </w:r>
      <w:r>
        <w:rPr>
          <w:shd w:fill="FFFF00" w:val="clear"/>
        </w:rPr>
        <w:t xml:space="preserve">shall ignore the fields without the trailing ‘2’ in their names, and shall use the ‘2’ versions instead. </w:t>
      </w:r>
      <w:r>
        <w:rPr>
          <w:shd w:fill="FFFF00" w:val="clear"/>
        </w:rPr>
        <w:t>The ‘2’ versions shall be used where values exceed 65335, or where separate offset lists are needed for GLYF-aware software.</w:t>
      </w:r>
    </w:p>
    <w:p>
      <w:pPr>
        <w:pStyle w:val="NormalWeb"/>
        <w:spacing w:before="120" w:after="120"/>
        <w:rPr/>
      </w:pPr>
      <w:r>
        <w:rPr>
          <w:rStyle w:val="Strong"/>
        </w:rPr>
        <w:t>Table organization</w:t>
      </w:r>
    </w:p>
    <w:p>
      <w:pPr>
        <w:pStyle w:val="Normal"/>
        <w:rPr/>
      </w:pPr>
      <w:r>
        <w:rPr>
          <w:shd w:fill="FFFF00" w:val="clear"/>
          <w:lang w:val="en-GB"/>
        </w:rPr>
        <w:t>The '</w:t>
      </w:r>
      <w:r>
        <w:rPr>
          <w:shd w:fill="FFFF00" w:val="clear"/>
          <w:lang w:val="en-GB"/>
        </w:rPr>
        <w:t>GLYF</w:t>
      </w:r>
      <w:r>
        <w:rPr>
          <w:shd w:fill="FFFF00" w:val="clear"/>
          <w:lang w:val="en-GB"/>
        </w:rPr>
        <w:t>' table is comprised of a list of glyph data blocks, each of which provides the description for a single glyph. Glyphs are referenced by identifiers (glyph IDs), which are sequential integers beginning at zero.  Glyph data blocks of length zero represent empty glyphs without contours, such as spacing glyphs.</w:t>
      </w:r>
    </w:p>
    <w:p>
      <w:pPr>
        <w:pStyle w:val="Normal"/>
        <w:rPr>
          <w:shd w:fill="FFFF00" w:val="clear"/>
        </w:rPr>
      </w:pPr>
      <w:r>
        <w:rPr>
          <w:shd w:fill="FFFF00" w:val="clear"/>
          <w:lang w:val="en-GB"/>
        </w:rPr>
        <w:t xml:space="preserve">If the font contains a ‘glyf’ table, the number of glyph definitions in it is equal to </w:t>
      </w:r>
      <w:r>
        <w:rPr>
          <w:shd w:fill="FFFF00" w:val="clear"/>
          <w:lang w:val="en-GB"/>
        </w:rPr>
        <w:t xml:space="preserve">the numGlyphs field in the 'maxp' table. </w:t>
      </w:r>
    </w:p>
    <w:p>
      <w:pPr>
        <w:pStyle w:val="Normal"/>
        <w:rPr>
          <w:lang w:val="en-GB"/>
        </w:rPr>
      </w:pPr>
      <w:r>
        <w:rPr>
          <w:lang w:val="en-GB"/>
        </w:rPr>
        <w:t>The '</w:t>
      </w:r>
      <w:r>
        <w:rPr>
          <w:lang w:val="en-GB"/>
        </w:rPr>
        <w:t>GLYF</w:t>
      </w:r>
      <w:r>
        <w:rPr>
          <w:lang w:val="en-GB"/>
        </w:rPr>
        <w:t>' table does not include any overall table header or records providing offsets to glyph data blocks. Rather, the '</w:t>
      </w:r>
      <w:r>
        <w:rPr>
          <w:lang w:val="en-GB"/>
        </w:rPr>
        <w:t>LOCA</w:t>
      </w:r>
      <w:r>
        <w:rPr>
          <w:lang w:val="en-GB"/>
        </w:rPr>
        <w:t>' table provides an array of offsets, indexed by glyph IDs, which provide the location of each glyph data block within the '</w:t>
      </w:r>
      <w:r>
        <w:rPr>
          <w:lang w:val="en-GB"/>
        </w:rPr>
        <w:t>GLYF</w:t>
      </w:r>
      <w:r>
        <w:rPr>
          <w:lang w:val="en-GB"/>
        </w:rPr>
        <w:t>' table.</w:t>
      </w:r>
    </w:p>
    <w:p>
      <w:pPr>
        <w:pStyle w:val="Normal"/>
        <w:rPr>
          <w:lang w:val="en-GB"/>
        </w:rPr>
      </w:pPr>
      <w:r>
        <w:rPr>
          <w:lang w:val="en-GB"/>
        </w:rPr>
        <w:t>The size of each glyph data block is inferred from the difference between two consecutive offsets in the '</w:t>
      </w:r>
      <w:r>
        <w:rPr>
          <w:lang w:val="en-GB"/>
        </w:rPr>
        <w:t>LOCA</w:t>
      </w:r>
      <w:r>
        <w:rPr>
          <w:lang w:val="en-GB"/>
        </w:rPr>
        <w:t>' table (with one extra offset provided to give the size of the last glyph data block). As a result of the '</w:t>
      </w:r>
      <w:r>
        <w:rPr>
          <w:lang w:val="en-GB"/>
        </w:rPr>
        <w:t>LOCA</w:t>
      </w:r>
      <w:r>
        <w:rPr>
          <w:lang w:val="en-GB"/>
        </w:rPr>
        <w:t>' format, glyph data blocks within the '</w:t>
      </w:r>
      <w:r>
        <w:rPr>
          <w:lang w:val="en-GB"/>
        </w:rPr>
        <w:t>GLYF</w:t>
      </w:r>
      <w:r>
        <w:rPr>
          <w:lang w:val="en-GB"/>
        </w:rPr>
        <w:t>' table must be in glyph ID order.</w:t>
      </w:r>
    </w:p>
    <w:p>
      <w:pPr>
        <w:pStyle w:val="NormalWeb"/>
        <w:spacing w:before="280" w:after="240"/>
        <w:ind w:hanging="360" w:left="360"/>
        <w:rPr>
          <w:rFonts w:ascii="Cambria" w:hAnsi="Cambria" w:cs="Calibri"/>
          <w:sz w:val="22"/>
          <w:szCs w:val="22"/>
        </w:rPr>
      </w:pPr>
      <w:r>
        <w:rPr>
          <w:rFonts w:cs="Calibri" w:ascii="Cambria" w:hAnsi="Cambria"/>
          <w:sz w:val="22"/>
          <w:szCs w:val="22"/>
        </w:rPr>
        <w:t xml:space="preserve">Each glyph description uses one of </w:t>
      </w:r>
      <w:r>
        <w:rPr>
          <w:rFonts w:cs="Calibri" w:ascii="Cambria" w:hAnsi="Cambria"/>
          <w:sz w:val="22"/>
          <w:szCs w:val="22"/>
          <w:shd w:fill="00FFFF" w:val="clear"/>
        </w:rPr>
        <w:t>two</w:t>
      </w:r>
      <w:r>
        <w:rPr>
          <w:rFonts w:cs="Calibri" w:ascii="Cambria" w:hAnsi="Cambria"/>
          <w:sz w:val="22"/>
          <w:szCs w:val="22"/>
        </w:rPr>
        <w:t xml:space="preserve"> formats:</w:t>
      </w:r>
    </w:p>
    <w:p>
      <w:pPr>
        <w:pStyle w:val="NormalWeb"/>
        <w:numPr>
          <w:ilvl w:val="0"/>
          <w:numId w:val="11"/>
        </w:numPr>
        <w:spacing w:before="280" w:after="0"/>
        <w:ind w:hanging="360" w:left="360"/>
        <w:rPr>
          <w:rFonts w:ascii="Cambria" w:hAnsi="Cambria" w:cs="Calibri"/>
          <w:sz w:val="22"/>
          <w:szCs w:val="22"/>
        </w:rPr>
      </w:pPr>
      <w:r>
        <w:rPr>
          <w:rFonts w:cs="Calibri" w:ascii="Cambria" w:hAnsi="Cambria"/>
          <w:sz w:val="22"/>
          <w:szCs w:val="22"/>
        </w:rPr>
        <w:t>Simple glyph descriptions specify a glyph outline directly using B</w:t>
      </w:r>
      <w:r>
        <w:rPr>
          <w:rFonts w:cs="Calibri" w:ascii="Cambria" w:hAnsi="Cambria"/>
          <w:sz w:val="22"/>
          <w:szCs w:val="22"/>
          <w:shd w:fill="FFFF00" w:val="clear"/>
        </w:rPr>
        <w:t>é</w:t>
      </w:r>
      <w:r>
        <w:rPr>
          <w:rFonts w:cs="Calibri" w:ascii="Cambria" w:hAnsi="Cambria"/>
          <w:sz w:val="22"/>
          <w:szCs w:val="22"/>
        </w:rPr>
        <w:t>zier control points.</w:t>
      </w:r>
    </w:p>
    <w:p>
      <w:pPr>
        <w:pStyle w:val="NormalWeb"/>
        <w:numPr>
          <w:ilvl w:val="0"/>
          <w:numId w:val="11"/>
        </w:numPr>
        <w:spacing w:before="0" w:after="240"/>
        <w:ind w:hanging="360" w:left="360"/>
        <w:rPr>
          <w:rFonts w:ascii="Cambria" w:hAnsi="Cambria" w:cs="Calibri"/>
          <w:sz w:val="22"/>
          <w:szCs w:val="22"/>
        </w:rPr>
      </w:pPr>
      <w:r>
        <w:rPr>
          <w:rFonts w:cs="Calibri" w:ascii="Cambria" w:hAnsi="Cambria"/>
          <w:sz w:val="22"/>
          <w:szCs w:val="22"/>
        </w:rPr>
        <w:t>Composite glyph descriptions specify a glyph outline indirectly by referencing one or more glyph IDs to use as components.</w:t>
      </w:r>
    </w:p>
    <w:p>
      <w:pPr>
        <w:pStyle w:val="Normal"/>
        <w:rPr/>
      </w:pPr>
      <w:r>
        <w:rPr>
          <w:rStyle w:val="Strong1"/>
          <w:rFonts w:cs="Calibri"/>
          <w:b w:val="false"/>
          <w:bCs w:val="false"/>
          <w:shd w:fill="FFFF00" w:val="clear"/>
          <w:lang w:val="en-GB"/>
        </w:rPr>
        <w:t>I</w:t>
      </w:r>
      <w:r>
        <w:rPr>
          <w:rStyle w:val="Strong1"/>
          <w:rFonts w:cs="Calibri"/>
          <w:b w:val="false"/>
          <w:bCs w:val="false"/>
          <w:shd w:fill="FFFF00" w:val="clear"/>
          <w:lang w:val="en-GB"/>
        </w:rPr>
        <w:t xml:space="preserve">f the glyph is not empty </w:t>
      </w:r>
      <w:r>
        <w:rPr>
          <w:rStyle w:val="Strong1"/>
          <w:rFonts w:cs="Calibri"/>
          <w:b w:val="false"/>
          <w:bCs w:val="false"/>
          <w:shd w:fill="FFFF00" w:val="clear"/>
          <w:lang w:val="en-GB"/>
        </w:rPr>
        <w:t xml:space="preserve">the glyph description </w:t>
      </w:r>
      <w:r>
        <w:rPr>
          <w:rStyle w:val="Strong1"/>
          <w:rFonts w:cs="Calibri"/>
          <w:b w:val="false"/>
          <w:bCs w:val="false"/>
          <w:shd w:fill="FFFF00" w:val="clear"/>
          <w:lang w:val="en-GB"/>
        </w:rPr>
        <w:t>shall begin</w:t>
      </w:r>
      <w:r>
        <w:rPr>
          <w:rStyle w:val="Strong1"/>
          <w:rFonts w:cs="Calibri"/>
          <w:b w:val="false"/>
          <w:bCs w:val="false"/>
          <w:shd w:fill="FFFF00" w:val="clear"/>
          <w:lang w:val="en-GB"/>
        </w:rPr>
        <w:t xml:space="preserve"> with a glyph header.</w:t>
      </w:r>
    </w:p>
    <w:p>
      <w:pPr>
        <w:pStyle w:val="NormalWeb"/>
        <w:spacing w:before="120" w:after="120"/>
        <w:rPr/>
      </w:pPr>
      <w:r>
        <w:rPr>
          <w:rStyle w:val="Strong1"/>
        </w:rPr>
        <w:t>Glyph headers</w:t>
      </w:r>
    </w:p>
    <w:p>
      <w:pPr>
        <w:pStyle w:val="Normal"/>
        <w:rPr>
          <w:lang w:val="en-GB"/>
        </w:rPr>
      </w:pPr>
      <w:r>
        <w:rPr>
          <w:lang w:val="en-GB"/>
        </w:rPr>
        <w:t xml:space="preserve">Each glyph description </w:t>
      </w:r>
      <w:r>
        <w:rPr>
          <w:lang w:val="en-GB"/>
        </w:rPr>
        <w:t>shall begin</w:t>
      </w:r>
      <w:r>
        <w:rPr>
          <w:lang w:val="en-GB"/>
        </w:rPr>
        <w:t xml:space="preserve"> with a header:</w:t>
      </w:r>
    </w:p>
    <w:p>
      <w:pPr>
        <w:pStyle w:val="NormalWeb"/>
        <w:spacing w:before="280" w:after="120"/>
        <w:rPr/>
      </w:pPr>
      <w:r>
        <w:rPr>
          <w:rStyle w:val="Emphasis"/>
        </w:rPr>
        <w:t>Glyph Header</w:t>
      </w:r>
    </w:p>
    <w:tbl>
      <w:tblPr>
        <w:tblW w:w="9180" w:type="dxa"/>
        <w:jc w:val="left"/>
        <w:tblInd w:w="0" w:type="dxa"/>
        <w:tblLayout w:type="fixed"/>
        <w:tblCellMar>
          <w:top w:w="0" w:type="dxa"/>
          <w:left w:w="108" w:type="dxa"/>
          <w:bottom w:w="0" w:type="dxa"/>
          <w:right w:w="108" w:type="dxa"/>
        </w:tblCellMar>
      </w:tblPr>
      <w:tblGrid>
        <w:gridCol w:w="790"/>
        <w:gridCol w:w="2106"/>
        <w:gridCol w:w="6284"/>
      </w:tblGrid>
      <w:tr>
        <w:trPr/>
        <w:tc>
          <w:tcPr>
            <w:tcW w:w="79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6284"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79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numberOfContours</w:t>
            </w:r>
          </w:p>
        </w:tc>
        <w:tc>
          <w:tcPr>
            <w:tcW w:w="6284"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If the number of contours is greater than or equal to zero, this is a simple glyph. If negative, this is a composite glyph—the value ˗1 </w:t>
            </w:r>
            <w:r>
              <w:rPr>
                <w:shd w:fill="FFFF00" w:val="clear"/>
              </w:rPr>
              <w:t>shall</w:t>
            </w:r>
            <w:r>
              <w:rPr/>
              <w:t xml:space="preserve"> be used for composite glyphs.</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x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yMin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y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xMax</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x for coordinate data.</w:t>
            </w:r>
          </w:p>
        </w:tc>
      </w:tr>
      <w:tr>
        <w:trPr/>
        <w:tc>
          <w:tcPr>
            <w:tcW w:w="79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yMax</w:t>
            </w:r>
          </w:p>
        </w:tc>
        <w:tc>
          <w:tcPr>
            <w:tcW w:w="6284"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y for coordinate data.</w:t>
            </w:r>
          </w:p>
        </w:tc>
      </w:tr>
    </w:tbl>
    <w:p>
      <w:pPr>
        <w:pStyle w:val="FirstParagraph"/>
        <w:spacing w:before="280" w:after="240"/>
        <w:rPr/>
      </w:pPr>
      <w:r>
        <w:rPr/>
        <w:t>The bounding rectangle from each character is defined as the rectangle with a lower left corner of (xMin, yMin) and an upper right corner of (xMax, yMax). These values are obtained directly from the point coordinate data for the glyph, comparing all on-curve and off-curve points. Phantom points computed by the rasterizer are not relevant. Note that the bounding box defined by control points is guaranteed to contain the outline, but might not be tight to the outline.</w:t>
      </w:r>
    </w:p>
    <w:p>
      <w:pPr>
        <w:pStyle w:val="FirstParagraph"/>
        <w:spacing w:before="280" w:after="240"/>
        <w:rPr/>
      </w:pPr>
      <w:r>
        <w:rPr/>
        <w:t>The scaler will perform better if the glyph coordinates have been created s</w:t>
      </w:r>
      <w:r>
        <w:rPr>
          <w:shd w:fill="FFFF00" w:val="clear"/>
        </w:rPr>
        <w:t xml:space="preserve">uch that the xMin </w:t>
      </w:r>
      <w:r>
        <w:rPr>
          <w:shd w:fill="FFFF00" w:val="clear"/>
        </w:rPr>
        <w:t>for each glyph</w:t>
      </w:r>
      <w:r>
        <w:rPr>
          <w:shd w:fill="FFFF00" w:val="clear"/>
        </w:rPr>
        <w:t xml:space="preserve"> is equal to the </w:t>
      </w:r>
      <w:r>
        <w:rPr>
          <w:shd w:fill="FFFF00" w:val="clear"/>
        </w:rPr>
        <w:t>left side bearing (</w:t>
      </w:r>
      <w:r>
        <w:rPr>
          <w:shd w:fill="FFFF00" w:val="clear"/>
        </w:rPr>
        <w:t>lsb</w:t>
      </w:r>
      <w:r>
        <w:rPr>
          <w:shd w:fill="FFFF00" w:val="clear"/>
        </w:rPr>
        <w:t>) for that glyph</w:t>
      </w:r>
      <w:r>
        <w:rPr>
          <w:shd w:fill="FFFF00" w:val="clear"/>
        </w:rPr>
        <w:t xml:space="preserve">. </w:t>
      </w:r>
      <w:r>
        <w:rPr/>
        <w:t xml:space="preserve">For example, if the lsb is 123, then xMin for the glyph should be 123. If the lsb is -12 then the xMin should be -12. If the lsb is 0 then xMin is 0. If all glyphs are done like this, set bit 1 of </w:t>
      </w:r>
      <w:r>
        <w:rPr/>
        <w:t xml:space="preserve">the </w:t>
      </w:r>
      <w:r>
        <w:rPr>
          <w:i/>
          <w:iCs/>
        </w:rPr>
        <w:t>flags</w:t>
      </w:r>
      <w:r>
        <w:rPr/>
        <w:t xml:space="preserve"> field in the 'head' table.</w:t>
      </w:r>
    </w:p>
    <w:p>
      <w:pPr>
        <w:pStyle w:val="NOTE2"/>
        <w:spacing w:before="280" w:after="280"/>
        <w:rPr/>
      </w:pPr>
      <w:r>
        <w:rPr/>
        <w:t>NOTE</w:t>
        <w:tab/>
        <w:t>The glyph descriptions do not include side bearing information. Left side bearings are provided in the '</w:t>
      </w:r>
      <w:r>
        <w:rPr>
          <w:shd w:fill="FFFF00" w:val="clear"/>
        </w:rPr>
        <w:t>HMTX</w:t>
      </w:r>
      <w:r>
        <w:rPr/>
        <w:t>' table, and right side bearings are inferred from the advance width (also provided in the '</w:t>
      </w:r>
      <w:r>
        <w:rPr>
          <w:shd w:fill="FFFF00" w:val="clear"/>
        </w:rPr>
        <w:t>HMTX</w:t>
      </w:r>
      <w:r>
        <w:rPr/>
        <w:t>' table) and the bounding box coordinates provided in the '</w:t>
      </w:r>
      <w:r>
        <w:rPr>
          <w:shd w:fill="FFFF00" w:val="clear"/>
        </w:rPr>
        <w:t>GLYF</w:t>
      </w:r>
      <w:r>
        <w:rPr/>
        <w:t>' table. For vertical layout, top side bearings are provided in the 'vmtx' table, and bottom side bearings are inferred. The rasterizer will generate a representation of side bearings in the form of “phantom” points, which are added as four additional points at the end of the glyph description and which can be referenced and manipulated by glyph instructions. See Reference [36] for more background on phantom points.</w:t>
      </w:r>
    </w:p>
    <w:p>
      <w:pPr>
        <w:pStyle w:val="NOTE2"/>
        <w:spacing w:before="280" w:after="280"/>
        <w:rPr/>
      </w:pPr>
      <w:r>
        <w:rPr/>
        <w:t>NOTE</w:t>
        <w:tab/>
      </w:r>
      <w:r>
        <w:rPr/>
        <w:t>Side bearings for glyph definitions in the older ‘glyf’ table are obtained from the ‘hmtx’ lower-case named table.</w:t>
      </w:r>
    </w:p>
    <w:p>
      <w:pPr>
        <w:pStyle w:val="Normal"/>
        <w:rPr/>
      </w:pPr>
      <w:r>
        <w:rPr/>
        <w:t>In a variable font, the minimum and maximum x or y values of control points can vary, and a tight bounding rectangle containing the outline or all points for an instance could be smaller or larger than for the default instance (that is, for the glyph description in this table). The xMin, yMin, xMax and yMax values might or might not encompass the derived outline for an instance. Also, the</w:t>
      </w:r>
      <w:r>
        <w:rPr>
          <w:shd w:fill="FFFF00" w:val="clear"/>
        </w:rPr>
        <w:t xml:space="preserve"> '</w:t>
      </w:r>
      <w:r>
        <w:rPr>
          <w:shd w:fill="FFFF00" w:val="clear"/>
        </w:rPr>
        <w:t>GVAR</w:t>
      </w:r>
      <w:r>
        <w:rPr>
          <w:shd w:fill="FFFF00" w:val="clear"/>
        </w:rPr>
        <w:t xml:space="preserve">' </w:t>
      </w:r>
      <w:r>
        <w:rPr>
          <w:shd w:fill="FFFF00" w:val="clear"/>
        </w:rPr>
        <w:t>(or ‘gvar’)</w:t>
      </w:r>
      <w:r>
        <w:rPr/>
        <w:t xml:space="preserve"> </w:t>
      </w:r>
      <w:r>
        <w:rPr/>
        <w:t>table does not provide deltas for these values. If an application requires a bounding rectangle for a non-default instance of a glyph, the derived point data (with deltas applied) should be processed to determine a bounding rectangle.</w:t>
      </w:r>
    </w:p>
    <w:p>
      <w:pPr>
        <w:pStyle w:val="Heading5"/>
        <w:numPr>
          <w:ilvl w:val="0"/>
          <w:numId w:val="0"/>
        </w:numPr>
        <w:ind w:hanging="0" w:left="0"/>
        <w:rPr/>
      </w:pPr>
      <w:r>
        <w:rPr/>
        <w:t>Simple glyph description [5.2.4.1.1]</w:t>
      </w:r>
    </w:p>
    <w:p>
      <w:pPr>
        <w:pStyle w:val="Normal"/>
        <w:rPr>
          <w:lang w:val="en-GB"/>
        </w:rPr>
      </w:pPr>
      <w:r>
        <w:rPr>
          <w:lang w:val="en-GB"/>
        </w:rPr>
        <w:t>This is the information used to describe a glyph if numberOfContours is greater than or equal to zero—that is, a glyph is not a composite. Note that point numbers are base-zero indices that are numbered sequentially across all of the contours for a glyph; that is, the first point number of each contour (except the first) is one greater than the last point number of the preceding contour.</w:t>
      </w:r>
    </w:p>
    <w:p>
      <w:pPr>
        <w:pStyle w:val="NormalWeb"/>
        <w:spacing w:before="0" w:after="120"/>
        <w:rPr/>
      </w:pPr>
      <w:r>
        <w:rPr>
          <w:rStyle w:val="Emphasis"/>
        </w:rPr>
        <w:t>Simple Glyph table</w:t>
      </w:r>
    </w:p>
    <w:tbl>
      <w:tblPr>
        <w:tblW w:w="9322" w:type="dxa"/>
        <w:jc w:val="left"/>
        <w:tblInd w:w="0" w:type="dxa"/>
        <w:tblLayout w:type="fixed"/>
        <w:tblCellMar>
          <w:top w:w="0" w:type="dxa"/>
          <w:left w:w="108" w:type="dxa"/>
          <w:bottom w:w="0" w:type="dxa"/>
          <w:right w:w="108" w:type="dxa"/>
        </w:tblCellMar>
      </w:tblPr>
      <w:tblGrid>
        <w:gridCol w:w="1304"/>
        <w:gridCol w:w="3906"/>
        <w:gridCol w:w="4112"/>
      </w:tblGrid>
      <w:tr>
        <w:trPr/>
        <w:tc>
          <w:tcPr>
            <w:tcW w:w="13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9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0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endPtsOfContours[numberOfContours]</w:t>
            </w:r>
          </w:p>
        </w:tc>
        <w:tc>
          <w:tcPr>
            <w:tcW w:w="41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point indices for the last point of each contour, </w:t>
            </w:r>
            <w:r>
              <w:rPr>
                <w:iCs/>
              </w:rPr>
              <w:t>in increasing numeric order</w:t>
            </w:r>
            <w:r>
              <w:rPr/>
              <w:t>.</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bytes for instructions. If instructionLength is zero, no instructions are present for this glyph, and this field is followed directly by the flags field.</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instructions[instructionLength]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instruction byte code for the glyph. </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flag elements. See below for details regarding the number of flag array elements.</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xCoordinates[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Contour point x-coordinates. See below for details regarding the number of coordinate array elements. Coordinate for the first point is relative to (0,0); others are relative to previous point.</w:t>
            </w:r>
          </w:p>
        </w:tc>
      </w:tr>
      <w:tr>
        <w:trPr/>
        <w:tc>
          <w:tcPr>
            <w:tcW w:w="130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yCoordinates[</w:t>
            </w:r>
            <w:r>
              <w:rPr>
                <w:i/>
                <w:iCs/>
              </w:rPr>
              <w:t>variable</w:t>
            </w:r>
            <w:r>
              <w:rPr/>
              <w:t>]</w:t>
            </w:r>
          </w:p>
        </w:tc>
        <w:tc>
          <w:tcPr>
            <w:tcW w:w="41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Contour point y-coordinates. See below for details regarding the number of coordinate array elements. Coordinate for the first point is relative to (0,0); others are relative to previous point.</w:t>
            </w:r>
          </w:p>
        </w:tc>
      </w:tr>
    </w:tbl>
    <w:p>
      <w:pPr>
        <w:pStyle w:val="NOTE2"/>
        <w:spacing w:before="280" w:after="280"/>
        <w:rPr/>
      </w:pPr>
      <w:r>
        <w:rPr/>
        <w:t>NOTE 1</w:t>
        <w:tab/>
        <w:t>In the 'glyf' table, the position of a point is not stored in absolute terms but as a vector relative to the previous point. The delta-x and delta-y vectors represent these (often small) changes in position. Coordinate values are in font design units, as defined by the unitsPerEm field in the 'head' table. Note that smaller unitsPerEm values will make it more likely that delta-x and delta-y values can fit in a smaller representation (8-bit rather than 16-bit), though with a trade-off in the level or precision that can be used for describing an outline.</w:t>
      </w:r>
    </w:p>
    <w:p>
      <w:pPr>
        <w:pStyle w:val="Normal"/>
        <w:rPr>
          <w:lang w:val="en-GB"/>
        </w:rPr>
      </w:pPr>
      <w:r>
        <w:rPr>
          <w:lang w:val="en-GB"/>
        </w:rPr>
        <w:t>Each element in the flags array is a single byte, each of which has multiple flag bits with distinct meanings, as shown below.</w:t>
      </w:r>
    </w:p>
    <w:p>
      <w:pPr>
        <w:pStyle w:val="Normal"/>
        <w:rPr>
          <w:lang w:val="en-GB"/>
        </w:rPr>
      </w:pPr>
      <w:r>
        <w:rPr>
          <w:lang w:val="en-GB"/>
        </w:rPr>
        <w:t>In logical terms, there is one flag byte element, one x-coordinate, and one y-coordinate for each point. The number of points is determined by the last entry in the endPtsOfContours array. Note, however, that the flag byte elements and the coordinate arrays use packed representations. In particular, if a logical sequence of flag elements or sequence of x- or y-coordinates is repeated, then the actual flag byte element or coordinate value can be given in a single entry, with special flags used to indicate that this value is repeated for subsequent logical entries. The actual stored size of the flags or coordinate arrays must be determined by parsing the flags array entries. See the flag descriptions below for details.</w:t>
      </w:r>
    </w:p>
    <w:p>
      <w:pPr>
        <w:pStyle w:val="NormalWeb"/>
        <w:spacing w:before="0" w:after="120"/>
        <w:rPr/>
      </w:pPr>
      <w:r>
        <w:rPr>
          <w:rStyle w:val="Emphasis"/>
        </w:rPr>
        <w:t>Simple Glyph flags</w:t>
      </w:r>
    </w:p>
    <w:tbl>
      <w:tblPr>
        <w:tblW w:w="9766" w:type="dxa"/>
        <w:jc w:val="left"/>
        <w:tblInd w:w="0" w:type="dxa"/>
        <w:tblLayout w:type="fixed"/>
        <w:tblCellMar>
          <w:top w:w="0" w:type="dxa"/>
          <w:left w:w="108" w:type="dxa"/>
          <w:bottom w:w="0" w:type="dxa"/>
          <w:right w:w="108" w:type="dxa"/>
        </w:tblCellMar>
      </w:tblPr>
      <w:tblGrid>
        <w:gridCol w:w="883"/>
        <w:gridCol w:w="3193"/>
        <w:gridCol w:w="5690"/>
      </w:tblGrid>
      <w:tr>
        <w:trPr/>
        <w:tc>
          <w:tcPr>
            <w:tcW w:w="8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8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0x01</w:t>
            </w:r>
          </w:p>
        </w:tc>
        <w:tc>
          <w:tcPr>
            <w:tcW w:w="31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ON_CURVE_POINT</w:t>
            </w:r>
          </w:p>
        </w:tc>
        <w:tc>
          <w:tcPr>
            <w:tcW w:w="56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set, the point is on the curve; otherwise, it is off the curve.</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set, the corresponding x-coordinate is 1 byte long, and the sign is determined by the X_IS_SAME_OR_POSITIVE_X_SHORT_VECTOR flag. If not set, its interpretation depends on the X_IS_SAME_OR_POSITIVE_X_SHORT_VECTOR flag: If that other flag is set, the x-coordinate is the same as the previous x-coordinate, and no element is added to the xCoordinates array. If both flags are not set, the corresponding element in the xCoordinates array is two bytes and interpreted as a signed integer. See the description of the X_IS_SAME_OR_POSITIVE_X_SHORT_VECTOR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the corresponding y-coordinate is 1 byte long, and the sign is determined by the Y_IS_SAME_OR_POSITIVE_Y_SHORT_VECTOR flag. If not set, its interpretation depends on the Y_IS_SAME_OR_POSITIVE_Y_SHORT_VECTOR flag: If that other flag is set, the y-coordinate is the same as the previous y-coordinate, and no element is added to the yCoordinates array. If both flags are not set, the corresponding element in the yCoordinates array is two bytes and interpreted as a signed integer. See the description of the Y_IS_SAME_OR_POSITIVE_Y_SHORT_VECTOR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REPEAT_FLAG</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If set, the next byte (read as unsigned) specifies the number of additional times this flag byte is to be repeated in the logical flags array—that is, the number of additional logical flag entries inserted after this entry. (In the expanded logical array this bit is ignored.) In this way, the number of flags listed can be smaller than the number of points in the glyph description.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X_IS_SAME_OR_POSITIVE_X_SHORT_VECTOR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4: This flag has two meanings, depending on how the X_SHORT_VECTOR flag is set. If X_SHORT_VECTOR is set, this bit describes the sign of the value, with 1 equaling positive and 0 negative. If X_SHORT_VECTOR is not set and this bit is set, then the current x-coordinate is the same as the previous x-coordinate. If X_SHORT_VECTOR is not set and this bit is also not set, the current x-coordinate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0x20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Y_IS_SAME_OR_POSITIVE_Y_SHORT_VECTOR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This flag has two meanings, depending on how the Y_SHORT_VECTOR flag is set. If Y_SHORT_VECTOR is set, this bit describes the sign of the value, with 1 equaling positive and 0 negative. If Y_SHORT_VECTOR is not set and this bit is set, then the current y-coordinate is the same as the previous y-coordinate. If Y_SHORT_VECTOR is not set and this bit is also not set, the current y-coordinate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0x40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OVERLAP_SIMPLE</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6: If set, contours in the glyph description may overlap. Use of this flag is not required in OFF—that is, it is valid to have contours overlap without having this flag set. It may affect behaviors in some platforms, however. (See the discussion of “Overlapping contours” in Apple’s specification </w:t>
            </w:r>
            <w:r>
              <w:rPr>
                <w:vertAlign w:val="superscript"/>
              </w:rPr>
              <w:t>[7]</w:t>
            </w:r>
            <w:r>
              <w:rPr/>
              <w:t xml:space="preserve"> for details regarding behavior in Apple platforms.) When used, it shall be set on the first flag byte for the glyph. See additional details below.</w:t>
            </w:r>
          </w:p>
        </w:tc>
      </w:tr>
      <w:tr>
        <w:trPr/>
        <w:tc>
          <w:tcPr>
            <w:tcW w:w="8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0x80</w:t>
            </w:r>
          </w:p>
        </w:tc>
        <w:tc>
          <w:tcPr>
            <w:tcW w:w="31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CUBIC</w:t>
            </w:r>
          </w:p>
        </w:tc>
        <w:tc>
          <w:tcPr>
            <w:tcW w:w="5690" w:type="dxa"/>
            <w:tcBorders>
              <w:top w:val="single" w:sz="6" w:space="0" w:color="000000"/>
              <w:left w:val="single" w:sz="6" w:space="0" w:color="000000"/>
              <w:bottom w:val="single" w:sz="12" w:space="0" w:color="000000"/>
              <w:right w:val="single" w:sz="12" w:space="0" w:color="000000"/>
            </w:tcBorders>
          </w:tcPr>
          <w:p>
            <w:pPr>
              <w:pStyle w:val="TableParagraph"/>
              <w:rPr/>
            </w:pPr>
            <w:r>
              <w:rPr/>
              <w:t xml:space="preserve">Bit 7: </w:t>
            </w:r>
            <w:r>
              <w:rPr>
                <w:shd w:fill="FFFF00" w:val="clear"/>
              </w:rPr>
              <w:t>Off-curve point belongs to a cubic-Bezier segment.</w:t>
            </w:r>
          </w:p>
          <w:p>
            <w:pPr>
              <w:pStyle w:val="TableParagraph"/>
              <w:spacing w:before="0" w:after="227"/>
              <w:rPr>
                <w:shd w:fill="FFFF00" w:val="clear"/>
              </w:rPr>
            </w:pPr>
            <w:r>
              <w:rPr>
                <w:shd w:fill="FFFF00" w:val="clear"/>
              </w:rPr>
              <w:t>The CUBIC flag shall be used only in the ‘GLYF’ table, not the ‘glyf’ table. In the ‘glyf’ table it shall be set to zero.</w:t>
            </w:r>
          </w:p>
        </w:tc>
      </w:tr>
    </w:tbl>
    <w:p>
      <w:pPr>
        <w:pStyle w:val="Normal"/>
        <w:widowControl/>
        <w:rPr/>
      </w:pPr>
      <w:r>
        <w:rPr/>
      </w:r>
    </w:p>
    <w:p>
      <w:pPr>
        <w:pStyle w:val="Normal"/>
        <w:widowControl/>
        <w:rPr>
          <w:shd w:fill="FFFF00" w:val="clear"/>
        </w:rPr>
      </w:pPr>
      <w:r>
        <w:rPr>
          <w:shd w:fill="FFFF00" w:val="clear"/>
        </w:rPr>
        <w:t xml:space="preserve">If the CUBIC flag is non-zero, the corresponding off-curve point belongs to a Cubic Bézier path segment, </w:t>
      </w:r>
      <w:r>
        <w:rPr>
          <w:shd w:fill="FFFF00" w:val="clear"/>
        </w:rPr>
        <w:t>and a</w:t>
      </w:r>
      <w:r>
        <w:rPr>
          <w:shd w:fill="FFFF00" w:val="clear"/>
          <w:lang w:eastAsia="zh-CN"/>
        </w:rPr>
        <w:t>ll of the following conditions shall be met:</w:t>
      </w:r>
    </w:p>
    <w:p>
      <w:pPr>
        <w:pStyle w:val="BodyText"/>
        <w:numPr>
          <w:ilvl w:val="0"/>
          <w:numId w:val="18"/>
        </w:numPr>
        <w:spacing w:before="1" w:after="283"/>
        <w:rPr>
          <w:shd w:fill="FFFF00" w:val="clear"/>
        </w:rPr>
      </w:pPr>
      <w:r>
        <w:rPr>
          <w:shd w:fill="FFFF00" w:val="clear"/>
        </w:rPr>
        <w:t xml:space="preserve">The number of consecutive cubic off-curve points within a contour (without wrap-around) </w:t>
      </w:r>
      <w:r>
        <w:rPr>
          <w:shd w:fill="FFFF00" w:val="clear"/>
        </w:rPr>
        <w:t>is</w:t>
      </w:r>
      <w:r>
        <w:rPr>
          <w:shd w:fill="FFFF00" w:val="clear"/>
        </w:rPr>
        <w:t xml:space="preserve"> even.</w:t>
      </w:r>
    </w:p>
    <w:p>
      <w:pPr>
        <w:pStyle w:val="BodyText"/>
        <w:numPr>
          <w:ilvl w:val="0"/>
          <w:numId w:val="18"/>
        </w:numPr>
        <w:spacing w:before="1" w:after="283"/>
        <w:rPr>
          <w:shd w:fill="FFFF00" w:val="clear"/>
        </w:rPr>
      </w:pPr>
      <w:r>
        <w:rPr>
          <w:shd w:fill="FFFF00" w:val="clear"/>
        </w:rPr>
        <w:t>Either a</w:t>
      </w:r>
      <w:r>
        <w:rPr>
          <w:shd w:fill="FFFF00" w:val="clear"/>
        </w:rPr>
        <w:t xml:space="preserve">ll the off-curve points between </w:t>
      </w:r>
      <w:r>
        <w:rPr>
          <w:shd w:fill="FFFF00" w:val="clear"/>
        </w:rPr>
        <w:t xml:space="preserve">any </w:t>
      </w:r>
      <w:r>
        <w:rPr>
          <w:shd w:fill="FFFF00" w:val="clear"/>
        </w:rPr>
        <w:t xml:space="preserve">two on-curve points (with wrap-around) have the </w:t>
      </w:r>
      <w:r>
        <w:rPr>
          <w:shd w:fill="FFFF00" w:val="clear"/>
        </w:rPr>
        <w:t xml:space="preserve">CUBIC </w:t>
      </w:r>
      <w:r>
        <w:rPr>
          <w:shd w:fill="FFFF00" w:val="clear"/>
        </w:rPr>
        <w:t xml:space="preserve">flag clear, or </w:t>
      </w:r>
      <w:r>
        <w:rPr>
          <w:shd w:fill="FFFF00" w:val="clear"/>
        </w:rPr>
        <w:t xml:space="preserve">they all </w:t>
      </w:r>
      <w:r>
        <w:rPr>
          <w:shd w:fill="FFFF00" w:val="clear"/>
        </w:rPr>
        <w:t xml:space="preserve">have the </w:t>
      </w:r>
      <w:r>
        <w:rPr>
          <w:shd w:fill="FFFF00" w:val="clear"/>
        </w:rPr>
        <w:t xml:space="preserve">CUBIC </w:t>
      </w:r>
      <w:r>
        <w:rPr>
          <w:shd w:fill="FFFF00" w:val="clear"/>
        </w:rPr>
        <w:t>flag set.</w:t>
      </w:r>
    </w:p>
    <w:p>
      <w:pPr>
        <w:pStyle w:val="BodyText"/>
        <w:numPr>
          <w:ilvl w:val="0"/>
          <w:numId w:val="18"/>
        </w:numPr>
        <w:spacing w:before="1" w:after="283"/>
        <w:rPr/>
      </w:pPr>
      <w:r>
        <w:rPr>
          <w:rStyle w:val="Emphasis"/>
          <w:i w:val="false"/>
          <w:iCs w:val="false"/>
          <w:shd w:fill="00FFFF" w:val="clear"/>
        </w:rPr>
        <w:t>Th</w:t>
      </w:r>
      <w:r>
        <w:rPr>
          <w:rStyle w:val="Emphasis"/>
          <w:i w:val="false"/>
          <w:iCs w:val="false"/>
          <w:shd w:fill="00FFFF" w:val="clear"/>
        </w:rPr>
        <w:t xml:space="preserve">e CUBIC </w:t>
      </w:r>
      <w:r>
        <w:rPr>
          <w:rStyle w:val="Emphasis"/>
          <w:i w:val="false"/>
          <w:iCs w:val="false"/>
          <w:shd w:fill="00FFFF" w:val="clear"/>
        </w:rPr>
        <w:t>flag</w:t>
      </w:r>
      <w:r>
        <w:rPr>
          <w:rStyle w:val="Emphasis"/>
          <w:i w:val="false"/>
          <w:iCs w:val="false"/>
          <w:shd w:fill="00FFFF" w:val="clear"/>
        </w:rPr>
        <w:t xml:space="preserve"> </w:t>
      </w:r>
      <w:r>
        <w:rPr>
          <w:rStyle w:val="Emphasis"/>
          <w:i w:val="false"/>
          <w:iCs w:val="false"/>
          <w:shd w:fill="00FFFF" w:val="clear"/>
        </w:rPr>
        <w:t xml:space="preserve">is allowed on both on-curve and off-curve points. This is because some hinting instructions can flip points between on-curve and off-curve. </w:t>
      </w:r>
      <w:r>
        <w:rPr>
          <w:rStyle w:val="Emphasis"/>
          <w:i w:val="false"/>
          <w:iCs w:val="false"/>
          <w:shd w:fill="00FFFF" w:val="clear"/>
        </w:rPr>
        <w:t>This specification does not define a meaning for the CUBIC flag on an on-curve point, but it is not an error.</w:t>
      </w:r>
      <w:r>
        <w:rPr>
          <w:rStyle w:val="Emphasis"/>
          <w:i w:val="false"/>
          <w:iCs w:val="false"/>
          <w:shd w:fill="00FFFF" w:val="clear"/>
        </w:rPr>
        <w:t xml:space="preserve"> </w:t>
      </w:r>
    </w:p>
    <w:p>
      <w:pPr>
        <w:pStyle w:val="BodyText"/>
        <w:numPr>
          <w:ilvl w:val="0"/>
          <w:numId w:val="18"/>
        </w:numPr>
        <w:spacing w:before="1" w:after="283"/>
        <w:rPr/>
      </w:pPr>
      <w:r>
        <w:rPr>
          <w:rStyle w:val="Emphasis"/>
          <w:i w:val="false"/>
          <w:iCs w:val="false"/>
          <w:shd w:fill="00FFFF" w:val="clear"/>
        </w:rPr>
        <w:t>The number of consecutive off-curve points (with wraparound) shall be even, both before and after running the hinting program.</w:t>
      </w:r>
    </w:p>
    <w:p>
      <w:pPr>
        <w:pStyle w:val="BodyText"/>
        <w:rPr>
          <w:shd w:fill="FFFF00" w:val="clear"/>
        </w:rPr>
      </w:pPr>
      <w:r>
        <w:rPr>
          <w:shd w:fill="FFFF00" w:val="clear"/>
        </w:rPr>
        <w:t xml:space="preserve">Every </w:t>
      </w:r>
      <w:r>
        <w:rPr>
          <w:shd w:fill="FFFF00" w:val="clear"/>
        </w:rPr>
        <w:t>consecutive</w:t>
      </w:r>
      <w:r>
        <w:rPr>
          <w:shd w:fill="FFFF00" w:val="clear"/>
        </w:rPr>
        <w:t xml:space="preserve"> two off-curve points that have the CUBIC bit set define a cubic Bézier segment. Within any consecutive set of cubic off-curve points within a contour (with wrap-around), an implied on-curve point is inserted </w:t>
      </w:r>
      <w:r>
        <w:rPr>
          <w:shd w:fill="FFFF00" w:val="clear"/>
        </w:rPr>
        <w:t xml:space="preserve">by the font processor </w:t>
      </w:r>
      <w:r>
        <w:rPr>
          <w:shd w:fill="FFFF00" w:val="clear"/>
        </w:rPr>
        <w:t>at the mid-point between every second off-curve point and the next one.</w:t>
      </w:r>
    </w:p>
    <w:p>
      <w:pPr>
        <w:pStyle w:val="BodyText"/>
        <w:rPr>
          <w:shd w:fill="FFFF00" w:val="clear"/>
        </w:rPr>
      </w:pPr>
      <w:r>
        <w:rPr>
          <w:shd w:fill="FFFF00" w:val="clear"/>
        </w:rPr>
        <w:t xml:space="preserve">If there are no on-curve points and all (even number of) off-curve points are CUBIC, the first off-curve point </w:t>
      </w:r>
      <w:r>
        <w:rPr>
          <w:shd w:fill="FFFF00" w:val="clear"/>
        </w:rPr>
        <w:t>shall be</w:t>
      </w:r>
      <w:r>
        <w:rPr>
          <w:shd w:fill="FFFF00" w:val="clear"/>
        </w:rPr>
        <w:t xml:space="preserve"> considered the first control-point of a cubic Bézier </w:t>
      </w:r>
      <w:r>
        <w:rPr>
          <w:shd w:fill="FFFF00" w:val="clear"/>
        </w:rPr>
        <w:t>curve</w:t>
      </w:r>
      <w:r>
        <w:rPr>
          <w:shd w:fill="FFFF00" w:val="clear"/>
        </w:rPr>
        <w:t xml:space="preserve">, and </w:t>
      </w:r>
      <w:r>
        <w:rPr>
          <w:shd w:fill="FFFF00" w:val="clear"/>
        </w:rPr>
        <w:t xml:space="preserve">the font processor shall insert </w:t>
      </w:r>
      <w:r>
        <w:rPr>
          <w:shd w:fill="FFFF00" w:val="clear"/>
        </w:rPr>
        <w:t>implied on-curve points between the every second point and the next one as usual.</w:t>
      </w:r>
    </w:p>
    <w:p>
      <w:pPr>
        <w:pStyle w:val="Heading5"/>
        <w:numPr>
          <w:ilvl w:val="0"/>
          <w:numId w:val="0"/>
        </w:numPr>
        <w:ind w:hanging="0" w:left="0"/>
        <w:rPr>
          <w:shd w:fill="FFFF00" w:val="clear"/>
        </w:rPr>
      </w:pPr>
      <w:r>
        <w:rPr>
          <w:shd w:fill="FFFF00" w:val="clear"/>
        </w:rPr>
        <w:t xml:space="preserve">Filling Algorithm </w:t>
      </w:r>
      <w:r>
        <w:rPr>
          <w:shd w:fill="FFFF00" w:val="clear"/>
        </w:rPr>
        <w:t>and Overlapping Contours</w:t>
      </w:r>
    </w:p>
    <w:p>
      <w:pPr>
        <w:pStyle w:val="Normal"/>
        <w:tabs>
          <w:tab w:val="clear" w:pos="720"/>
          <w:tab w:val="left" w:pos="403" w:leader="none"/>
          <w:tab w:val="left" w:pos="2146" w:leader="none"/>
          <w:tab w:val="left" w:pos="2480" w:leader="none"/>
        </w:tabs>
        <w:spacing w:before="280" w:after="240"/>
        <w:ind w:right="24"/>
        <w:rPr/>
      </w:pPr>
      <w:r>
        <w:rPr/>
        <w:t xml:space="preserve">A non-zero-fill algorithm is needed to avoid dropouts when contours overlap. The OVERLAP_SIMPLE flag is used by some rasterizer implementations to ensure that a non-zero-fill algorithm is used rather than an even-odd-fill algorithm. Implementations that always use a non-zero-fill algorithm will ignore this flag. Note that some implementations might check this flag specifically in non-variable fonts, but always use a non-zero-fill algorithm for variable fonts. This flag can be used in order to provide broad interoperability of fonts — particularly non-variable fonts — when glyphs have overlapping contours. </w:t>
      </w:r>
    </w:p>
    <w:p>
      <w:pPr>
        <w:pStyle w:val="Normal"/>
        <w:tabs>
          <w:tab w:val="clear" w:pos="720"/>
          <w:tab w:val="left" w:pos="403" w:leader="none"/>
          <w:tab w:val="left" w:pos="2146" w:leader="none"/>
          <w:tab w:val="left" w:pos="2480" w:leader="none"/>
        </w:tabs>
        <w:spacing w:before="280" w:after="240"/>
        <w:ind w:right="24"/>
        <w:rPr/>
      </w:pPr>
      <w:r>
        <w:rPr/>
        <w:t>Variable fonts often make use of overlapping contours. This has implications for tools that generate static-font data for a specific instance of a variable font, if broad interoperability of the derived font is desired:  if a glyph has overlapping contours in the given instance, then the tool should either set the OVERLAP_SIMPLE flag in the derived glyph data, or else should merge contours to remove overlap of separate contours.</w:t>
      </w:r>
    </w:p>
    <w:p>
      <w:pPr>
        <w:pStyle w:val="NOTE2"/>
        <w:spacing w:before="280" w:after="280"/>
        <w:rPr/>
      </w:pPr>
      <w:r>
        <w:rPr/>
        <w:t xml:space="preserve">NOTE 2 </w:t>
        <w:tab/>
        <w:t>The OVERLAP_COMPOUND flag, described below, has a similar purpose in relation to composite glyphs. The same considerations described for the OVERLAP_SIMPLE flag also apply to the OVERLAP_COMPOUND flag.</w:t>
      </w:r>
    </w:p>
    <w:p>
      <w:pPr>
        <w:pStyle w:val="Heading5"/>
        <w:numPr>
          <w:ilvl w:val="0"/>
          <w:numId w:val="0"/>
        </w:numPr>
        <w:ind w:hanging="0" w:left="0"/>
        <w:rPr/>
      </w:pPr>
      <w:r>
        <w:rPr/>
        <w:t>[5.2.4.1.2] C</w:t>
      </w:r>
      <w:r>
        <w:rPr/>
        <w:t>omposite glyph descriptio</w:t>
      </w:r>
      <w:r>
        <w:rPr/>
        <w:t>n</w:t>
      </w:r>
    </w:p>
    <w:p>
      <w:pPr>
        <w:pStyle w:val="Normal"/>
        <w:rPr>
          <w:lang w:val="en-GB"/>
        </w:rPr>
      </w:pPr>
      <w:r>
        <w:rPr>
          <w:lang w:val="en-GB"/>
        </w:rPr>
        <w:t>If numberOfContours is negative, a composite glyph description is used.</w:t>
      </w:r>
    </w:p>
    <w:p>
      <w:pPr>
        <w:pStyle w:val="NOTE2"/>
        <w:spacing w:before="280" w:after="280"/>
        <w:rPr/>
      </w:pPr>
      <w:r>
        <w:rPr/>
        <w:t>NOTE 1</w:t>
        <w:tab/>
        <w:t>A numberOfContours value of -1 is recommended to indicate a composite glyph.</w:t>
      </w:r>
    </w:p>
    <w:p>
      <w:pPr>
        <w:pStyle w:val="Normal"/>
        <w:rPr>
          <w:lang w:val="en-GB"/>
        </w:rPr>
      </w:pPr>
      <w:r>
        <w:rPr>
          <w:lang w:val="en-GB"/>
        </w:rPr>
        <w:t>A composite , or compound, glyph describes an outline indirectly by referencing other glyphs that get incorporated into the composite glyph as components. This is useful when the same contours are needed for multiple glyphs as it provides consistency for contours that are repeated across multiple glyphs and can also provide significant size reduction.</w:t>
      </w:r>
    </w:p>
    <w:p>
      <w:pPr>
        <w:pStyle w:val="Normal"/>
        <w:rPr>
          <w:lang w:val="en-GB"/>
        </w:rPr>
      </w:pPr>
      <w:r>
        <w:rPr>
          <w:lang w:val="en-GB"/>
        </w:rPr>
        <w:t>To add clarity in explaining composite glyphs, the terms parent and child will be used, a composite glyph description being the parent, and the other glyphs referenced as components being the children.</w:t>
      </w:r>
    </w:p>
    <w:p>
      <w:pPr>
        <w:pStyle w:val="Normal"/>
        <w:rPr>
          <w:lang w:val="en-GB"/>
        </w:rPr>
      </w:pPr>
      <w:r>
        <w:rPr>
          <w:lang w:val="en-GB"/>
        </w:rPr>
        <w:t>Composite glyphs may be nested within other composite glyphs—that is, a composite glyph parent may include other composite glyphs as child components. Thus, a composite glyph description is a directed graph. This graph shall be acyclic, with every path through the graph leading to a simple glyph as a leaf node. The maxComponentDepth field in the 'maxp' table is set to indicate the maximum nesting depth across all composite glyphs in a font. There is no minimum nesting depth that must be supported. For fonts to be compatible with the widest range of implementations, nesting of composites should be avoided.</w:t>
      </w:r>
    </w:p>
    <w:p>
      <w:pPr>
        <w:pStyle w:val="NOTE2"/>
        <w:spacing w:before="280" w:after="280"/>
        <w:rPr/>
      </w:pPr>
      <w:r>
        <w:rPr/>
        <w:t>NOTE 2</w:t>
        <w:tab/>
        <w:t>Some PostScript devices (and possibly other implementations) do not correctly render glyphs that have nested composite descriptions. A composite glyph description that has nested composites can be flattened to reference only simple glyphs as child components. This can lose some benefits of de-duplication of information, but can still retain significant size-saving benefits as well as providing broader compatibility.</w:t>
      </w:r>
    </w:p>
    <w:p>
      <w:pPr>
        <w:pStyle w:val="Normal"/>
        <w:rPr>
          <w:lang w:val="en-GB"/>
        </w:rPr>
      </w:pPr>
      <w:r>
        <w:rPr>
          <w:lang w:val="en-GB"/>
        </w:rPr>
        <w:t>The data for a composite glyph description is comprised of a sequence of data blocks for each child component glyph. A flag within the data for each component is used to indicate if there are additional components in the sequence. The sequence is processed in the order given, with the contours from each child glyph incorporated into the parent. As the contours from a child are incorporated, its control points are renumbered to follow sequentially after all points previously incorporated into the parent.</w:t>
      </w:r>
    </w:p>
    <w:p>
      <w:pPr>
        <w:pStyle w:val="Normal"/>
        <w:rPr>
          <w:lang w:val="en-GB"/>
        </w:rPr>
      </w:pPr>
      <w:r>
        <w:rPr>
          <w:lang w:val="en-GB"/>
        </w:rPr>
        <w:t>Each glyph has an outline positioned within the font design grid based on the x and y coordinates of its control points. When incorporated as a child into a composite glyph, the parent can control placement of the child outline within the parent’s design grid. This can be done in two different ways: by specifying a vector offset added to (x, y) coordinates of the child’s control points, or by specifying one control point from the child’s outline that is aligned with a specified control point in the parent. The second mechanism assumes some outlines have already been incorporated into the parent, so cannot be used for the first component glyph.</w:t>
      </w:r>
    </w:p>
    <w:p>
      <w:pPr>
        <w:pStyle w:val="Normal"/>
        <w:rPr>
          <w:lang w:val="en-GB"/>
        </w:rPr>
      </w:pPr>
      <w:r>
        <w:rPr>
          <w:lang w:val="en-GB"/>
        </w:rPr>
        <w:t>The parent can also specify a scale or other affine transform to be applied to a child glyph as it is incorporated into the parent. The transform can affect an offset vector used to position the child glyph; see below for additional details.</w:t>
      </w:r>
    </w:p>
    <w:p>
      <w:pPr>
        <w:pStyle w:val="Normal"/>
        <w:rPr>
          <w:lang w:val="en-GB"/>
        </w:rPr>
      </w:pPr>
      <w:r>
        <w:rPr>
          <w:lang w:val="en-GB"/>
        </w:rPr>
        <w:t>Each component glyph can include instructions that apply to its outline. A parent composite glyph description can include instructions that apply to the composite as a whole, after instructions for each child have been performed. Instructions for the parent composite apply to the accumulated contour data from components with points renumbered, as described above.</w:t>
      </w:r>
    </w:p>
    <w:p>
      <w:pPr>
        <w:pStyle w:val="Normal"/>
        <w:rPr>
          <w:lang w:val="en-GB"/>
        </w:rPr>
      </w:pPr>
      <w:r>
        <w:rPr>
          <w:lang w:val="en-GB"/>
        </w:rPr>
        <w:t>Before each child is incorporated into the parent, it is processed, with phantom points defined and hinting instructions performed. Thus, if placement of the child is done by alignment of points, the child’s phantom points can be used for this alignment, and instructions in child glyphs that affected their points will already have been performed.</w:t>
      </w:r>
    </w:p>
    <w:p>
      <w:pPr>
        <w:pStyle w:val="Normal"/>
        <w:rPr>
          <w:lang w:val="en-GB"/>
        </w:rPr>
      </w:pPr>
      <w:r>
        <w:rPr>
          <w:lang w:val="en-GB"/>
        </w:rPr>
        <w:t>The data block for each child component starts with two uint16 values: a flags field, and a glyph ID. These are followed by two argument fields, though the size and interpretation of the arguments varies according to the flags that are set. Optional fields describing a transformation can follow the arguments, depending on the flags.</w:t>
      </w:r>
    </w:p>
    <w:p>
      <w:pPr>
        <w:pStyle w:val="NormalWeb"/>
        <w:keepNext w:val="true"/>
        <w:spacing w:before="280" w:after="120"/>
        <w:rPr/>
      </w:pPr>
      <w:r>
        <w:rPr>
          <w:rStyle w:val="Emphasis"/>
        </w:rPr>
        <w:t>Component glyph record</w:t>
      </w:r>
    </w:p>
    <w:tbl>
      <w:tblPr>
        <w:tblW w:w="9322" w:type="dxa"/>
        <w:jc w:val="left"/>
        <w:tblInd w:w="0" w:type="dxa"/>
        <w:tblLayout w:type="fixed"/>
        <w:tblCellMar>
          <w:top w:w="0" w:type="dxa"/>
          <w:left w:w="108" w:type="dxa"/>
          <w:bottom w:w="0" w:type="dxa"/>
          <w:right w:w="108" w:type="dxa"/>
        </w:tblCellMar>
      </w:tblPr>
      <w:tblGrid>
        <w:gridCol w:w="2659"/>
        <w:gridCol w:w="1465"/>
        <w:gridCol w:w="5198"/>
      </w:tblGrid>
      <w:tr>
        <w:trPr/>
        <w:tc>
          <w:tcPr>
            <w:tcW w:w="26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6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65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component 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r>
              <w:rPr>
                <w:shd w:fill="FFFF00" w:val="clear"/>
              </w:rPr>
              <w:t xml:space="preserve"> </w:t>
            </w:r>
            <w:r>
              <w:rPr>
                <w:shd w:fill="FFFF00" w:val="clear"/>
              </w:rPr>
              <w:t>or uint24</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glyphIndex</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glyph index of component, </w:t>
            </w:r>
            <w:r>
              <w:rPr/>
              <w:t xml:space="preserve">depending on the </w:t>
            </w:r>
            <w:r>
              <w:rPr>
                <w:shd w:fill="FFFF00" w:val="clear"/>
              </w:rPr>
              <w:t xml:space="preserve">GID_IS_24_BIT </w:t>
            </w:r>
            <w:r>
              <w:rPr>
                <w:shd w:fill="FFFF00" w:val="clear"/>
              </w:rPr>
              <w:t>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argument1</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x-offset for component or point number; type depends on bits 0 and 1 in component flags</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argument2</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y-offset for component or point number; type depends on bits 0 and 1 in component flags</w:t>
            </w:r>
          </w:p>
        </w:tc>
      </w:tr>
      <w:tr>
        <w:trPr/>
        <w:tc>
          <w:tcPr>
            <w:tcW w:w="265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[transform data]</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r>
          </w:p>
        </w:tc>
        <w:tc>
          <w:tcPr>
            <w:tcW w:w="51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optional transform data—see below</w:t>
            </w:r>
          </w:p>
        </w:tc>
      </w:tr>
    </w:tbl>
    <w:p>
      <w:pPr>
        <w:pStyle w:val="Normal"/>
        <w:spacing w:before="280" w:after="240"/>
        <w:rPr>
          <w:lang w:val="en-GB"/>
        </w:rPr>
      </w:pPr>
      <w:r>
        <w:rPr>
          <w:lang w:val="en-GB"/>
        </w:rPr>
        <w:t>The C pseudo-code fragment below shows how the sequence of composite glyph records is stored and parsed; definitions for the flag bits follow this fragment:</w:t>
      </w:r>
    </w:p>
    <w:p>
      <w:pPr>
        <w:pStyle w:val="Code"/>
        <w:ind w:left="403"/>
        <w:rPr>
          <w:lang w:val="en-GB"/>
        </w:rPr>
      </w:pPr>
      <w:r>
        <w:rPr>
          <w:lang w:val="en-GB"/>
        </w:rPr>
        <w:t>do {</w:t>
      </w:r>
    </w:p>
    <w:p>
      <w:pPr>
        <w:pStyle w:val="Code"/>
        <w:ind w:left="403"/>
        <w:rPr>
          <w:lang w:val="en-GB"/>
        </w:rPr>
      </w:pPr>
      <w:r>
        <w:rPr>
          <w:lang w:val="en-GB"/>
        </w:rPr>
        <w:tab/>
        <w:t>uint16 flags;</w:t>
      </w:r>
    </w:p>
    <w:p>
      <w:pPr>
        <w:pStyle w:val="Code"/>
        <w:ind w:left="403"/>
        <w:rPr>
          <w:lang w:val="en-GB"/>
        </w:rPr>
      </w:pPr>
      <w:r>
        <w:rPr>
          <w:lang w:val="en-GB"/>
        </w:rPr>
        <w:tab/>
      </w:r>
      <w:r>
        <w:rPr>
          <w:shd w:fill="FFFF00" w:val="clear"/>
          <w:lang w:val="en-GB"/>
        </w:rPr>
        <w:t>uint24</w:t>
      </w:r>
      <w:r>
        <w:rPr>
          <w:shd w:fill="FFFF00" w:val="clear"/>
          <w:lang w:val="en-GB"/>
        </w:rPr>
        <w:t xml:space="preserve"> glyphIndex;</w:t>
      </w:r>
    </w:p>
    <w:p>
      <w:pPr>
        <w:pStyle w:val="Code"/>
        <w:ind w:left="403"/>
        <w:rPr>
          <w:lang w:val="en-GB"/>
        </w:rPr>
      </w:pPr>
      <w:r>
        <w:rPr>
          <w:lang w:val="en-GB"/>
        </w:rPr>
        <w:tab/>
        <w:t>if ( flags &amp; ARG_1_AND_2_ARE_WORDS) {</w:t>
      </w:r>
    </w:p>
    <w:p>
      <w:pPr>
        <w:pStyle w:val="Code"/>
        <w:ind w:left="403"/>
        <w:rPr>
          <w:lang w:val="en-GB"/>
        </w:rPr>
      </w:pPr>
      <w:r>
        <w:rPr>
          <w:lang w:val="en-GB"/>
        </w:rPr>
        <w:tab/>
        <w:tab/>
        <w:t>(int16 or FWORD) argument1;</w:t>
      </w:r>
    </w:p>
    <w:p>
      <w:pPr>
        <w:pStyle w:val="Code"/>
        <w:ind w:left="403"/>
        <w:rPr>
          <w:lang w:val="en-GB"/>
        </w:rPr>
      </w:pPr>
      <w:r>
        <w:rPr>
          <w:lang w:val="en-GB"/>
        </w:rPr>
        <w:tab/>
        <w:tab/>
        <w:t>(int16 or FWORD) argument2;</w:t>
      </w:r>
    </w:p>
    <w:p>
      <w:pPr>
        <w:pStyle w:val="Code"/>
        <w:ind w:left="403"/>
        <w:rPr>
          <w:lang w:val="en-GB"/>
        </w:rPr>
      </w:pPr>
      <w:r>
        <w:rPr>
          <w:lang w:val="en-GB"/>
        </w:rPr>
        <w:tab/>
        <w:t>} else {</w:t>
      </w:r>
    </w:p>
    <w:p>
      <w:pPr>
        <w:pStyle w:val="Code"/>
        <w:ind w:left="403"/>
        <w:rPr>
          <w:lang w:val="en-GB"/>
        </w:rPr>
      </w:pPr>
      <w:r>
        <w:rPr>
          <w:lang w:val="en-GB"/>
        </w:rPr>
        <w:tab/>
        <w:tab/>
        <w:t>uint16 arg1and2; /* (arg1 &lt;&lt; 8) | arg2 */</w:t>
      </w:r>
    </w:p>
    <w:p>
      <w:pPr>
        <w:pStyle w:val="Code"/>
        <w:ind w:left="403"/>
        <w:rPr>
          <w:lang w:val="en-GB"/>
        </w:rPr>
      </w:pPr>
      <w:r>
        <w:rPr>
          <w:lang w:val="en-GB"/>
        </w:rPr>
        <w:tab/>
        <w:t>}</w:t>
      </w:r>
    </w:p>
    <w:p>
      <w:pPr>
        <w:pStyle w:val="Code"/>
        <w:ind w:left="403"/>
        <w:rPr>
          <w:lang w:val="en-GB"/>
        </w:rPr>
      </w:pPr>
      <w:r>
        <w:rPr>
          <w:lang w:val="en-GB"/>
        </w:rPr>
        <w:tab/>
        <w:t>if ( flags &amp; WE_HAVE_A_SCALE ) {</w:t>
      </w:r>
    </w:p>
    <w:p>
      <w:pPr>
        <w:pStyle w:val="Code"/>
        <w:ind w:left="403"/>
        <w:rPr>
          <w:lang w:val="en-GB"/>
        </w:rPr>
      </w:pPr>
      <w:r>
        <w:rPr>
          <w:lang w:val="en-GB"/>
        </w:rPr>
        <w:tab/>
        <w:tab/>
        <w:t>F2DOT14  scale;    /* Format 2.14 */</w:t>
      </w:r>
    </w:p>
    <w:p>
      <w:pPr>
        <w:pStyle w:val="Code"/>
        <w:ind w:left="403"/>
        <w:rPr>
          <w:lang w:val="en-GB"/>
        </w:rPr>
      </w:pPr>
      <w:r>
        <w:rPr>
          <w:lang w:val="en-GB"/>
        </w:rPr>
        <w:tab/>
        <w:t>} else if ( flags &amp; WE_HAVE_AN_X_AND_Y_SCALE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 else if ( flags &amp; WE_HAVE_A_TWO_BY_TWO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scale01;   /* Format 2.14 */</w:t>
      </w:r>
    </w:p>
    <w:p>
      <w:pPr>
        <w:pStyle w:val="Code"/>
        <w:ind w:left="403"/>
        <w:rPr>
          <w:lang w:val="fr-FR"/>
        </w:rPr>
      </w:pPr>
      <w:r>
        <w:rPr>
          <w:lang w:val="fr-FR"/>
        </w:rPr>
        <w:tab/>
        <w:tab/>
      </w:r>
      <w:r>
        <w:rPr>
          <w:lang w:val="en-GB"/>
        </w:rPr>
        <w:t>F2DOT14</w:t>
      </w:r>
      <w:r>
        <w:rPr>
          <w:lang w:val="fr-FR"/>
        </w:rPr>
        <w:t xml:space="preserve">  scale10;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w:t>
      </w:r>
    </w:p>
    <w:p>
      <w:pPr>
        <w:pStyle w:val="Code"/>
        <w:ind w:left="403"/>
        <w:rPr>
          <w:lang w:val="en-GB"/>
        </w:rPr>
      </w:pPr>
      <w:r>
        <w:rPr>
          <w:lang w:val="en-GB"/>
        </w:rPr>
        <w:t>} while ( flags &amp; MORE_COMPONENTS )</w:t>
      </w:r>
    </w:p>
    <w:p>
      <w:pPr>
        <w:pStyle w:val="Code"/>
        <w:ind w:left="403"/>
        <w:rPr>
          <w:lang w:val="en-GB"/>
        </w:rPr>
      </w:pPr>
      <w:r>
        <w:rPr>
          <w:lang w:val="en-GB"/>
        </w:rPr>
        <w:t>if (flags &amp; WE_HAVE_INSTRUCTIONS){</w:t>
      </w:r>
    </w:p>
    <w:p>
      <w:pPr>
        <w:pStyle w:val="Code"/>
        <w:ind w:left="403"/>
        <w:rPr>
          <w:lang w:val="en-GB"/>
        </w:rPr>
      </w:pPr>
      <w:r>
        <w:rPr>
          <w:lang w:val="en-GB"/>
        </w:rPr>
        <w:tab/>
        <w:t>uint16 numInstr</w:t>
      </w:r>
    </w:p>
    <w:p>
      <w:pPr>
        <w:pStyle w:val="Code"/>
        <w:ind w:left="403"/>
        <w:rPr>
          <w:lang w:val="en-GB"/>
        </w:rPr>
      </w:pPr>
      <w:r>
        <w:rPr>
          <w:lang w:val="en-GB"/>
        </w:rPr>
        <w:tab/>
        <w:t>uint8 instr[numInstr]</w:t>
      </w:r>
    </w:p>
    <w:p>
      <w:pPr>
        <w:pStyle w:val="Code"/>
        <w:ind w:left="403"/>
        <w:rPr>
          <w:lang w:val="en-GB"/>
        </w:rPr>
      </w:pPr>
      <w:r>
        <w:rPr>
          <w:lang w:val="en-GB"/>
        </w:rPr>
      </w:r>
    </w:p>
    <w:p>
      <w:pPr>
        <w:pStyle w:val="Normal"/>
        <w:rPr>
          <w:lang w:val="en-GB"/>
        </w:rPr>
      </w:pPr>
      <w:r>
        <w:rPr>
          <w:lang w:val="en-GB"/>
        </w:rPr>
        <w:t>The following composite glyph flags are defined:</w:t>
      </w:r>
    </w:p>
    <w:tbl>
      <w:tblPr>
        <w:tblW w:w="9464" w:type="dxa"/>
        <w:jc w:val="left"/>
        <w:tblInd w:w="0" w:type="dxa"/>
        <w:tblLayout w:type="fixed"/>
        <w:tblCellMar>
          <w:top w:w="0" w:type="dxa"/>
          <w:left w:w="108" w:type="dxa"/>
          <w:bottom w:w="0" w:type="dxa"/>
          <w:right w:w="108" w:type="dxa"/>
        </w:tblCellMar>
      </w:tblPr>
      <w:tblGrid>
        <w:gridCol w:w="1398"/>
        <w:gridCol w:w="3689"/>
        <w:gridCol w:w="4377"/>
      </w:tblGrid>
      <w:tr>
        <w:trPr/>
        <w:tc>
          <w:tcPr>
            <w:tcW w:w="13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6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Flags</w:t>
            </w:r>
          </w:p>
        </w:tc>
        <w:tc>
          <w:tcPr>
            <w:tcW w:w="43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9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0x0001</w:t>
            </w:r>
          </w:p>
        </w:tc>
        <w:tc>
          <w:tcPr>
            <w:tcW w:w="36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ARG_1_AND_2_ARE_WORDS</w:t>
            </w:r>
          </w:p>
        </w:tc>
        <w:tc>
          <w:tcPr>
            <w:tcW w:w="43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this is set, the arguments are 16-bit (uint16 or int16); otherwise, they are bytes (uint8 or int8).</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0x0002</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ARGS_ARE_XY_VALUES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this is set, the arguments are signed xy values; otherwise, they are unsigned point numbers.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0x0004</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ROUND_XY_TO_GRID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and ARGS_ARE_XY_VALUES is also set, the xy values are rounded to the nearest grid line.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0x0008</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This indicates that there is a simple scale for the component. Otherwise, scale = 1.0.</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0x0020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MORE_COMPONENTS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Indicates at least one more glyph after this one.</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0x0040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WE_HAVE_AN_X_AND_Y_SCALE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6: The x direction will use a different scale from the y direction.</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0x0080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WE_HAVE_A_TWO_BY_TWO</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7: There is a 2 by 2 transformation that will be used to scale the component.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0x0100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WE_HAVE_INSTRUCTIONS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8: Following the last component are instructions for the composite glyph.</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USE_MY_METRICS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9: If set, this forces the aw and lsb (and rsb) for the composite to be equal to those from this component glyph. This works for hinted and unhinted glyphs.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OVERLAP_COMPOUND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10: If set, the components of this compound glyph overlap. Use of this flag is not required in OFF—that is, component glyphs may overlap without having this flag set. It can affect behaviors in some platforms, however. (See Apple’s specification </w:t>
            </w:r>
            <w:r>
              <w:rPr>
                <w:vertAlign w:val="superscript"/>
              </w:rPr>
              <w:t>[7]</w:t>
            </w:r>
            <w:r>
              <w:rPr/>
              <w:t xml:space="preserve"> for details regarding behavior in Apple platforms.) When used, it shall be set on the flag word for the first component. See additional remarks, above, for the similar OVERLAP_SIMPLE flag used in simple-glyph descriptions.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11: The composite is designed to have the component offset scaled.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UNSCALED_COMPONENT_OFFSET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12: The composite is designed not to have the component offset scaled. Ignored if ARGS_ARE_XY_VALUES is not set.</w:t>
            </w:r>
          </w:p>
        </w:tc>
      </w:tr>
      <w:tr>
        <w:trPr/>
        <w:tc>
          <w:tcPr>
            <w:tcW w:w="1398" w:type="dxa"/>
            <w:tcBorders>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0x20</w:t>
            </w:r>
            <w:r>
              <w:rPr>
                <w:shd w:fill="FFFF00" w:val="clear"/>
              </w:rPr>
              <w:t>0</w:t>
            </w:r>
            <w:r>
              <w:rPr>
                <w:shd w:fill="FFFF00" w:val="clear"/>
              </w:rPr>
              <w:t>0</w:t>
            </w:r>
          </w:p>
        </w:tc>
        <w:tc>
          <w:tcPr>
            <w:tcW w:w="3689" w:type="dxa"/>
            <w:tcBorders>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GID_IS_24_BIT</w:t>
            </w:r>
          </w:p>
        </w:tc>
        <w:tc>
          <w:tcPr>
            <w:tcW w:w="4377" w:type="dxa"/>
            <w:tcBorders>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Bit 13: </w:t>
            </w:r>
            <w:r>
              <w:rPr>
                <w:shd w:fill="FFFF00" w:val="clear"/>
              </w:rPr>
              <w:t>Set to  allow encoding 24bit glyph indices in composite glyphs.</w:t>
            </w:r>
          </w:p>
        </w:tc>
      </w:tr>
      <w:tr>
        <w:trPr/>
        <w:tc>
          <w:tcPr>
            <w:tcW w:w="139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0x</w:t>
            </w:r>
            <w:r>
              <w:rPr>
                <w:shd w:fill="FFFF00" w:val="clear"/>
              </w:rPr>
              <w:t>C</w:t>
            </w:r>
            <w:r>
              <w:rPr>
                <w:shd w:fill="FFFF00" w:val="clear"/>
              </w:rPr>
              <w:t>010</w:t>
            </w:r>
          </w:p>
        </w:tc>
        <w:tc>
          <w:tcPr>
            <w:tcW w:w="36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RESERVED</w:t>
            </w:r>
          </w:p>
        </w:tc>
        <w:tc>
          <w:tcPr>
            <w:tcW w:w="43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Bits 4, 14 and 15 are reserve</w:t>
            </w:r>
            <w:r>
              <w:rPr>
                <w:shd w:fill="FFFF00" w:val="clear"/>
              </w:rPr>
              <w:t>d</w:t>
            </w:r>
            <w:r>
              <w:rPr>
                <w:shd w:fill="FFFF00" w:val="clear"/>
              </w:rPr>
              <w:t xml:space="preserve"> </w:t>
            </w:r>
            <w:r>
              <w:rPr>
                <w:shd w:fill="FFFF00" w:val="clear"/>
              </w:rPr>
              <w:t>and shall be</w:t>
            </w:r>
            <w:r>
              <w:rPr>
                <w:shd w:fill="FFFF00" w:val="clear"/>
              </w:rPr>
              <w:t xml:space="preserve"> set to 0.</w:t>
            </w:r>
          </w:p>
        </w:tc>
      </w:tr>
    </w:tbl>
    <w:p>
      <w:pPr>
        <w:pStyle w:val="FirstParagraph"/>
        <w:spacing w:before="280" w:after="240"/>
        <w:rPr>
          <w:lang w:val="en-GB"/>
        </w:rPr>
      </w:pPr>
      <w:r>
        <w:rPr>
          <w:lang w:val="en-GB"/>
        </w:rPr>
        <w:t>The argument1 and argument2 fields of the component glyph record are used to determine the placement of the child component glyph within the parent composite glyph. They are interpreted either as an offset vector or as points from the parent and the child, according to whether the ARGS_ARE_XY_VALUES flag is set. This flag must always be set for the first component of a composite glyph.</w:t>
      </w:r>
    </w:p>
    <w:p>
      <w:pPr>
        <w:pStyle w:val="Normal"/>
        <w:rPr>
          <w:lang w:val="en-GB"/>
        </w:rPr>
      </w:pPr>
      <w:r>
        <w:rPr>
          <w:lang w:val="en-GB"/>
        </w:rPr>
        <w:t>If ARGS_ARE_XY_VALUES is set, then argument1 and argument2 are interpreted as units in the design coordinate system and an offset vector (x, y) = (argument1, argument2) is added to the coordinates of each control point of the component glyph. In a variable font, the offset vector can be modified by deltas in the 'gvar' table; see 7.3.4.3 for details. If a scale or transform matrix is provided, the offset vector might or might not be subject to the transformation; see the discussion below of the SCALED_COMPONENT_OFFSET and UNSCALED_COMPONENT_OFFSET flags for details.</w:t>
      </w:r>
    </w:p>
    <w:p>
      <w:pPr>
        <w:pStyle w:val="Normal"/>
        <w:rPr>
          <w:lang w:val="en-GB"/>
        </w:rPr>
      </w:pPr>
      <w:r>
        <w:rPr>
          <w:lang w:val="en-GB"/>
        </w:rPr>
        <w:t>If ARGS_ARE_XY_VALUES is set and the ROUND_XY_TO_GRID flag is also set, the offset vector (after any transformation and variation deltas are applied) is grid-fitted, with the x and y values rounded to the nearest pixel grid line.</w:t>
      </w:r>
    </w:p>
    <w:p>
      <w:pPr>
        <w:pStyle w:val="Normal"/>
        <w:rPr>
          <w:lang w:val="en-GB"/>
        </w:rPr>
      </w:pPr>
      <w:r>
        <w:rPr>
          <w:lang w:val="en-GB"/>
        </w:rPr>
        <w:t>If ARGS_ARE_XY_VALUES is not set, then argument1 is a point number in the parent glyph (from contours incoporated and re-numbered from previous component glyphs); and argument2 is a point number (prior to re-numbering) from the child component glyph. Phantom points from the parent or the child may be referenced. The child component glyph is positioned within the parent glyph by aligning the two points. If a scale or transform matrix is provided, the transformation is applied to the child’s point before the points are aligned.</w:t>
      </w:r>
    </w:p>
    <w:p>
      <w:pPr>
        <w:pStyle w:val="Normal"/>
        <w:rPr>
          <w:lang w:val="en-GB"/>
        </w:rPr>
      </w:pPr>
      <w:r>
        <w:rPr>
          <w:lang w:val="en-GB"/>
        </w:rPr>
        <w:t>In a variable font, when a component is positioned by alignment of points, deltas are applied to component glyphs before this alignment is done. Any deltas specified for the parent composite glyph to be applied to components positioned by point alignment are ignored. See 7.3.4.3 for details.</w:t>
      </w:r>
    </w:p>
    <w:p>
      <w:pPr>
        <w:pStyle w:val="Normal"/>
        <w:rPr>
          <w:lang w:val="en-GB"/>
        </w:rPr>
      </w:pPr>
      <w:r>
        <w:rPr>
          <w:lang w:val="en-GB"/>
        </w:rPr>
        <w:t>The WE_HAVE_A_SCALE, WE_HAVE_AN_X_AND_Y_SCALE and WE_HAVE_A_TWO_BY_TWO flags are mutually exclusive: no more than one of these may be set. If WE_HAVE_A_SCALE is set, one additional F2DOT14 value is appended to the component glyph data; if WE_HAVE_AN_X_AND_Y_SCALE is set, two F2DOT14 values are appended; if WE_HAVE_A_TWO_BY_TWO, four F2DOT14 values are appended. The child component glyph is transformed as it is incorporated into the parent composite glyph, prior to grid-fitting of the parent. The transform can affect an offset vector used to position the child; see discussion below of the SCALED_COMPONENT_OFFSET and UNSCALED_COMPONENT_OFFSET flags for details.</w:t>
      </w:r>
    </w:p>
    <w:p>
      <w:pPr>
        <w:pStyle w:val="Normal"/>
        <w:rPr>
          <w:lang w:val="en-GB"/>
        </w:rPr>
      </w:pPr>
      <w:r>
        <w:rPr>
          <w:lang w:val="en-GB"/>
        </w:rPr>
        <w:t>The WE_HAVE_INSTRUCTIONS flag is used to indicate that the parent composite glyph has instructions, in addition to instructions for any of the child component glyphs. If the flag is set on any component glyph, then a uint16 value is read immediately after the last component glyph to get the byte length for instructions.</w:t>
      </w:r>
    </w:p>
    <w:p>
      <w:pPr>
        <w:pStyle w:val="Normal"/>
        <w:rPr>
          <w:lang w:val="en-GB"/>
        </w:rPr>
      </w:pPr>
      <w:r>
        <w:rPr>
          <w:lang w:val="en-GB"/>
        </w:rPr>
        <w:t>The purpose of USE_MY_METRICS is to force the lsb and rsb to take on values obtained from the component glyph. For example, an i-circumflex (U+00EF) is often composed of the circumflex and a dotless-i. In order to force the composite to have the same metrics as the dotless-i, set USE_MY_METRICS for the dotless-i component of the composite. Without this bit, the rsb and lsb would be calculated from the 'hmtx' entry for the composite (or would need to be explicitly set with TrueType instructions).</w:t>
      </w:r>
    </w:p>
    <w:p>
      <w:pPr>
        <w:pStyle w:val="Normal"/>
        <w:rPr/>
      </w:pPr>
      <w:r>
        <w:rPr/>
        <w:t>Note that the behavior of the USE_MY_METRICS operation is undefined for rotated component glyphs.</w:t>
      </w:r>
    </w:p>
    <w:p>
      <w:pPr>
        <w:pStyle w:val="Normal"/>
        <w:spacing w:before="0" w:after="280"/>
        <w:rPr/>
      </w:pPr>
      <w:r>
        <w:rPr/>
        <w:t>The SCALED_COMPONENT_OFFSET and UNSCALED_COMPONENT_OFFSET flags are used to determine how x and y offset values are to be interpreted when the component glyph is scaled. If the SCALED_COMPONENT_OFFSET flag is set, then the x and y offset values are deemed to be in the component glyph’s coordinate system, and the scale transformation is applied to both values. If the UNSCALED_COMPONENT_OFFSET flag is set, then the x and y offset values are deemed to be in the current glyph’s coordinate system, and the scale transformation is not applied to either value. If neither flag is set, then the rasterizer may apply a default behavior. On Microsoft and Apple platforms, the default behavior is the same as when the UNSCALED_COMPONENT_OFFSET flag is set; this behavior is recommended for all rasterizer implementations. If a font has both flags set, this is invalid; the rasterizer should use its default behavior for this case.</w:t>
      </w:r>
    </w:p>
    <w:p>
      <w:pPr>
        <w:pStyle w:val="Heading5"/>
        <w:numPr>
          <w:ilvl w:val="0"/>
          <w:numId w:val="0"/>
        </w:numPr>
        <w:ind w:hanging="0" w:left="0"/>
        <w:rPr/>
      </w:pPr>
      <w:r>
        <w:rPr/>
      </w:r>
    </w:p>
    <w:p>
      <w:pPr>
        <w:pStyle w:val="Heading4"/>
        <w:spacing w:before="280" w:after="240"/>
        <w:ind w:hanging="1080" w:left="1080" w:right="0"/>
        <w:rPr/>
      </w:pPr>
      <w:r>
        <w:rPr>
          <w:rStyle w:val="Emphasis"/>
          <w:i w:val="false"/>
          <w:iCs w:val="false"/>
        </w:rPr>
        <w:t xml:space="preserve">Comparing CFF2 with CFF and glyf </w:t>
      </w:r>
      <w:r>
        <w:rPr>
          <w:rStyle w:val="Emphasis"/>
          <w:i w:val="false"/>
          <w:iCs w:val="false"/>
        </w:rPr>
        <w:t>[5.3.3.13]</w:t>
      </w:r>
    </w:p>
    <w:p>
      <w:pPr>
        <w:pStyle w:val="Normal"/>
        <w:rPr/>
      </w:pPr>
      <w:r>
        <w:rPr/>
        <w:t xml:space="preserve">The </w:t>
      </w:r>
      <w:r>
        <w:rPr/>
        <w:t>tables</w:t>
      </w:r>
      <w:r>
        <w:rPr/>
        <w:t xml:space="preserve"> intended for storing monochrome glyph outlines in OFF fonts are the</w:t>
      </w:r>
      <w:r>
        <w:rPr>
          <w:shd w:fill="FFFF00" w:val="clear"/>
        </w:rPr>
        <w:t xml:space="preserve"> ‘</w:t>
      </w:r>
      <w:r>
        <w:rPr>
          <w:shd w:fill="FFFF00" w:val="clear"/>
        </w:rPr>
        <w:t>GLYF</w:t>
      </w:r>
      <w:r>
        <w:rPr>
          <w:shd w:fill="FFFF00" w:val="clear"/>
        </w:rPr>
        <w:t xml:space="preserve">’ </w:t>
      </w:r>
      <w:r>
        <w:rPr>
          <w:shd w:fill="FFFF00" w:val="clear"/>
        </w:rPr>
        <w:t>and</w:t>
      </w:r>
      <w:r>
        <w:rPr/>
        <w:t xml:space="preserve"> ‘glyf’ </w:t>
      </w:r>
      <w:r>
        <w:rPr/>
        <w:t>table</w:t>
      </w:r>
      <w:r>
        <w:rPr/>
        <w:t>s</w:t>
      </w:r>
      <w:r>
        <w:rPr/>
        <w:t xml:space="preserve"> (subclause 5.3.4), the CFF table (subclause 5.4.2), and the CFF2 table.</w:t>
      </w:r>
    </w:p>
    <w:p>
      <w:pPr>
        <w:pStyle w:val="Normal"/>
        <w:rPr/>
      </w:pPr>
      <w:r>
        <w:rPr/>
        <w:t xml:space="preserve">CFF2 and CFF use cubic (3rd order) Bézier curves to represent glyph outlines, whereas the ‘glyf’ table uses quadratic (2nd order) Bézier curves. </w:t>
      </w:r>
      <w:r>
        <w:rPr>
          <w:shd w:fill="FFFF00" w:val="clear"/>
        </w:rPr>
        <w:t>The ‘GLYF’ table supports a mixture of quadratic and cubic Bézier curves.</w:t>
      </w:r>
    </w:p>
    <w:p>
      <w:pPr>
        <w:pStyle w:val="Normal"/>
        <w:rPr/>
      </w:pPr>
      <w:r>
        <w:rPr/>
        <w:t>CFF2 and CFF also use a different conceptual model for “hints” than the ‘</w:t>
      </w:r>
      <w:r>
        <w:rPr/>
        <w:t>GLYF</w:t>
      </w:r>
      <w:r>
        <w:rPr/>
        <w:t xml:space="preserve">’ </w:t>
      </w:r>
      <w:r>
        <w:rPr/>
        <w:t>and ‘glyf’</w:t>
      </w:r>
      <w:r>
        <w:rPr/>
        <w:t>table</w:t>
      </w:r>
      <w:r>
        <w:rPr/>
        <w:t>s</w:t>
      </w:r>
      <w:r>
        <w:rPr/>
        <w:t>. The tables also differ in relation to support of variations and in how variation data is stored.</w:t>
      </w:r>
    </w:p>
    <w:p>
      <w:pPr>
        <w:pStyle w:val="Normal"/>
        <w:rPr/>
      </w:pPr>
      <w:r>
        <w:rPr/>
        <w:t xml:space="preserve">The following table provides a summary comparison of the ‘CFF2’, ‘CFF’, </w:t>
      </w:r>
      <w:r>
        <w:rPr>
          <w:shd w:fill="FFFF00" w:val="clear"/>
        </w:rPr>
        <w:t>‘</w:t>
      </w:r>
      <w:r>
        <w:rPr>
          <w:shd w:fill="FFFF00" w:val="clear"/>
        </w:rPr>
        <w:t>GLYF’</w:t>
      </w:r>
      <w:r>
        <w:rPr/>
        <w:t xml:space="preserve"> ‘glyf’ tables. Note that some of these differences might not be exposed in high-level font editing software or in runtime programming interfaces.</w:t>
      </w:r>
    </w:p>
    <w:tbl>
      <w:tblPr>
        <w:tblW w:w="9162" w:type="dxa"/>
        <w:jc w:val="left"/>
        <w:tblInd w:w="0" w:type="dxa"/>
        <w:tblLayout w:type="fixed"/>
        <w:tblCellMar>
          <w:top w:w="0" w:type="dxa"/>
          <w:left w:w="108" w:type="dxa"/>
          <w:bottom w:w="0" w:type="dxa"/>
          <w:right w:w="108" w:type="dxa"/>
        </w:tblCellMar>
      </w:tblPr>
      <w:tblGrid>
        <w:gridCol w:w="1419"/>
        <w:gridCol w:w="1885"/>
        <w:gridCol w:w="1977"/>
        <w:gridCol w:w="1906"/>
        <w:gridCol w:w="1975"/>
      </w:tblGrid>
      <w:tr>
        <w:trPr/>
        <w:tc>
          <w:tcPr>
            <w:tcW w:w="141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Consideration</w:t>
            </w:r>
          </w:p>
        </w:tc>
        <w:tc>
          <w:tcPr>
            <w:tcW w:w="1885" w:type="dxa"/>
            <w:tcBorders>
              <w:top w:val="single" w:sz="12" w:space="0" w:color="000000"/>
              <w:left w:val="single" w:sz="12" w:space="0" w:color="000000"/>
              <w:bottom w:val="single" w:sz="12" w:space="0" w:color="000000"/>
            </w:tcBorders>
          </w:tcPr>
          <w:p>
            <w:pPr>
              <w:pStyle w:val="TableHeader"/>
              <w:widowControl w:val="false"/>
              <w:spacing w:before="60" w:after="120"/>
              <w:rPr>
                <w:shd w:fill="FFFF00" w:val="clear"/>
              </w:rPr>
            </w:pPr>
            <w:r>
              <w:rPr>
                <w:shd w:fill="FFFF00" w:val="clear"/>
              </w:rPr>
              <w:t>GLYF</w:t>
            </w:r>
          </w:p>
        </w:tc>
        <w:tc>
          <w:tcPr>
            <w:tcW w:w="19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glyf</w:t>
            </w:r>
          </w:p>
        </w:tc>
        <w:tc>
          <w:tcPr>
            <w:tcW w:w="19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w:t>
            </w:r>
          </w:p>
        </w:tc>
        <w:tc>
          <w:tcPr>
            <w:tcW w:w="197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CFF2</w:t>
            </w:r>
          </w:p>
        </w:tc>
      </w:tr>
      <w:tr>
        <w:trPr/>
        <w:tc>
          <w:tcPr>
            <w:tcW w:w="141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curves</w:t>
            </w:r>
          </w:p>
        </w:tc>
        <w:tc>
          <w:tcPr>
            <w:tcW w:w="1885" w:type="dxa"/>
            <w:tcBorders>
              <w:top w:val="single" w:sz="12" w:space="0" w:color="000000"/>
              <w:left w:val="single" w:sz="6" w:space="0" w:color="000000"/>
              <w:bottom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quadratic (2nd order) and cubic (3rd order)</w:t>
            </w:r>
          </w:p>
        </w:tc>
        <w:tc>
          <w:tcPr>
            <w:tcW w:w="19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quadratic (2nd order)</w:t>
            </w:r>
          </w:p>
        </w:tc>
        <w:tc>
          <w:tcPr>
            <w:tcW w:w="19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cubic (3rd order)</w:t>
            </w:r>
          </w:p>
        </w:tc>
        <w:tc>
          <w:tcPr>
            <w:tcW w:w="197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cubic (3rd order)</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coordinate precision</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rFonts w:eastAsia="Times New Roman"/>
              </w:rPr>
              <w:t>1 FUnit</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1/65536 FUnit</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hinting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TrueType instructions move outline points by controlled amounts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alignment zones apply to all glyphs, stem locations are declared in each glyph</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decoding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not stack-based (except TrueType instructions)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mostly stack-based</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Font variations</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yes: outline variation data is stored in ‘gvar’ (subclause 7.3.4); hint variation data is stored in ‘cvar’ (subclause 7.3.2)</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yes: variation data for outlines and hints is stored within the CFF2 table</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data redundancy</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low</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moderate</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low</w:t>
            </w:r>
          </w:p>
        </w:tc>
      </w:tr>
      <w:tr>
        <w:trPr/>
        <w:tc>
          <w:tcPr>
            <w:tcW w:w="141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rFonts w:eastAsia="Times New Roman"/>
              </w:rPr>
            </w:pPr>
            <w:r>
              <w:rPr/>
              <w:t>overlapping contours</w:t>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yes</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rFonts w:eastAsia="Times New Roman"/>
              </w:rPr>
            </w:pPr>
            <w:r>
              <w:rPr/>
              <w:t>yes</w:t>
            </w:r>
          </w:p>
        </w:tc>
      </w:tr>
      <w:tr>
        <w:trPr/>
        <w:tc>
          <w:tcPr>
            <w:tcW w:w="1419" w:type="dxa"/>
            <w:tcBorders>
              <w:left w:val="single" w:sz="12" w:space="0" w:color="000000"/>
              <w:bottom w:val="single" w:sz="12" w:space="0" w:color="000000"/>
              <w:right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v</w:t>
            </w:r>
            <w:r>
              <w:rPr>
                <w:rFonts w:eastAsia="Times New Roman"/>
                <w:shd w:fill="FFFF00" w:val="clear"/>
              </w:rPr>
              <w:t>ariable components</w:t>
            </w:r>
          </w:p>
        </w:tc>
        <w:tc>
          <w:tcPr>
            <w:tcW w:w="1885" w:type="dxa"/>
            <w:tcBorders>
              <w:left w:val="single" w:sz="6" w:space="0" w:color="000000"/>
              <w:bottom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yes</w:t>
            </w:r>
          </w:p>
        </w:tc>
        <w:tc>
          <w:tcPr>
            <w:tcW w:w="1977" w:type="dxa"/>
            <w:tcBorders>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rFonts w:eastAsia="Times New Roman"/>
              </w:rPr>
              <w:t>no</w:t>
            </w:r>
          </w:p>
        </w:tc>
        <w:tc>
          <w:tcPr>
            <w:tcW w:w="3881" w:type="dxa"/>
            <w:gridSpan w:val="2"/>
            <w:tcBorders>
              <w:left w:val="single" w:sz="6" w:space="0" w:color="000000"/>
              <w:bottom w:val="single" w:sz="12" w:space="0" w:color="000000"/>
              <w:right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no</w:t>
            </w:r>
          </w:p>
        </w:tc>
      </w:tr>
    </w:tbl>
    <w:p>
      <w:pPr>
        <w:pStyle w:val="Normal"/>
        <w:rPr>
          <w:lang w:val="en-GB"/>
        </w:rPr>
      </w:pPr>
      <w:r>
        <w:rPr>
          <w:lang w:val="en-GB"/>
        </w:rPr>
      </w:r>
    </w:p>
    <w:p>
      <w:pPr>
        <w:pStyle w:val="Heading1"/>
        <w:rPr/>
      </w:pPr>
      <w:bookmarkStart w:id="17" w:name="__RefHeading___Toc125563_1712311476"/>
      <w:bookmarkStart w:id="18" w:name="_loca_–_Index"/>
      <w:bookmarkEnd w:id="17"/>
      <w:bookmarkEnd w:id="18"/>
      <w:r>
        <w:rPr/>
        <w:t>LOCA</w:t>
      </w:r>
      <w:bookmarkStart w:id="19" w:name="_Toc534817024"/>
      <w:bookmarkStart w:id="20" w:name="_Toc113348392"/>
      <w:bookmarkStart w:id="21" w:name="_Toc521662488"/>
      <w:bookmarkStart w:id="22" w:name="_Toc224979118"/>
      <w:bookmarkStart w:id="23" w:name="_Toc518658242"/>
      <w:bookmarkStart w:id="24" w:name="_Toc133507319"/>
      <w:bookmarkStart w:id="25" w:name="_Toc113087988"/>
      <w:r>
        <w:rPr/>
        <w:t>—Index to location</w:t>
      </w:r>
      <w:bookmarkEnd w:id="19"/>
      <w:bookmarkEnd w:id="20"/>
      <w:bookmarkEnd w:id="21"/>
      <w:bookmarkEnd w:id="22"/>
      <w:bookmarkEnd w:id="23"/>
      <w:bookmarkEnd w:id="24"/>
      <w:bookmarkEnd w:id="25"/>
      <w:r>
        <w:rPr/>
        <w:t xml:space="preserve"> </w:t>
      </w:r>
      <w:r>
        <w:rPr/>
        <w:t>[new table inserted before 5.2.5 ‘loca’]</w:t>
      </w:r>
    </w:p>
    <w:p>
      <w:pPr>
        <w:pStyle w:val="BodyText"/>
        <w:rPr>
          <w:shd w:fill="FFFF00" w:val="clear"/>
        </w:rPr>
      </w:pPr>
      <w:r>
        <w:rPr>
          <w:shd w:fill="FFFF00" w:val="clear"/>
          <w:lang w:val="en-GB"/>
        </w:rPr>
        <w:t xml:space="preserve">The index to location table </w:t>
      </w:r>
      <w:r>
        <w:rPr>
          <w:shd w:fill="FFFF00" w:val="clear"/>
          <w:lang w:val="en-GB"/>
        </w:rPr>
        <w:t xml:space="preserve">(LOCA) </w:t>
      </w:r>
      <w:r>
        <w:rPr>
          <w:shd w:fill="FFFF00" w:val="clear"/>
          <w:lang w:val="en-GB"/>
        </w:rPr>
        <w:t xml:space="preserve">provides a mapping from glyph indices to offsets, which are the </w:t>
      </w:r>
      <w:r>
        <w:rPr>
          <w:shd w:fill="FFFF00" w:val="clear"/>
          <w:lang w:val="en-GB"/>
        </w:rPr>
        <w:t xml:space="preserve">byte </w:t>
      </w:r>
      <w:r>
        <w:rPr>
          <w:shd w:fill="FFFF00" w:val="clear"/>
          <w:lang w:val="en-GB"/>
        </w:rPr>
        <w:t>locations of TrueType glyph descriptions in the '</w:t>
      </w:r>
      <w:r>
        <w:rPr>
          <w:shd w:fill="FFFF00" w:val="clear"/>
          <w:lang w:val="en-GB"/>
        </w:rPr>
        <w:t>GLYF</w:t>
      </w:r>
      <w:r>
        <w:rPr>
          <w:shd w:fill="FFFF00" w:val="clear"/>
          <w:lang w:val="en-GB"/>
        </w:rPr>
        <w:t>' table, relative to the beginning of that table (“local” offsets). In order to compute the length of the last glyph description, after the entry pointing to the last valid glyph description, there is a final entry that points to the end of the glyph data.</w:t>
      </w:r>
      <w:r>
        <w:rPr>
          <w:shd w:fill="FFFF00" w:val="clear"/>
          <w:lang w:val="en-GB"/>
        </w:rPr>
        <w:t xml:space="preserve"> </w:t>
      </w:r>
    </w:p>
    <w:p>
      <w:pPr>
        <w:pStyle w:val="BodyText"/>
        <w:rPr>
          <w:shd w:fill="FFFF00" w:val="clear"/>
        </w:rPr>
      </w:pPr>
      <w:r>
        <w:rPr>
          <w:shd w:fill="FFFF00" w:val="clear"/>
        </w:rPr>
        <w:t>The ‘L</w:t>
      </w:r>
      <w:r>
        <w:rPr>
          <w:shd w:fill="FFFF00" w:val="clear"/>
        </w:rPr>
        <w:t xml:space="preserve">OCA’ </w:t>
      </w:r>
      <w:r>
        <w:rPr>
          <w:shd w:fill="FFFF00" w:val="clear"/>
        </w:rPr>
        <w:t>table</w:t>
      </w:r>
      <w:r>
        <w:rPr>
          <w:shd w:fill="FFFF00" w:val="clear"/>
        </w:rPr>
        <w:t xml:space="preserve"> is same as ‘loca’ </w:t>
      </w:r>
      <w:r>
        <w:rPr>
          <w:shd w:fill="FFFF00" w:val="clear"/>
        </w:rPr>
        <w:t xml:space="preserve">defined in the next section, </w:t>
      </w:r>
      <w:r>
        <w:rPr>
          <w:shd w:fill="FFFF00" w:val="clear"/>
        </w:rPr>
        <w:t xml:space="preserve">except how size is determined, </w:t>
      </w:r>
      <w:r>
        <w:rPr>
          <w:shd w:fill="FFFF00" w:val="clear"/>
        </w:rPr>
        <w:t xml:space="preserve">and that in practice it can be longer. </w:t>
      </w:r>
      <w:r>
        <w:rPr>
          <w:shd w:fill="FFFF00" w:val="clear"/>
        </w:rPr>
        <w:t>Entries in the ‘loca’ table point into the ‘glyf’ table; entries in the ‘LOCA’ table point into the ‘GLYF’ table.</w:t>
      </w:r>
    </w:p>
    <w:p>
      <w:pPr>
        <w:pStyle w:val="BodyText"/>
        <w:rPr>
          <w:shd w:fill="FFFF00" w:val="clear"/>
        </w:rPr>
      </w:pPr>
      <w:r>
        <w:rPr>
          <w:shd w:fill="FFFF00" w:val="clear"/>
        </w:rPr>
        <w:t>If both ‘LOCA’ and ‘loca’ tables are present, the ‘loca’ table shall be ignored. The ‘loca’ table is used by older software that cannot process ‘LOCA’.</w:t>
      </w:r>
    </w:p>
    <w:p>
      <w:pPr>
        <w:pStyle w:val="Normal"/>
        <w:rPr>
          <w:shd w:fill="FFFF00" w:val="clear"/>
        </w:rPr>
      </w:pPr>
      <w:r>
        <w:rPr>
          <w:shd w:fill="FFFF00" w:val="clear"/>
        </w:rPr>
        <w:t xml:space="preserve">The </w:t>
      </w:r>
      <w:r>
        <w:rPr>
          <w:shd w:fill="FFFF00" w:val="clear"/>
        </w:rPr>
        <w:t>number</w:t>
      </w:r>
      <w:r>
        <w:rPr>
          <w:shd w:fill="FFFF00" w:val="clear"/>
        </w:rPr>
        <w:t xml:space="preserve"> of </w:t>
      </w:r>
      <w:r>
        <w:rPr>
          <w:shd w:fill="FFFF00" w:val="clear"/>
        </w:rPr>
        <w:t xml:space="preserve">entries in </w:t>
      </w:r>
      <w:r>
        <w:rPr>
          <w:shd w:fill="FFFF00" w:val="clear"/>
        </w:rPr>
        <w:t xml:space="preserve">LOCA is determined </w:t>
      </w:r>
      <w:r>
        <w:rPr>
          <w:shd w:fill="FFFF00" w:val="clear"/>
        </w:rPr>
        <w:t xml:space="preserve">by dividing the </w:t>
      </w:r>
      <w:r>
        <w:rPr>
          <w:shd w:fill="FFFF00" w:val="clear"/>
        </w:rPr>
        <w:t>size in bytes</w:t>
      </w:r>
      <w:r>
        <w:rPr>
          <w:shd w:fill="FFFF00" w:val="clear"/>
        </w:rPr>
        <w:t xml:space="preserve"> of the LOCA table by two or by fou</w:t>
      </w:r>
      <w:r>
        <w:rPr>
          <w:shd w:fill="FFFF00" w:val="clear"/>
        </w:rPr>
        <w:t>r</w:t>
      </w:r>
      <w:r>
        <w:rPr>
          <w:shd w:fill="FFFF00" w:val="clear"/>
        </w:rPr>
        <w:t>, depending on the IndexToLocFormat in the font header:</w:t>
      </w:r>
    </w:p>
    <w:p>
      <w:pPr>
        <w:pStyle w:val="Normal"/>
        <w:numPr>
          <w:ilvl w:val="0"/>
          <w:numId w:val="19"/>
        </w:numPr>
        <w:rPr>
          <w:shd w:fill="FFFF00" w:val="clear"/>
        </w:rPr>
      </w:pPr>
      <w:r>
        <w:rPr>
          <w:shd w:fill="FFFF00" w:val="clear"/>
        </w:rPr>
        <w:t xml:space="preserve">For a Format 0 ‘loca’ </w:t>
      </w:r>
      <w:r>
        <w:rPr>
          <w:shd w:fill="FFFF00" w:val="clear"/>
        </w:rPr>
        <w:t>or ‘LOCA’</w:t>
      </w:r>
      <w:r>
        <w:rPr>
          <w:shd w:fill="FFFF00" w:val="clear"/>
        </w:rPr>
        <w:t xml:space="preserve"> table (</w:t>
      </w:r>
      <w:r>
        <w:rPr>
          <w:i/>
          <w:iCs/>
          <w:shd w:fill="FFFF00" w:val="clear"/>
        </w:rPr>
        <w:t xml:space="preserve">head.indexToLocFormat </w:t>
      </w:r>
      <w:r>
        <w:rPr>
          <w:shd w:fill="FFFF00" w:val="clear"/>
        </w:rPr>
        <w:t xml:space="preserve">= 0), the number of </w:t>
      </w:r>
      <w:r>
        <w:rPr>
          <w:shd w:fill="FFFF00" w:val="clear"/>
        </w:rPr>
        <w:t>entries is determined by</w:t>
      </w:r>
      <w:r>
        <w:rPr>
          <w:shd w:fill="FFFF00" w:val="clear"/>
        </w:rPr>
        <w:t xml:space="preserve"> the length of the table divided by 2.</w:t>
      </w:r>
    </w:p>
    <w:p>
      <w:pPr>
        <w:pStyle w:val="Normal"/>
        <w:numPr>
          <w:ilvl w:val="0"/>
          <w:numId w:val="19"/>
        </w:numPr>
        <w:rPr>
          <w:shd w:fill="FFFF00" w:val="clear"/>
        </w:rPr>
      </w:pPr>
      <w:r>
        <w:rPr>
          <w:shd w:fill="FFFF00" w:val="clear"/>
        </w:rPr>
        <w:t>F</w:t>
      </w:r>
      <w:r>
        <w:rPr>
          <w:shd w:fill="FFFF00" w:val="clear"/>
        </w:rPr>
        <w:t xml:space="preserve">or a Format 1 `loca` </w:t>
      </w:r>
      <w:r>
        <w:rPr>
          <w:shd w:fill="FFFF00" w:val="clear"/>
        </w:rPr>
        <w:t xml:space="preserve">or ‘LOCA’ </w:t>
      </w:r>
      <w:r>
        <w:rPr>
          <w:shd w:fill="FFFF00" w:val="clear"/>
        </w:rPr>
        <w:t>table (</w:t>
      </w:r>
      <w:r>
        <w:rPr>
          <w:i/>
          <w:iCs/>
          <w:shd w:fill="FFFF00" w:val="clear"/>
        </w:rPr>
        <w:t xml:space="preserve">head.indexToLocFormat </w:t>
      </w:r>
      <w:r>
        <w:rPr>
          <w:shd w:fill="FFFF00" w:val="clear"/>
        </w:rPr>
        <w:t xml:space="preserve">= 1), the number of </w:t>
      </w:r>
      <w:r>
        <w:rPr>
          <w:shd w:fill="FFFF00" w:val="clear"/>
        </w:rPr>
        <w:t>entries is determined by</w:t>
      </w:r>
      <w:r>
        <w:rPr>
          <w:shd w:fill="FFFF00" w:val="clear"/>
        </w:rPr>
        <w:t xml:space="preserve"> length of the table divided by 4.</w:t>
      </w:r>
    </w:p>
    <w:p>
      <w:pPr>
        <w:pStyle w:val="NOTE2"/>
        <w:rPr>
          <w:shd w:fill="FFFF00" w:val="clear"/>
        </w:rPr>
      </w:pPr>
      <w:r>
        <w:rPr>
          <w:shd w:fill="FFFF00" w:val="clear"/>
        </w:rPr>
        <w:t>NOTE:</w:t>
        <w:tab/>
        <w:t>S</w:t>
      </w:r>
      <w:r>
        <w:rPr>
          <w:shd w:fill="FFFF00" w:val="clear"/>
        </w:rPr>
        <w:t>ince the format of both ‘</w:t>
      </w:r>
      <w:r>
        <w:rPr>
          <w:shd w:fill="FFFF00" w:val="clear"/>
        </w:rPr>
        <w:t xml:space="preserve">LOCA’ and ‘loca’ </w:t>
      </w:r>
      <w:r>
        <w:rPr>
          <w:shd w:fill="FFFF00" w:val="clear"/>
        </w:rPr>
        <w:t xml:space="preserve">is determined by the value of </w:t>
      </w:r>
      <w:r>
        <w:rPr>
          <w:i/>
          <w:iCs/>
          <w:shd w:fill="FFFF00" w:val="clear"/>
        </w:rPr>
        <w:t>IndexToLocFormat</w:t>
      </w:r>
      <w:r>
        <w:rPr>
          <w:shd w:fill="FFFF00" w:val="clear"/>
        </w:rPr>
        <w:t xml:space="preserve"> in the font header,</w:t>
      </w:r>
      <w:r>
        <w:rPr>
          <w:shd w:fill="FFFF00" w:val="clear"/>
        </w:rPr>
        <w:t xml:space="preserve"> if both </w:t>
      </w:r>
      <w:r>
        <w:rPr>
          <w:shd w:fill="FFFF00" w:val="clear"/>
        </w:rPr>
        <w:t xml:space="preserve">tables </w:t>
      </w:r>
      <w:r>
        <w:rPr>
          <w:shd w:fill="FFFF00" w:val="clear"/>
        </w:rPr>
        <w:t xml:space="preserve">are present </w:t>
      </w:r>
      <w:r>
        <w:rPr>
          <w:shd w:fill="FFFF00" w:val="clear"/>
        </w:rPr>
        <w:t>they must</w:t>
      </w:r>
      <w:r>
        <w:rPr>
          <w:shd w:fill="FFFF00" w:val="clear"/>
        </w:rPr>
        <w:t xml:space="preserve"> be in the same format </w:t>
      </w:r>
      <w:r>
        <w:rPr>
          <w:shd w:fill="FFFF00" w:val="clear"/>
        </w:rPr>
        <w:t>as each other</w:t>
      </w:r>
      <w:r>
        <w:rPr>
          <w:shd w:fill="FFFF00" w:val="clear"/>
        </w:rPr>
        <w:t>.</w:t>
      </w:r>
    </w:p>
    <w:p>
      <w:pPr>
        <w:pStyle w:val="Normal"/>
        <w:rPr>
          <w:lang w:val="en-GB"/>
        </w:rPr>
      </w:pPr>
      <w:r>
        <w:rPr>
          <w:lang w:val="en-GB"/>
        </w:rPr>
        <w:t>The table is an array of n offsets, where n is the number of glyphs in the font plus one. There are two formats for the array that use different sizes for the offsets, as described below. The format used is determined by the indexToLocFormat field in the 'head' table (5.1.3).</w:t>
      </w:r>
    </w:p>
    <w:p>
      <w:pPr>
        <w:pStyle w:val="NOTE2"/>
        <w:rPr/>
      </w:pPr>
      <w:r>
        <w:rPr>
          <w:lang w:val="en-GB"/>
        </w:rPr>
        <w:t>NOTE:</w:t>
        <w:tab/>
        <w:t>With the ‘loca’ table, t</w:t>
      </w:r>
      <w:r>
        <w:rPr>
          <w:lang w:val="en-GB"/>
        </w:rPr>
        <w:t xml:space="preserve">he total size of the array must equal the size of the offsets times the value of the numGlyphs field in the 'maxp' table (5.1.6) plus one. </w:t>
      </w:r>
      <w:r>
        <w:rPr>
          <w:lang w:val="en-GB"/>
        </w:rPr>
        <w:t>This does not apply to ‘GLYF’.</w:t>
      </w:r>
    </w:p>
    <w:p>
      <w:pPr>
        <w:pStyle w:val="Normal"/>
        <w:rPr/>
      </w:pPr>
      <w:r>
        <w:rPr>
          <w:lang w:val="en-GB"/>
        </w:rPr>
        <w:t>Offsets must be two-byte aligned and must be in ascending order, with loca[n] &lt;= loca[n+1].</w:t>
      </w:r>
      <w:r>
        <w:rPr/>
        <w:t xml:space="preserve">By definition, glyph index zero points to the "missing character", which is the glyph that appears if a character is not found in the font. The missing character is commonly represented by a blank box or a space. If the font does not contain an outline for the missing character glyph, then the first and second offsets should have the same value. This also applies to any other glyphs without an outline, such as the space character: if a glyph has no outline, then loca[n] = loca[n+1]. </w:t>
      </w:r>
    </w:p>
    <w:p>
      <w:pPr>
        <w:pStyle w:val="Normal"/>
        <w:rPr>
          <w:lang w:val="en-GB"/>
        </w:rPr>
      </w:pPr>
      <w:r>
        <w:rPr>
          <w:lang w:val="en-GB"/>
        </w:rPr>
        <w:t>There are two formats of this table: the short format, and the long format. The format is specified in the indexToLocFormat entry in the 'head' table.</w:t>
      </w:r>
    </w:p>
    <w:p>
      <w:pPr>
        <w:pStyle w:val="NormalWeb"/>
        <w:spacing w:before="240" w:after="120"/>
        <w:rPr/>
      </w:pPr>
      <w:r>
        <w:rPr>
          <w:rStyle w:val="Emphasis"/>
        </w:rPr>
        <w:t>Short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local offset divided by 2 is stored.</w:t>
            </w:r>
          </w:p>
        </w:tc>
      </w:tr>
    </w:tbl>
    <w:p>
      <w:pPr>
        <w:pStyle w:val="NormalWeb"/>
        <w:spacing w:before="240" w:after="120"/>
        <w:rPr/>
      </w:pPr>
      <w:r>
        <w:rPr>
          <w:rStyle w:val="Emphasis"/>
        </w:rPr>
        <w:t>Long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rHeight w:val="474" w:hRule="atLeast"/>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rHeight w:val="682" w:hRule="atLeast"/>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actual local offset is stored.</w:t>
            </w:r>
          </w:p>
        </w:tc>
      </w:tr>
    </w:tbl>
    <w:p>
      <w:pPr>
        <w:pStyle w:val="NormalWeb"/>
        <w:rPr/>
      </w:pPr>
      <w:r>
        <w:rPr/>
      </w:r>
    </w:p>
    <w:p>
      <w:pPr>
        <w:pStyle w:val="Heading1"/>
        <w:rPr/>
      </w:pPr>
      <w:bookmarkStart w:id="26" w:name="__RefHeading___Toc117695_1712311476"/>
      <w:bookmarkEnd w:id="26"/>
      <w:r>
        <w:rPr/>
        <w:t>GVAR</w:t>
      </w:r>
      <w:r>
        <w:rPr/>
        <w:t xml:space="preserve">—Glyph variations table </w:t>
      </w:r>
      <w:r>
        <w:rPr/>
        <w:t xml:space="preserve">(a new table </w:t>
      </w:r>
      <w:r>
        <w:rPr/>
        <w:t>based on ‘gvar’</w:t>
      </w:r>
      <w:r>
        <w:rPr/>
        <w:t xml:space="preserve">) </w:t>
      </w:r>
      <w:r>
        <w:rPr/>
        <w:t xml:space="preserve">[7.3.4.1.1] </w:t>
      </w:r>
    </w:p>
    <w:p>
      <w:pPr>
        <w:pStyle w:val="Normal"/>
        <w:spacing w:before="280" w:after="240"/>
        <w:rPr>
          <w:lang w:val="en-GB"/>
        </w:rPr>
      </w:pPr>
      <w:bookmarkStart w:id="27" w:name="docs-internal-guid-d5ce28a2-7fff-712e-32"/>
      <w:bookmarkEnd w:id="27"/>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is comprised of a header followed by GlyphVariationData subtables for each glyph that describe the ways that each glyph is transformed across the font’s variation space.</w:t>
      </w:r>
    </w:p>
    <w:p>
      <w:pPr>
        <w:pStyle w:val="Normal"/>
        <w:rPr>
          <w:lang w:val="en-GB"/>
        </w:rPr>
      </w:pPr>
      <w:r>
        <w:rPr>
          <w:lang w:val="en-GB"/>
        </w:rPr>
        <w:t>Each glyph variation data table includes sets of data that reference various regions within the font’s variation space. Each region is defined using one or three tuple records, with a “peak” tuple record required. In many cases, a region referenced by one glyph will also be referenced by many other glyphs. As an optimization, the 'gvar' table allows for a shared set of tuple records that can be referenced by the tuple variation store data for any glyph.</w:t>
      </w:r>
    </w:p>
    <w:p>
      <w:pPr>
        <w:pStyle w:val="Normal"/>
        <w:rPr>
          <w:lang w:val="en-GB"/>
        </w:rPr>
      </w:pPr>
      <w:r>
        <w:rPr>
          <w:lang w:val="en-GB"/>
        </w:rPr>
        <w:t>The high-level structure of the 'gvar' table is as follows:</w:t>
      </w:r>
    </w:p>
    <w:p>
      <w:pPr>
        <w:pStyle w:val="NormalWeb"/>
        <w:spacing w:before="0" w:after="280"/>
        <w:jc w:val="center"/>
        <w:rPr/>
      </w:pPr>
      <w:r>
        <w:rPr/>
        <mc:AlternateContent>
          <mc:Choice Requires="wps">
            <w:drawing>
              <wp:inline distT="0" distB="0" distL="0" distR="0">
                <wp:extent cx="3564255" cy="1828800"/>
                <wp:effectExtent l="0" t="0" r="0" b="0"/>
                <wp:docPr id="1" name="Picture 15"/>
                <a:graphic xmlns:a="http://schemas.openxmlformats.org/drawingml/2006/main">
                  <a:graphicData uri="http://schemas.openxmlformats.org/drawingml/2006/picture">
                    <pic:pic xmlns:pic="http://schemas.openxmlformats.org/drawingml/2006/picture">
                      <pic:nvPicPr>
                        <pic:cNvPr id="2" name="Picture 15" descr=""/>
                        <pic:cNvPicPr/>
                      </pic:nvPicPr>
                      <pic:blipFill>
                        <a:blip r:embed="rId2"/>
                        <a:stretch/>
                      </pic:blipFill>
                      <pic:spPr>
                        <a:xfrm>
                          <a:off x="0" y="0"/>
                          <a:ext cx="3564360" cy="1828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5" stroked="f" o:allowincell="f" style="position:absolute;margin-left:0pt;margin-top:-144.05pt;width:280.6pt;height:143.95pt;mso-wrap-style:none;v-text-anchor:middle;mso-position-vertical:top" type="_x0000_t75">
                <v:imagedata r:id="rId3" o:detectmouseclick="t"/>
                <v:stroke color="#3465a4" joinstyle="round" endcap="flat"/>
                <w10:wrap type="none"/>
              </v:shape>
            </w:pict>
          </mc:Fallback>
        </mc:AlternateContent>
      </w:r>
    </w:p>
    <w:p>
      <w:pPr>
        <w:pStyle w:val="Figurecaption"/>
        <w:rPr/>
      </w:pPr>
      <w:r>
        <w:rPr/>
        <w:t>Figure 7.8: High-level organization of 'gvar' table</w:t>
      </w:r>
    </w:p>
    <w:p>
      <w:pPr>
        <w:pStyle w:val="Normal"/>
        <w:rPr/>
      </w:pPr>
      <w:r>
        <w:rPr/>
        <w:t>The header includes offsets to the start of the shared tuples data, and to the start of the glyph variation data tables.</w:t>
      </w:r>
    </w:p>
    <w:p>
      <w:pPr>
        <w:pStyle w:val="Normal"/>
        <w:rPr/>
      </w:pPr>
      <w:r>
        <w:rPr>
          <w:rFonts w:ascii="Cambria;serif" w:hAnsi="Cambria;serif"/>
          <w:b w:val="false"/>
          <w:i w:val="false"/>
          <w:caps w:val="false"/>
          <w:smallCaps w:val="false"/>
          <w:strike w:val="false"/>
          <w:dstrike w:val="false"/>
          <w:color w:val="000000"/>
          <w:sz w:val="22"/>
          <w:u w:val="none"/>
          <w:effect w:val="none"/>
          <w:shd w:fill="auto" w:val="clear"/>
          <w:lang w:val="en-GB"/>
        </w:rPr>
        <w:t xml:space="preserve">Each glyph variation data table provides variation data for a particular glyph. These are variable in size. For this reason, the header also includes an array of offsets for each glyph variation data table from the start of the glyph variation data table array. There is one offset corresponding to each glyph ID, plus one extra offset. (Note that the same scheme is also used in the </w:t>
      </w:r>
      <w:hyperlink w:anchor="_loca_–_Index">
        <w:r>
          <w:rPr>
            <w:rStyle w:val="Hyperlink"/>
            <w:rFonts w:ascii="Cambria;serif" w:hAnsi="Cambria;serif"/>
            <w:b w:val="false"/>
            <w:i w:val="false"/>
            <w:caps w:val="false"/>
            <w:smallCaps w:val="false"/>
            <w:strike w:val="false"/>
            <w:dstrike w:val="false"/>
            <w:sz w:val="22"/>
            <w:effect w:val="none"/>
            <w:shd w:fill="auto" w:val="clear"/>
            <w:lang w:val="en-GB"/>
          </w:rPr>
          <w:t>index to location (‘loca’) table</w:t>
        </w:r>
      </w:hyperlink>
      <w:r>
        <w:rPr>
          <w:rFonts w:ascii="Cambria;serif" w:hAnsi="Cambria;serif"/>
          <w:b w:val="false"/>
          <w:i w:val="false"/>
          <w:caps w:val="false"/>
          <w:smallCaps w:val="false"/>
          <w:strike w:val="false"/>
          <w:dstrike w:val="false"/>
          <w:color w:val="000000"/>
          <w:sz w:val="22"/>
          <w:u w:val="none"/>
          <w:effect w:val="none"/>
          <w:shd w:fill="auto" w:val="clear"/>
          <w:lang w:val="en-GB"/>
        </w:rPr>
        <w:t>.) The difference between two consecutive offsets in the array indicates the size of a given table, with an extra offset in the array to indicate the size of the last table. Some sizes derived in this way may be zero, in which case there is no glyph variation data for that particular glyph, and the same outline is used for that glyph ID across the entire variation space.</w:t>
      </w:r>
    </w:p>
    <w:p>
      <w:pPr>
        <w:pStyle w:val="Heading5"/>
        <w:spacing w:before="280" w:after="240"/>
        <w:ind w:hanging="1080" w:left="1080"/>
        <w:rPr/>
      </w:pPr>
      <w:r>
        <w:rPr/>
        <w:t>'</w:t>
      </w:r>
      <w:r>
        <w:rPr/>
        <w:t>GVAR</w:t>
      </w:r>
      <w:r>
        <w:rPr/>
        <w:t xml:space="preserve">' header </w:t>
      </w:r>
      <w:r>
        <w:rPr/>
        <w:t>[7.3.4.1.1]</w:t>
      </w:r>
    </w:p>
    <w:p>
      <w:pPr>
        <w:pStyle w:val="Normal"/>
        <w:rPr>
          <w:lang w:val="en-GB"/>
        </w:rPr>
      </w:pPr>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header format is as follows:</w:t>
      </w:r>
    </w:p>
    <w:p>
      <w:pPr>
        <w:pStyle w:val="Normal"/>
        <w:rPr/>
      </w:pPr>
      <w:r>
        <w:rPr>
          <w:rStyle w:val="Emphasis"/>
        </w:rPr>
        <w:t>‘</w:t>
      </w:r>
      <w:r>
        <w:rPr>
          <w:rStyle w:val="Emphasis"/>
        </w:rPr>
        <w:t>GVAR</w:t>
      </w:r>
      <w:r>
        <w:rPr>
          <w:rStyle w:val="Emphasis"/>
        </w:rPr>
        <w:t>’ header</w:t>
      </w:r>
    </w:p>
    <w:tbl>
      <w:tblPr>
        <w:tblW w:w="9616" w:type="dxa"/>
        <w:jc w:val="left"/>
        <w:tblInd w:w="0" w:type="dxa"/>
        <w:tblLayout w:type="fixed"/>
        <w:tblCellMar>
          <w:top w:w="0" w:type="dxa"/>
          <w:left w:w="108" w:type="dxa"/>
          <w:bottom w:w="0" w:type="dxa"/>
          <w:right w:w="108" w:type="dxa"/>
        </w:tblCellMar>
      </w:tblPr>
      <w:tblGrid>
        <w:gridCol w:w="1210"/>
        <w:gridCol w:w="3213"/>
        <w:gridCol w:w="5193"/>
      </w:tblGrid>
      <w:tr>
        <w:trPr/>
        <w:tc>
          <w:tcPr>
            <w:tcW w:w="12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21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glyph variations table – set to 1.</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glyph variations table – set to 0.</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axisCount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number of variation axes for this font. </w:t>
            </w:r>
            <w:r>
              <w:rPr>
                <w:shd w:fill="FF00FF" w:val="clear"/>
              </w:rPr>
              <w:t xml:space="preserve">If the ‘fvar’ table is present, axisCount </w:t>
            </w:r>
            <w:r>
              <w:rPr>
                <w:shd w:fill="FF00FF" w:val="clear"/>
              </w:rPr>
              <w:t>must be the same number as axisCount in the 'fvar'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number of shared tuple records. Shared tuple records can be referenced within glyph variation data tables for multiple glyphs, as opposed to other tuple records stored directly within a glyph variation data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sharedTuplesOffset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shared tuple records.</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The number of glyphs in </w:t>
            </w:r>
            <w:r>
              <w:rPr>
                <w:shd w:fill="FFFF00" w:val="clear"/>
              </w:rPr>
              <w:t>the GLYF table that have variation data.</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Bit-field that gives the format of the offset array that follows. If bit 1 is clear, the offsets are uint16; if bit 1 is set, the offsets are uint32.</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glyphVariationDataArrayOffset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array of GlyphVariationData tables.</w:t>
            </w:r>
          </w:p>
        </w:tc>
      </w:tr>
      <w:tr>
        <w:trPr/>
        <w:tc>
          <w:tcPr>
            <w:tcW w:w="121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 or Offset32</w:t>
            </w:r>
          </w:p>
        </w:tc>
        <w:tc>
          <w:tcPr>
            <w:tcW w:w="32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glyphVariationDataOffsets</w:t>
              <w:br/>
              <w:t>[glyphCount + 1]</w:t>
            </w:r>
          </w:p>
        </w:tc>
        <w:tc>
          <w:tcPr>
            <w:tcW w:w="51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Offsets from the start of the GlyphVariationData array to each GlyphVariationData table. </w:t>
            </w:r>
          </w:p>
        </w:tc>
      </w:tr>
    </w:tbl>
    <w:p>
      <w:pPr>
        <w:pStyle w:val="Normal"/>
        <w:spacing w:before="280" w:after="240"/>
        <w:rPr>
          <w:lang w:val="en-GB"/>
        </w:rPr>
      </w:pPr>
      <w:r>
        <w:rPr>
          <w:lang w:val="en-GB"/>
        </w:rPr>
        <w:t>If the short format (</w:t>
      </w:r>
      <w:r>
        <w:rPr/>
        <w:t>Offset16</w:t>
      </w:r>
      <w:r>
        <w:rPr>
          <w:lang w:val="en-GB"/>
        </w:rPr>
        <w:t>) is used for offsets, the value stored is the offset divided by 2. Hence, the actual offset for the location of the GlyphVariationData table within the font will be the value stored in the offsets array multiplied by 2.</w:t>
      </w:r>
    </w:p>
    <w:p>
      <w:pPr>
        <w:pStyle w:val="NOTE2"/>
        <w:rPr/>
      </w:pPr>
      <w:r>
        <w:rPr>
          <w:lang w:val="en-GB"/>
        </w:rPr>
        <w:t>NOTE</w:t>
        <w:tab/>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T</w:t>
      </w:r>
      <w:r>
        <w:rPr>
          <w:rFonts w:ascii="Cambria;serif" w:hAnsi="Cambria;serif"/>
          <w:b w:val="false"/>
          <w:i w:val="false"/>
          <w:caps w:val="false"/>
          <w:smallCaps w:val="false"/>
          <w:strike w:val="false"/>
          <w:dstrike w:val="false"/>
          <w:color w:val="000000"/>
          <w:sz w:val="22"/>
          <w:u w:val="none"/>
          <w:effect w:val="none"/>
          <w:shd w:fill="FFFF00" w:val="clear"/>
          <w:lang w:val="en-GB"/>
        </w:rPr>
        <w:t>he only differen</w:t>
      </w:r>
      <w:r>
        <w:rPr>
          <w:rFonts w:ascii="Cambria;serif" w:hAnsi="Cambria;serif"/>
          <w:b w:val="false"/>
          <w:i w:val="false"/>
          <w:caps w:val="false"/>
          <w:smallCaps w:val="false"/>
          <w:strike w:val="false"/>
          <w:dstrike w:val="false"/>
          <w:color w:val="000000"/>
          <w:sz w:val="22"/>
          <w:u w:val="none"/>
          <w:effect w:val="none"/>
          <w:shd w:fill="FFFF00" w:val="clear"/>
          <w:lang w:val="en-GB"/>
        </w:rPr>
        <w:t>ce</w:t>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between GVAR and gvar is that glyphCount is a uint32 in GVAR, not a uint16.</w:t>
      </w:r>
    </w:p>
    <w:p>
      <w:pPr>
        <w:pStyle w:val="Normal"/>
        <w:spacing w:before="280" w:after="240"/>
        <w:rPr>
          <w:shd w:fill="FFFF00" w:val="clear"/>
          <w:lang w:val="en-GB"/>
        </w:rPr>
      </w:pPr>
      <w:r>
        <w:rPr>
          <w:shd w:fill="FFFF00" w:val="clear"/>
          <w:lang w:val="en-GB"/>
        </w:rPr>
        <w:t>[Remainder of GVAR section is identical to the rest of gvar]</w:t>
      </w:r>
    </w:p>
    <w:p>
      <w:pPr>
        <w:pStyle w:val="Heading1"/>
        <w:rPr/>
      </w:pPr>
      <w:bookmarkStart w:id="28" w:name="__RefHeading___Toc117697_1712311476"/>
      <w:bookmarkEnd w:id="28"/>
      <w:r>
        <w:rPr/>
        <w:t xml:space="preserve">cmap—Character to glyph index mapping table </w:t>
      </w:r>
      <w:r>
        <w:rPr/>
        <w:t>[</w:t>
      </w:r>
      <w:r>
        <w:rPr/>
        <w:t>5.1.2</w:t>
      </w:r>
      <w:r>
        <w:rPr/>
        <w:t xml:space="preserve">] </w:t>
      </w:r>
    </w:p>
    <w:p>
      <w:pPr>
        <w:pStyle w:val="Heading4"/>
        <w:spacing w:before="280" w:after="240"/>
        <w:ind w:hanging="1080" w:left="1080" w:right="0"/>
        <w:rPr/>
      </w:pPr>
      <w:r>
        <w:rPr/>
        <w:t xml:space="preserve">Table overview </w:t>
      </w:r>
      <w:r>
        <w:rPr/>
        <w:t>[5.1.2.1]</w:t>
      </w:r>
    </w:p>
    <w:p>
      <w:pPr>
        <w:pStyle w:val="Normal"/>
        <w:rPr>
          <w:lang w:val="en-GB"/>
        </w:rPr>
      </w:pPr>
      <w:r>
        <w:rPr>
          <w:lang w:val="en-GB"/>
        </w:rPr>
        <w:t>This table defines the mapping of character codes to a default glyph index. Different subtables may be defined that each contain mappings for different character encoding schemes. The table header indicates the character encodings for which subtables are present.</w:t>
      </w:r>
    </w:p>
    <w:p>
      <w:pPr>
        <w:pStyle w:val="Normal"/>
        <w:rPr>
          <w:lang w:val="en-GB"/>
        </w:rPr>
      </w:pPr>
      <w:r>
        <w:rPr>
          <w:lang w:val="en-GB"/>
        </w:rPr>
        <w:t>Regardless of the encoding scheme, character codes that do not correspond to any glyph in the font should be mapped to glyph index 0. The glyph at this location must be a special glyph representing a missing character, commonly known as .notdef.</w:t>
      </w:r>
    </w:p>
    <w:p>
      <w:pPr>
        <w:pStyle w:val="Normal"/>
        <w:rPr>
          <w:lang w:val="en-GB"/>
        </w:rPr>
      </w:pPr>
      <w:r>
        <w:rPr>
          <w:lang w:val="en-GB"/>
        </w:rPr>
        <w:t>Each subtable is in one of seven possible formats and begins with a format field indicating the format used. The first four formats — formats 0, 2, 4 and 6 — were originally defined prior to Unicode 2.0. These formats allow for 8-bit single-byte, 8-bit multi-byte, and 16-bit encodings. With the introduction of supplementary planes in Unicode 2.0, the Unicode addressable code space extends beyond 16 bits. To accommodate this, three additional formats were added — formats 8, 10 and 12 — that allow for 32-bit encoding schemes.</w:t>
      </w:r>
    </w:p>
    <w:p>
      <w:pPr>
        <w:pStyle w:val="Normal"/>
        <w:rPr>
          <w:lang w:val="en-GB"/>
        </w:rPr>
      </w:pPr>
      <w:r>
        <w:rPr>
          <w:lang w:val="en-GB"/>
        </w:rPr>
        <w:t>Other enhancements in Unicode led to the addition of other subtable formats. Subtable format 13 allows for an efficient mapping of many characters to a single glyph; this is useful for “last-resort” fonts that provide fallback rendering for all possible Unicode characters with a distinct fallback glyph for different Unicode ranges. Subtable format 14 provides a unified mechanism for supporting Unicode variation sequences</w:t>
      </w:r>
      <w:r>
        <w:rPr>
          <w:shd w:fill="FFFF00" w:val="clear"/>
          <w:lang w:val="en-GB"/>
        </w:rPr>
        <w:t xml:space="preserve">. </w:t>
      </w:r>
      <w:r>
        <w:rPr>
          <w:shd w:fill="FFFF00" w:val="clear"/>
          <w:lang w:val="en-GB"/>
        </w:rPr>
        <w:t>Subtable format 1</w:t>
      </w:r>
      <w:r>
        <w:rPr>
          <w:shd w:fill="FFFF00" w:val="clear"/>
          <w:lang w:val="en-GB"/>
        </w:rPr>
        <w:t>5</w:t>
      </w:r>
      <w:r>
        <w:rPr>
          <w:shd w:fill="FFFF00" w:val="clear"/>
          <w:lang w:val="en-GB"/>
        </w:rPr>
        <w:t xml:space="preserve"> was added to allow more than 65535 glyphs in a font; it is similar to format 14 but uses 24-bit glyph indices.</w:t>
      </w:r>
    </w:p>
    <w:p>
      <w:pPr>
        <w:pStyle w:val="Normal"/>
        <w:rPr>
          <w:lang w:val="en-GB"/>
        </w:rPr>
      </w:pPr>
      <w:r>
        <w:rPr>
          <w:lang w:val="en-GB"/>
        </w:rPr>
        <w:t xml:space="preserve">Of the available formats, not all are commonly used today. Formats 4, 12, </w:t>
      </w:r>
      <w:r>
        <w:rPr>
          <w:lang w:val="en-GB"/>
        </w:rPr>
        <w:t>and 16</w:t>
      </w:r>
      <w:r>
        <w:rPr>
          <w:lang w:val="en-GB"/>
        </w:rPr>
        <w:t xml:space="preserve"> are appropriate for most new fonts, depending on the Unicode character repertoire supported. Format 14 is used in many applications for support of Unicode variation sequences. </w:t>
      </w:r>
      <w:r>
        <w:rPr>
          <w:shd w:fill="FFFF00" w:val="clear"/>
          <w:lang w:val="en-GB"/>
        </w:rPr>
        <w:t>Format 1</w:t>
      </w:r>
      <w:r>
        <w:rPr>
          <w:shd w:fill="FFFF00" w:val="clear"/>
          <w:lang w:val="en-GB"/>
        </w:rPr>
        <w:t>5</w:t>
      </w:r>
      <w:r>
        <w:rPr>
          <w:shd w:fill="FFFF00" w:val="clear"/>
          <w:lang w:val="en-GB"/>
        </w:rPr>
        <w:t xml:space="preserve"> is needed for larger fonts.</w:t>
      </w:r>
      <w:r>
        <w:rPr>
          <w:lang w:val="en-GB"/>
        </w:rPr>
        <w:t xml:space="preserve"> </w:t>
      </w:r>
      <w:r>
        <w:rPr>
          <w:lang w:val="en-GB"/>
        </w:rPr>
        <w:t>Some platforms also make use for format 13 for a last-resort fallback font. Other subtable formats are not recommended for use in new fonts. Application developers, however, should anticipate that any of the formats may be used in fonts.</w:t>
      </w:r>
    </w:p>
    <w:p>
      <w:pPr>
        <w:pStyle w:val="NormalWeb"/>
        <w:spacing w:before="280" w:after="280"/>
        <w:ind w:hanging="720" w:left="720" w:right="0"/>
        <w:rPr>
          <w:rFonts w:ascii="Cambria" w:hAnsi="Cambria" w:cs="Arial"/>
          <w:sz w:val="22"/>
          <w:szCs w:val="22"/>
          <w:lang w:val="en-GB"/>
        </w:rPr>
      </w:pPr>
      <w:r>
        <w:rPr>
          <w:rFonts w:cs="Arial" w:ascii="Cambria" w:hAnsi="Cambria"/>
          <w:sz w:val="22"/>
          <w:szCs w:val="22"/>
          <w:lang w:val="en-GB"/>
        </w:rPr>
        <w:t>NOTE</w:t>
        <w:tab/>
        <w:t>The 'cmap' table version number remains at 0x0000 for fonts that make use of the newer subtable formats.</w:t>
      </w:r>
    </w:p>
    <w:p>
      <w:pPr>
        <w:pStyle w:val="Heading4"/>
        <w:spacing w:before="280" w:after="240"/>
        <w:ind w:hanging="1080" w:left="1080"/>
        <w:rPr/>
      </w:pPr>
      <w:r>
        <w:rPr>
          <w:rStyle w:val="Strong"/>
          <w:rFonts w:cs="Arial"/>
          <w:b/>
          <w:lang w:val="en-GB"/>
        </w:rPr>
        <w:t xml:space="preserve">'cmap' Header </w:t>
      </w:r>
      <w:r>
        <w:rPr>
          <w:rStyle w:val="Strong"/>
          <w:rFonts w:cs="Arial"/>
          <w:b/>
          <w:lang w:val="en-GB"/>
        </w:rPr>
        <w:t>[5.1.2.2]</w:t>
      </w:r>
    </w:p>
    <w:p>
      <w:pPr>
        <w:pStyle w:val="NormalWeb"/>
        <w:rPr/>
      </w:pPr>
      <w:r>
        <w:rPr/>
        <w:t xml:space="preserve">This section is unchanged. </w:t>
      </w:r>
      <w:r>
        <w:rPr/>
        <w:t>A new sub-section, 5.1.2.5.11, is added after 5.1.2.5.10 Format 14: Unicode variation sequences:</w:t>
      </w:r>
    </w:p>
    <w:p>
      <w:pPr>
        <w:pStyle w:val="Heading3"/>
        <w:ind w:hanging="0" w:left="0"/>
        <w:rPr>
          <w:shd w:fill="FFFF00" w:val="clear"/>
        </w:rPr>
      </w:pPr>
      <w:r>
        <w:rPr>
          <w:rFonts w:cs="Arial" w:ascii="Cambria" w:hAnsi="Cambria"/>
          <w:sz w:val="22"/>
          <w:szCs w:val="22"/>
          <w:shd w:fill="FFFF00" w:val="clear"/>
          <w:lang w:val="en-GB"/>
        </w:rPr>
        <w:t xml:space="preserve">[5.1.2.5.11] </w:t>
      </w:r>
      <w:r>
        <w:rPr>
          <w:rFonts w:cs="Arial" w:ascii="Cambria" w:hAnsi="Cambria"/>
          <w:sz w:val="22"/>
          <w:szCs w:val="22"/>
          <w:shd w:fill="FFFF00" w:val="clear"/>
          <w:lang w:val="en-GB"/>
        </w:rPr>
        <w:t>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w:t>
      </w:r>
      <w:r>
        <w:rPr>
          <w:rFonts w:cs="Arial" w:ascii="Cambria" w:hAnsi="Cambria"/>
          <w:sz w:val="22"/>
          <w:szCs w:val="22"/>
          <w:shd w:fill="FFFF00" w:val="clear"/>
          <w:lang w:val="en-GB"/>
        </w:rPr>
        <w:t>24-bit CMAP table</w:t>
      </w:r>
    </w:p>
    <w:p>
      <w:pPr>
        <w:pStyle w:val="BodyText"/>
        <w:rPr>
          <w:shd w:fill="FFFF00" w:val="clear"/>
        </w:rPr>
      </w:pPr>
      <w:r>
        <w:rPr>
          <w:rFonts w:cs="Arial" w:ascii="Cambria" w:hAnsi="Cambria"/>
          <w:sz w:val="22"/>
          <w:szCs w:val="22"/>
          <w:shd w:fill="FFFF00" w:val="clear"/>
          <w:lang w:val="en-GB"/>
        </w:rPr>
        <w:t>Subtable 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is the same as subtable format 14, except that it uses 24-bit index values </w:t>
      </w:r>
      <w:r>
        <w:rPr>
          <w:rFonts w:cs="Arial" w:ascii="Cambria" w:hAnsi="Cambria"/>
          <w:sz w:val="22"/>
          <w:szCs w:val="22"/>
          <w:shd w:fill="FFFF00" w:val="clear"/>
          <w:lang w:val="en-GB"/>
        </w:rPr>
        <w:t>in the UVSMapping Records:</w:t>
      </w:r>
    </w:p>
    <w:p>
      <w:pPr>
        <w:pStyle w:val="BodyText"/>
        <w:spacing w:before="280" w:after="240"/>
        <w:rPr/>
      </w:pPr>
      <w:r>
        <w:rPr>
          <w:rStyle w:val="Emphasis"/>
          <w:shd w:fill="FFFF00" w:val="clear"/>
        </w:rPr>
        <w:t>UVSMapping</w:t>
      </w:r>
      <w:r>
        <w:rPr>
          <w:rStyle w:val="Emphasis"/>
          <w:shd w:fill="FFFF00" w:val="clear"/>
        </w:rPr>
        <w:t>24</w:t>
      </w:r>
      <w:r>
        <w:rPr>
          <w:rStyle w:val="Emphasis"/>
          <w:shd w:fill="FFFF00" w:val="clear"/>
        </w:rPr>
        <w:t xml:space="preserve"> Record:</w:t>
      </w:r>
    </w:p>
    <w:tbl>
      <w:tblPr>
        <w:tblW w:w="9322" w:type="dxa"/>
        <w:jc w:val="left"/>
        <w:tblInd w:w="0" w:type="dxa"/>
        <w:tblLayout w:type="fixed"/>
        <w:tblCellMar>
          <w:top w:w="0" w:type="dxa"/>
          <w:left w:w="108" w:type="dxa"/>
          <w:bottom w:w="0" w:type="dxa"/>
          <w:right w:w="108" w:type="dxa"/>
        </w:tblCellMar>
      </w:tblPr>
      <w:tblGrid>
        <w:gridCol w:w="1640"/>
        <w:gridCol w:w="3477"/>
        <w:gridCol w:w="4205"/>
      </w:tblGrid>
      <w:tr>
        <w:trPr/>
        <w:tc>
          <w:tcPr>
            <w:tcW w:w="164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Type</w:t>
            </w:r>
          </w:p>
        </w:tc>
        <w:tc>
          <w:tcPr>
            <w:tcW w:w="34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Name</w:t>
            </w:r>
          </w:p>
        </w:tc>
        <w:tc>
          <w:tcPr>
            <w:tcW w:w="420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Description</w:t>
            </w:r>
          </w:p>
        </w:tc>
      </w:tr>
      <w:tr>
        <w:trPr/>
        <w:tc>
          <w:tcPr>
            <w:tcW w:w="164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uint24 </w:t>
            </w:r>
          </w:p>
        </w:tc>
        <w:tc>
          <w:tcPr>
            <w:tcW w:w="34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unicodeValue </w:t>
            </w:r>
          </w:p>
        </w:tc>
        <w:tc>
          <w:tcPr>
            <w:tcW w:w="420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Base Unicode value of the UVS </w:t>
            </w:r>
          </w:p>
        </w:tc>
      </w:tr>
      <w:tr>
        <w:trPr/>
        <w:tc>
          <w:tcPr>
            <w:tcW w:w="164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uint24</w:t>
            </w:r>
            <w:r>
              <w:rPr>
                <w:shd w:fill="FFFF00" w:val="clear"/>
              </w:rPr>
              <w:t xml:space="preserve"> </w:t>
            </w:r>
          </w:p>
        </w:tc>
        <w:tc>
          <w:tcPr>
            <w:tcW w:w="3477"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 xml:space="preserve">glyphID </w:t>
            </w:r>
          </w:p>
        </w:tc>
        <w:tc>
          <w:tcPr>
            <w:tcW w:w="420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shd w:fill="FFFF00" w:val="clear"/>
              </w:rPr>
            </w:pPr>
            <w:r>
              <w:rPr>
                <w:shd w:fill="FFFF00" w:val="clear"/>
              </w:rPr>
              <w:t xml:space="preserve">Glyph ID of the UVS </w:t>
            </w:r>
          </w:p>
        </w:tc>
      </w:tr>
    </w:tbl>
    <w:p>
      <w:pPr>
        <w:pStyle w:val="Normal"/>
        <w:spacing w:before="280" w:after="240"/>
        <w:rPr>
          <w:rFonts w:ascii="Cambria" w:hAnsi="Cambria" w:cs="Arial"/>
          <w:sz w:val="22"/>
          <w:szCs w:val="22"/>
          <w:shd w:fill="FFFF00" w:val="clear"/>
          <w:lang w:val="en-GB"/>
        </w:rPr>
      </w:pPr>
      <w:r>
        <w:rPr>
          <w:rFonts w:cs="Arial" w:ascii="Cambria" w:hAnsi="Cambria"/>
          <w:sz w:val="22"/>
          <w:szCs w:val="22"/>
          <w:shd w:fill="FFFF00" w:val="clear"/>
          <w:lang w:val="en-GB"/>
        </w:rPr>
        <w:t>This is intended for use with the ‘GLYF’ table.</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1"/>
        <w:rPr/>
      </w:pPr>
      <w:bookmarkStart w:id="29" w:name="__RefHeading___Toc211693_4187903474"/>
      <w:bookmarkEnd w:id="29"/>
      <w:r>
        <w:rPr/>
        <w:t xml:space="preserve">COLR—Color Table </w:t>
      </w:r>
      <w:r>
        <w:rPr/>
        <w:t>[5.6.11]</w:t>
      </w:r>
    </w:p>
    <w:p>
      <w:pPr>
        <w:pStyle w:val="BodyText"/>
        <w:spacing w:before="280" w:after="240"/>
        <w:rPr>
          <w:rFonts w:ascii="Cambria" w:hAnsi="Cambria" w:cs="Arial"/>
          <w:sz w:val="22"/>
          <w:szCs w:val="22"/>
          <w:shd w:fill="auto" w:val="clear"/>
          <w:lang w:val="en-GB"/>
        </w:rPr>
      </w:pPr>
      <w:bookmarkStart w:id="30" w:name="docs-internal-guid-93729509-7fff-debe-3a"/>
      <w:bookmarkEnd w:id="30"/>
      <w:r>
        <w:rPr>
          <w:rFonts w:cs="Arial" w:ascii="Cambria" w:hAnsi="Cambria"/>
          <w:sz w:val="22"/>
          <w:szCs w:val="22"/>
          <w:shd w:fill="auto" w:val="clear"/>
          <w:lang w:val="en-GB"/>
        </w:rPr>
        <w:t xml:space="preserve">We introduce </w:t>
      </w:r>
      <w:r>
        <w:rPr>
          <w:rFonts w:cs="Arial" w:ascii="Cambria" w:hAnsi="Cambria"/>
          <w:sz w:val="22"/>
          <w:szCs w:val="22"/>
          <w:shd w:fill="auto" w:val="clear"/>
          <w:lang w:val="en-GB"/>
        </w:rPr>
        <w:t>a</w:t>
      </w:r>
      <w:r>
        <w:rPr>
          <w:rFonts w:cs="Arial" w:ascii="Cambria" w:hAnsi="Cambria"/>
          <w:sz w:val="22"/>
          <w:szCs w:val="22"/>
          <w:shd w:fill="auto" w:val="clear"/>
          <w:lang w:val="en-GB"/>
        </w:rPr>
        <w:t xml:space="preserve"> new subtable format, 33 (PaintGlyph2) with 24-bit glyph identifiers. These are each given their own section, </w:t>
      </w:r>
      <w:r>
        <w:rPr>
          <w:rFonts w:cs="Arial" w:ascii="Cambria" w:hAnsi="Cambria"/>
          <w:sz w:val="22"/>
          <w:szCs w:val="22"/>
          <w:shd w:fill="auto" w:val="clear"/>
          <w:lang w:val="en-GB"/>
        </w:rPr>
        <w:t>included here below</w:t>
      </w:r>
      <w:r>
        <w:rPr>
          <w:rFonts w:cs="Arial" w:ascii="Cambria" w:hAnsi="Cambria"/>
          <w:sz w:val="22"/>
          <w:szCs w:val="22"/>
          <w:shd w:fill="auto" w:val="clear"/>
          <w:lang w:val="en-GB"/>
        </w:rPr>
        <w:t>. They are also mentioned in various other sections, as follows.</w:t>
      </w:r>
    </w:p>
    <w:p>
      <w:pPr>
        <w:pStyle w:val="BodyText"/>
        <w:spacing w:before="280" w:after="240"/>
        <w:rPr>
          <w:rFonts w:ascii="Cambria" w:hAnsi="Cambria" w:cs="Arial"/>
          <w:sz w:val="22"/>
          <w:szCs w:val="22"/>
          <w:shd w:fill="auto" w:val="clear"/>
          <w:lang w:val="en-GB"/>
        </w:rPr>
      </w:pPr>
      <w:bookmarkStart w:id="31" w:name="docs-internal-guid-53d66d09-7fff-059d-bc"/>
      <w:bookmarkEnd w:id="31"/>
      <w:r>
        <w:rPr>
          <w:rFonts w:cs="Arial" w:ascii="Cambria" w:hAnsi="Cambria"/>
          <w:sz w:val="22"/>
          <w:szCs w:val="22"/>
          <w:shd w:fill="auto" w:val="clear"/>
          <w:lang w:val="en-GB"/>
        </w:rPr>
        <w:t xml:space="preserve">We do </w:t>
      </w:r>
      <w:r>
        <w:rPr>
          <w:rFonts w:cs="Arial" w:ascii="Cambria" w:hAnsi="Cambria"/>
          <w:i/>
          <w:iCs/>
          <w:sz w:val="22"/>
          <w:szCs w:val="22"/>
          <w:shd w:fill="auto" w:val="clear"/>
          <w:lang w:val="en-GB"/>
        </w:rPr>
        <w:t>not</w:t>
      </w:r>
      <w:r>
        <w:rPr>
          <w:rFonts w:cs="Arial" w:ascii="Cambria" w:hAnsi="Cambria"/>
          <w:sz w:val="22"/>
          <w:szCs w:val="22"/>
          <w:shd w:fill="auto" w:val="clear"/>
          <w:lang w:val="en-GB"/>
        </w:rPr>
        <w:t xml:space="preserve"> introduce a new PaintColrGlyph2, because BaseGlyphPaintRecord is limited to 16-bit glyph identifiers, and changing that implies a COLRv2, which would be a separate proposal. For now, then, fonts are limited to 65535 colour glyphs, although these can use a total of more than 65535 components (24-bits).</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2" w:name="docs-internal-guid-874fdce7-7fff-f80e-00"/>
      <w:bookmarkEnd w:id="32"/>
      <w:r>
        <w:rPr>
          <w:rFonts w:cs="Arial" w:ascii="Cambria" w:hAnsi="Cambria"/>
          <w:sz w:val="22"/>
          <w:szCs w:val="22"/>
          <w:shd w:fill="auto" w:val="clear"/>
          <w:lang w:val="en-GB"/>
        </w:rPr>
        <w:t>At the end of the introduction, just before 5.6.11.1 Graphic Compositions, change the last paragraph from:</w:t>
      </w:r>
    </w:p>
    <w:p>
      <w:pPr>
        <w:pStyle w:val="BodyText"/>
        <w:bidi w:val="0"/>
        <w:ind w:hanging="0" w:left="0" w:right="0"/>
        <w:rPr>
          <w:shd w:fill="auto" w:val="clear"/>
        </w:rPr>
      </w:pPr>
      <w:r>
        <w:rPr>
          <w:shd w:fill="auto" w:val="clear"/>
        </w:rPr>
        <w:t>The COLR table is used in combination with the CPAL table (5.7.12): all color values are specified as entries in color palettes defined in the CPAL table. If the COLR table is present in a font but no CPAL table exists, then the COLR table is ignored.</w:t>
      </w:r>
    </w:p>
    <w:p>
      <w:pPr>
        <w:pStyle w:val="BodyText"/>
        <w:bidi w:val="0"/>
        <w:ind w:hanging="0" w:left="0" w:right="0"/>
        <w:rPr>
          <w:shd w:fill="auto" w:val="clear"/>
        </w:rPr>
      </w:pPr>
      <w:r>
        <w:rPr>
          <w:shd w:fill="auto" w:val="clear"/>
        </w:rPr>
        <w:t>to</w:t>
      </w:r>
    </w:p>
    <w:p>
      <w:pPr>
        <w:pStyle w:val="BodyText"/>
        <w:bidi w:val="0"/>
        <w:ind w:hanging="0" w:left="0" w:right="0"/>
        <w:rPr/>
      </w:pPr>
      <w:r>
        <w:rPr>
          <w:shd w:fill="auto" w:val="clear"/>
        </w:rPr>
        <w:t xml:space="preserve">The COLR table </w:t>
      </w:r>
      <w:r>
        <w:rPr>
          <w:shd w:fill="00FFFF" w:val="clear"/>
        </w:rPr>
        <w:t>may</w:t>
      </w:r>
      <w:r>
        <w:rPr>
          <w:shd w:fill="auto" w:val="clear"/>
        </w:rPr>
        <w:t xml:space="preserve"> be used in combination with the CPAL table (5.7.12): all color values are specified as entries in color palettes defined in the CPAL table</w:t>
      </w:r>
      <w:r>
        <w:rPr>
          <w:shd w:fill="00FFFF" w:val="clear"/>
        </w:rPr>
        <w:t>. If the COLR table is present in a font but no CPAL table exists, then the font is monochrome and no additional colors beyond the application foreground (0xFFFF) are available..</w:t>
      </w:r>
    </w:p>
    <w:p>
      <w:pPr>
        <w:pStyle w:val="BodyText"/>
        <w:rPr/>
      </w:pPr>
      <w:r>
        <w:rPr/>
        <w:br/>
      </w:r>
    </w:p>
    <w:p>
      <w:pPr>
        <w:pStyle w:val="BodyText"/>
        <w:rPr/>
      </w:pPr>
      <w:r>
        <w:rPr/>
        <w:br/>
      </w:r>
      <w:r>
        <w:rPr>
          <w:rFonts w:cs="Arial" w:ascii="Cambria" w:hAnsi="Cambria"/>
          <w:sz w:val="22"/>
          <w:szCs w:val="22"/>
          <w:shd w:fill="auto" w:val="clear"/>
          <w:lang w:val="en-GB"/>
        </w:rPr>
        <w:t xml:space="preserve">In 6.11.1[5.5.11.1] </w:t>
      </w:r>
      <w:r>
        <w:rPr>
          <w:rFonts w:cs="Arial" w:ascii="Cambria" w:hAnsi="Cambria"/>
          <w:b/>
          <w:bCs/>
          <w:sz w:val="22"/>
          <w:szCs w:val="22"/>
          <w:shd w:fill="auto" w:val="clear"/>
          <w:lang w:val="en-GB"/>
        </w:rPr>
        <w:t>Graphic compositions</w:t>
      </w:r>
      <w:r>
        <w:rPr>
          <w:rFonts w:cs="Arial" w:ascii="Cambria" w:hAnsi="Cambria"/>
          <w:sz w:val="22"/>
          <w:szCs w:val="22"/>
          <w:shd w:fill="auto" w:val="clear"/>
          <w:lang w:val="en-GB"/>
        </w:rPr>
        <w:t>, change the bullet list and the rest of the subsection to:</w:t>
      </w:r>
    </w:p>
    <w:p>
      <w:pPr>
        <w:pStyle w:val="ListParagraph"/>
        <w:numPr>
          <w:ilvl w:val="0"/>
          <w:numId w:val="14"/>
        </w:numPr>
        <w:rPr/>
      </w:pPr>
      <w:r>
        <w:rPr/>
        <w:t>A PaintColrLayers table provides a layering structure used for creating a color glyph from layered elements. A PaintColrLayers table can be used at the root of the graph, providing a base layering structure for the entire color glyph definition. A PaintColrLayers table can also be nested within the graph, providing a set of layers to define some graphic sub-component within the color glyph.</w:t>
      </w:r>
    </w:p>
    <w:p>
      <w:pPr>
        <w:pStyle w:val="ListParagraph"/>
        <w:numPr>
          <w:ilvl w:val="0"/>
          <w:numId w:val="14"/>
        </w:numPr>
        <w:rPr/>
      </w:pPr>
      <w:r>
        <w:rPr/>
        <w:t>The PaintSolid, PaintVarSolid, PaintLinearGradient, PaintVarLinearGradient, PaintRadialGradient, PaintVarRadialGradient, PaintSweepGradient, and PaintVarSweepGradient tables provide basic fills, using color entries from the CPAL table.</w:t>
      </w:r>
    </w:p>
    <w:p>
      <w:pPr>
        <w:pStyle w:val="ListParagraph"/>
        <w:numPr>
          <w:ilvl w:val="0"/>
          <w:numId w:val="14"/>
        </w:numPr>
        <w:rPr/>
      </w:pPr>
      <w:r>
        <w:rPr/>
        <w:t xml:space="preserve">The PaintGlyph </w:t>
      </w:r>
      <w:r>
        <w:rPr>
          <w:shd w:fill="00FFFF" w:val="clear"/>
        </w:rPr>
        <w:t xml:space="preserve">and PaintGlyph2 </w:t>
      </w:r>
      <w:r>
        <w:rPr>
          <w:shd w:fill="00FFFF" w:val="clear"/>
        </w:rPr>
        <w:t>table</w:t>
      </w:r>
      <w:r>
        <w:rPr>
          <w:shd w:fill="00FFFF" w:val="clear"/>
        </w:rPr>
        <w:t>s</w:t>
      </w:r>
      <w:r>
        <w:rPr/>
        <w:t xml:space="preserve"> provide glyph outlines as the basic shapes.</w:t>
      </w:r>
    </w:p>
    <w:p>
      <w:pPr>
        <w:pStyle w:val="ListParagraph"/>
        <w:numPr>
          <w:ilvl w:val="0"/>
          <w:numId w:val="14"/>
        </w:numPr>
        <w:rPr/>
      </w:pPr>
      <w:r>
        <w:rPr/>
        <w:t>The PaintTransform and PaintVarTransform tables are used to apply an affine transformation matrix to a sub-graph of paint tables, and the graphic operations they represent. Several Paint formats are also provided for specific transformation types: translate, scale, rotate, or skew, with additional variants of these formats for variations and other options.</w:t>
      </w:r>
    </w:p>
    <w:p>
      <w:pPr>
        <w:pStyle w:val="ListParagraph"/>
        <w:numPr>
          <w:ilvl w:val="0"/>
          <w:numId w:val="14"/>
        </w:numPr>
        <w:rPr/>
      </w:pPr>
      <w:r>
        <w:rPr/>
        <w:t>The PaintComposite table supports alternate compositing and blending modes for two sub-graphs.</w:t>
      </w:r>
    </w:p>
    <w:p>
      <w:pPr>
        <w:pStyle w:val="ListParagraph"/>
        <w:numPr>
          <w:ilvl w:val="0"/>
          <w:numId w:val="14"/>
        </w:numPr>
        <w:rPr/>
      </w:pPr>
      <w:r>
        <w:rPr/>
        <w:t>The PaintColrGlyp</w:t>
      </w:r>
      <w:r>
        <w:rPr/>
        <w:t>h ta</w:t>
      </w:r>
      <w:r>
        <w:rPr/>
        <w:t>ble allow</w:t>
      </w:r>
      <w:r>
        <w:rPr/>
        <w:t>s</w:t>
      </w:r>
      <w:r>
        <w:rPr/>
        <w:t xml:space="preserve"> a color glyph definition, referenced by a base glyph ID, to be re-used as a sub-graph within multiple color glyphs.</w:t>
      </w:r>
    </w:p>
    <w:p>
      <w:pPr>
        <w:pStyle w:val="NOTE2"/>
        <w:spacing w:before="280" w:after="280"/>
        <w:rPr/>
      </w:pPr>
      <w:r>
        <w:rPr/>
        <w:t>NOTE</w:t>
        <w:tab/>
        <w:t xml:space="preserve">Some paint formats come in </w:t>
      </w:r>
      <w:r>
        <w:rPr>
          <w:i/>
        </w:rPr>
        <w:t>Paint*</w:t>
      </w:r>
      <w:r>
        <w:rPr/>
        <w:t xml:space="preserve"> and </w:t>
      </w:r>
      <w:r>
        <w:rPr>
          <w:i/>
        </w:rPr>
        <w:t>PaintVar*</w:t>
      </w:r>
      <w:r>
        <w:rPr/>
        <w:t xml:space="preserve"> pairs. In these cases, the latter format supports variations in variable fonts, while the former provides a more compact representation for the same graphic capability but without variation capability.</w:t>
      </w:r>
    </w:p>
    <w:p>
      <w:pPr>
        <w:pStyle w:val="NOTE2"/>
        <w:rPr>
          <w:shd w:fill="00FFFF" w:val="clear"/>
        </w:rPr>
      </w:pPr>
      <w:r>
        <w:rPr>
          <w:shd w:fill="00FFFF" w:val="clear"/>
        </w:rPr>
        <w:t>NOTE</w:t>
        <w:tab/>
      </w:r>
      <w:r>
        <w:rPr>
          <w:shd w:fill="00FFFF" w:val="clear"/>
        </w:rPr>
        <w:t>The PaintGlyph2 table support</w:t>
      </w:r>
      <w:r>
        <w:rPr>
          <w:shd w:fill="00FFFF" w:val="clear"/>
        </w:rPr>
        <w:t>s</w:t>
      </w:r>
      <w:r>
        <w:rPr>
          <w:shd w:fill="00FFFF" w:val="clear"/>
        </w:rPr>
        <w:t xml:space="preserve"> 24-bit glyph identifiers; PaintGlyph </w:t>
      </w:r>
      <w:r>
        <w:rPr>
          <w:shd w:fill="00FFFF" w:val="clear"/>
        </w:rPr>
        <w:t>is</w:t>
      </w:r>
      <w:r>
        <w:rPr>
          <w:shd w:fill="00FFFF" w:val="clear"/>
        </w:rPr>
        <w:t xml:space="preserve"> limited to 16-bit values. </w:t>
      </w:r>
      <w:r>
        <w:rPr>
          <w:shd w:fill="00FFFF" w:val="clear"/>
        </w:rPr>
        <w:t xml:space="preserve">In this description, for readability, the term PaintGlyph </w:t>
      </w:r>
      <w:r>
        <w:rPr>
          <w:shd w:fill="00FFFF" w:val="clear"/>
        </w:rPr>
        <w:t>is</w:t>
      </w:r>
      <w:r>
        <w:rPr>
          <w:shd w:fill="00FFFF" w:val="clear"/>
        </w:rPr>
        <w:t xml:space="preserve"> used to mean either a 16-bit or a 24-bit table. The definitions of the </w:t>
      </w:r>
      <w:r>
        <w:rPr>
          <w:shd w:fill="00FFFF" w:val="clear"/>
        </w:rPr>
        <w:t>PaintGlyph and PaintGlyph2</w:t>
      </w:r>
      <w:r>
        <w:rPr>
          <w:shd w:fill="00FFFF" w:val="clear"/>
        </w:rPr>
        <w:t xml:space="preserve"> tables use the terms precisely.</w:t>
      </w:r>
    </w:p>
    <w:p>
      <w:pPr>
        <w:pStyle w:val="Normal"/>
        <w:rPr/>
      </w:pPr>
      <w:r>
        <w:rPr/>
        <w:t>In a simple color glyph description, a PaintGlyph table might be linked to a PaintSolid table, for example, representing a glyph outline filled using a basic solid color fill. But the PaintGlyph table could instead be linked to a much more complex sub-graph of Paint tables, representing a shape that gets filled using the more-complex set of operations described by the sub-graph of Paint tables.</w:t>
      </w:r>
    </w:p>
    <w:p>
      <w:pPr>
        <w:pStyle w:val="Normal"/>
        <w:spacing w:before="280" w:after="240"/>
        <w:rPr>
          <w:rFonts w:ascii="Cambria" w:hAnsi="Cambria" w:cs="Arial"/>
          <w:sz w:val="22"/>
          <w:szCs w:val="22"/>
          <w:shd w:fill="auto" w:val="clear"/>
          <w:lang w:val="en-GB"/>
        </w:rPr>
      </w:pPr>
      <w:r>
        <w:rPr>
          <w:rFonts w:cs="Arial" w:ascii="Cambria" w:hAnsi="Cambria"/>
          <w:sz w:val="22"/>
          <w:szCs w:val="22"/>
          <w:shd w:fill="auto" w:val="clear"/>
          <w:lang w:val="en-GB"/>
        </w:rPr>
        <w:t>The graphic capabilities are described in more detail in 5.7.11.1.1 – 5.7.11.1.9. The formats used for each are specified in 5.7.11.2.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3" w:name="docs-internal-guid-925a17df-7fff-4456-57"/>
      <w:bookmarkEnd w:id="33"/>
      <w:r>
        <w:rPr>
          <w:rFonts w:cs="Arial" w:ascii="Cambria" w:hAnsi="Cambria"/>
          <w:sz w:val="22"/>
          <w:szCs w:val="22"/>
          <w:shd w:fill="auto" w:val="clear"/>
          <w:lang w:val="en-GB"/>
        </w:rPr>
        <w:t xml:space="preserve">In section 5.6.11.1.3[5.5.11.1.3] </w:t>
      </w:r>
      <w:r>
        <w:rPr>
          <w:rFonts w:cs="Arial" w:ascii="Cambria" w:hAnsi="Cambria"/>
          <w:b/>
          <w:bCs/>
          <w:sz w:val="22"/>
          <w:szCs w:val="22"/>
          <w:shd w:fill="auto" w:val="clear"/>
          <w:lang w:val="en-GB"/>
        </w:rPr>
        <w:t>Filling Shapes,</w:t>
      </w:r>
      <w:r>
        <w:rPr>
          <w:rFonts w:cs="Arial" w:ascii="Cambria" w:hAnsi="Cambria"/>
          <w:sz w:val="22"/>
          <w:szCs w:val="22"/>
          <w:shd w:fill="auto" w:val="clear"/>
          <w:lang w:val="en-GB"/>
        </w:rPr>
        <w:t xml:space="preserve"> we change </w:t>
      </w:r>
      <w:r>
        <w:rPr>
          <w:rFonts w:cs="Arial" w:ascii="Cambria" w:hAnsi="Cambria"/>
          <w:sz w:val="22"/>
          <w:szCs w:val="22"/>
          <w:shd w:fill="auto" w:val="clear"/>
          <w:lang w:val="en-GB"/>
        </w:rPr>
        <w:t>only</w:t>
      </w:r>
      <w:r>
        <w:rPr>
          <w:rFonts w:cs="Arial" w:ascii="Cambria" w:hAnsi="Cambria"/>
          <w:sz w:val="22"/>
          <w:szCs w:val="22"/>
          <w:shd w:fill="auto" w:val="clear"/>
          <w:lang w:val="en-GB"/>
        </w:rPr>
        <w:t xml:space="preserve"> the first paragraph. The “of course” serves as a reminder that the new PaintGlyph2 table can be used wherever the examples use PaintGlyph:</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bidi w:val="0"/>
        <w:ind w:hanging="0" w:left="0" w:right="0"/>
        <w:rPr/>
      </w:pPr>
      <w:r>
        <w:rPr>
          <w:shd w:fill="auto" w:val="clear"/>
        </w:rPr>
        <w:t>All basic shapes used in a color glyph are obtained from glyph outlines, referenced using a glyph ID. In a color glyph description, a PaintGlyph table</w:t>
      </w:r>
      <w:r>
        <w:rPr>
          <w:shd w:fill="00FFFF" w:val="clear"/>
        </w:rPr>
        <w:t xml:space="preserve"> (or PaintGlyph2 table, of course)</w:t>
      </w:r>
      <w:r>
        <w:rPr>
          <w:shd w:fill="auto" w:val="clear"/>
        </w:rPr>
        <w:t xml:space="preserve"> is used to represent a basic shape.</w:t>
      </w:r>
    </w:p>
    <w:p>
      <w:pPr>
        <w:pStyle w:val="BodyText"/>
        <w:rPr/>
      </w:pPr>
      <w:r>
        <w:rPr/>
        <w:b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5.6.11.1.7.2 [5.5.11.1.7.2] </w:t>
      </w:r>
      <w:r>
        <w:rPr>
          <w:rFonts w:cs="Arial" w:ascii="Cambria" w:hAnsi="Cambria"/>
          <w:b/>
          <w:bCs/>
          <w:sz w:val="22"/>
          <w:szCs w:val="22"/>
          <w:shd w:fill="auto" w:val="clear"/>
          <w:lang w:val="en-GB"/>
        </w:rPr>
        <w:t>Re-use by referencing shared subtables</w:t>
      </w:r>
      <w:r>
        <w:rPr>
          <w:rFonts w:cs="Arial" w:ascii="Cambria" w:hAnsi="Cambria"/>
          <w:sz w:val="22"/>
          <w:szCs w:val="22"/>
          <w:shd w:fill="auto" w:val="clear"/>
          <w:lang w:val="en-GB"/>
        </w:rPr>
        <w:t>, change the first bullet point from</w:t>
      </w:r>
    </w:p>
    <w:p>
      <w:pPr>
        <w:pStyle w:val="ListParagraph"/>
        <w:numPr>
          <w:ilvl w:val="0"/>
          <w:numId w:val="20"/>
        </w:numPr>
        <w:rPr/>
      </w:pPr>
      <w:r>
        <w:rPr/>
        <w:t>PaintGlyph</w:t>
      </w:r>
    </w:p>
    <w:p>
      <w:pPr>
        <w:pStyle w:val="ListParagraph"/>
        <w:rPr/>
      </w:pPr>
      <w:r>
        <w:rPr/>
        <w:t>to</w:t>
      </w:r>
    </w:p>
    <w:p>
      <w:pPr>
        <w:pStyle w:val="ListParagraph"/>
        <w:numPr>
          <w:ilvl w:val="0"/>
          <w:numId w:val="21"/>
        </w:numPr>
        <w:rPr/>
      </w:pPr>
      <w:r>
        <w:rPr/>
        <w:t xml:space="preserve">PaintGlyph, </w:t>
      </w:r>
      <w:r>
        <w:rPr>
          <w:shd w:fill="00FFFF" w:val="clear"/>
        </w:rPr>
        <w:t>PaintGlyph2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4" w:name="docs-internal-guid-4ae52e46-7fff-80b2-7d"/>
      <w:bookmarkEnd w:id="34"/>
      <w:r>
        <w:rPr>
          <w:rFonts w:cs="Arial" w:ascii="Cambria" w:hAnsi="Cambria"/>
          <w:sz w:val="22"/>
          <w:szCs w:val="22"/>
          <w:shd w:fill="auto" w:val="clear"/>
          <w:lang w:val="en-GB"/>
        </w:rPr>
        <w:t xml:space="preserve">Replace 5.5.11.1.8.2 </w:t>
      </w:r>
      <w:r>
        <w:rPr>
          <w:rFonts w:cs="Arial" w:ascii="Cambria" w:hAnsi="Cambria"/>
          <w:b/>
          <w:bCs/>
          <w:sz w:val="22"/>
          <w:szCs w:val="22"/>
          <w:shd w:fill="auto" w:val="clear"/>
          <w:lang w:val="en-GB"/>
        </w:rPr>
        <w:t>Metrics and boudedness of color glyphs using version 1 formats</w:t>
      </w:r>
      <w:r>
        <w:rPr>
          <w:rFonts w:cs="Arial" w:ascii="Cambria" w:hAnsi="Cambria"/>
          <w:sz w:val="22"/>
          <w:szCs w:val="22"/>
          <w:shd w:fill="auto" w:val="clear"/>
          <w:lang w:val="en-GB"/>
        </w:rPr>
        <w:t xml:space="preserve"> with the following text:</w:t>
      </w:r>
    </w:p>
    <w:p>
      <w:pPr>
        <w:pStyle w:val="BodyText"/>
        <w:rPr/>
      </w:pPr>
      <w:r>
        <w:rPr/>
        <w:br/>
        <w:t xml:space="preserve">For color glyphs using version 1 formats, the advance width of the base glyph shall be used as the advance width for the color glyph. If the font has vertical metrics, the advance height and vertical Y origin of the base glyph shall be used for the color glyph. The advance width and height of glyphs referenced by PaintGlyph </w:t>
      </w:r>
      <w:r>
        <w:rPr>
          <w:shd w:fill="00FFFF" w:val="clear"/>
        </w:rPr>
        <w:t>and PaintGlyph2</w:t>
      </w:r>
      <w:r>
        <w:rPr/>
        <w:t xml:space="preserve"> </w:t>
      </w:r>
      <w:r>
        <w:rPr/>
        <w:t>tables are not required to be the same as that of the base glyph and are ignored.</w:t>
      </w:r>
    </w:p>
    <w:p>
      <w:pPr>
        <w:pStyle w:val="Normal"/>
        <w:rPr/>
      </w:pPr>
      <w:r>
        <w:rPr/>
        <w:t>A valid color glyph definition shall define a bounded region—that is, it shall paint within a region for which a finite bounding box could be defined. A clip box can be specified to set overall bounds for a color glyph (see below). Otherwise, boundedness is determined by the graph of paint tables that describe the color glyph content. The different paint formats have different boundedness characteristics:</w:t>
      </w:r>
    </w:p>
    <w:p>
      <w:pPr>
        <w:pStyle w:val="ListParagraph"/>
        <w:numPr>
          <w:ilvl w:val="0"/>
          <w:numId w:val="13"/>
        </w:numPr>
        <w:rPr/>
      </w:pPr>
      <w:r>
        <w:rPr/>
        <w:t xml:space="preserve">PaintGlyph </w:t>
      </w:r>
      <w:r>
        <w:rPr>
          <w:shd w:fill="00FFFF" w:val="clear"/>
        </w:rPr>
        <w:t>and PaintGlyph2</w:t>
      </w:r>
      <w:r>
        <w:rPr/>
        <w:t xml:space="preserve"> are</w:t>
      </w:r>
      <w:r>
        <w:rPr/>
        <w:t xml:space="preserve"> inherently bounded.</w:t>
      </w:r>
    </w:p>
    <w:p>
      <w:pPr>
        <w:pStyle w:val="ListParagraph"/>
        <w:numPr>
          <w:ilvl w:val="0"/>
          <w:numId w:val="13"/>
        </w:numPr>
        <w:rPr/>
      </w:pPr>
      <w:r>
        <w:rPr/>
        <w:t>PaintSolid, PaintVarSolid, PaintLinearGradient, PaintVarLinearGradient, PaintRadialGradient, PaintVarRadialGradient, PaintSweepGradient, and PaintVarSweepGradient are inherently unbounded.</w:t>
      </w:r>
    </w:p>
    <w:p>
      <w:pPr>
        <w:pStyle w:val="ListParagraph"/>
        <w:numPr>
          <w:ilvl w:val="0"/>
          <w:numId w:val="13"/>
        </w:numPr>
        <w:rPr/>
      </w:pPr>
      <w:r>
        <w:rPr/>
        <w:t xml:space="preserve">PaintColrLayers is bounded </w:t>
      </w:r>
      <w:r>
        <w:rPr>
          <w:i/>
          <w:iCs/>
        </w:rPr>
        <w:t>if and only if</w:t>
      </w:r>
      <w:r>
        <w:rPr/>
        <w:t xml:space="preserve"> all referenced sub-graphs are bounded.</w:t>
      </w:r>
    </w:p>
    <w:p>
      <w:pPr>
        <w:pStyle w:val="ListParagraph"/>
        <w:numPr>
          <w:ilvl w:val="0"/>
          <w:numId w:val="13"/>
        </w:numPr>
        <w:rPr/>
      </w:pPr>
      <w:r>
        <w:rPr/>
        <w:t xml:space="preserve">PaintColrGlyph </w:t>
      </w:r>
      <w:r>
        <w:rPr/>
        <w:t>is</w:t>
      </w:r>
      <w:r>
        <w:rPr/>
        <w:t xml:space="preserve"> bounded </w:t>
      </w:r>
      <w:r>
        <w:rPr>
          <w:i/>
          <w:iCs/>
        </w:rPr>
        <w:t>if and only if</w:t>
      </w:r>
      <w:r>
        <w:rPr/>
        <w:t xml:space="preserve"> the color glyph definition for the referenced base glyph ID is bounded.</w:t>
      </w:r>
    </w:p>
    <w:p>
      <w:pPr>
        <w:pStyle w:val="ListParagraph"/>
        <w:numPr>
          <w:ilvl w:val="0"/>
          <w:numId w:val="13"/>
        </w:numPr>
        <w:rPr/>
      </w:pPr>
      <w:r>
        <w:rPr/>
        <w:t xml:space="preserve">Paint formats for transformations (PaintTransform, PaintVarTransform, PaintTranslate, PaintScale, etc.)  are bounded </w:t>
      </w:r>
      <w:r>
        <w:rPr>
          <w:i/>
          <w:iCs/>
        </w:rPr>
        <w:t>if and only if</w:t>
      </w:r>
      <w:r>
        <w:rPr/>
        <w:t xml:space="preserve"> the referenced sub-graph is bounded.</w:t>
      </w:r>
    </w:p>
    <w:p>
      <w:pPr>
        <w:pStyle w:val="ListParagraph"/>
        <w:numPr>
          <w:ilvl w:val="0"/>
          <w:numId w:val="13"/>
        </w:numPr>
        <w:rPr/>
      </w:pPr>
      <w:r>
        <w:rPr/>
        <w:t>PaintComposite is either bounded or unbounded, according to the composite mode used and the boundedness of the referenced sub-graphs. See 5.7.11.2.6.13 for details.</w:t>
      </w:r>
    </w:p>
    <w:p>
      <w:pPr>
        <w:pStyle w:val="Normal"/>
        <w:spacing w:before="280" w:after="240"/>
        <w:rPr/>
      </w:pPr>
      <w:r>
        <w:rPr/>
        <w:t>A ClipBox table (5.7.11.2.4) may be associated with a color glyph to define overall bounds for the color glyph. The clip box may vary in a variable font. If a clip box is provided for a color glyph, the color glyph is bounded, and no inspection of the Paint graph is required to determine boundedness. If no clip box is defined for a color glyph, however, applications shall confirm that the color glyph definition is bounded, and shall not render the color glyph if the defining graph is not bounded.</w:t>
      </w:r>
    </w:p>
    <w:p>
      <w:pPr>
        <w:pStyle w:val="NOTE2"/>
        <w:spacing w:before="280" w:after="280"/>
        <w:rPr/>
      </w:pPr>
      <w:r>
        <w:rPr/>
        <w:t>NOTE 1</w:t>
        <w:tab/>
        <w:t>If present, the clip box for a color glyph can be used to allocate a drawing surface without needing to traverse the graph of the color glyph definition.</w:t>
      </w:r>
    </w:p>
    <w:p>
      <w:pPr>
        <w:pStyle w:val="NOTE2"/>
        <w:spacing w:before="280" w:after="280"/>
        <w:rPr/>
      </w:pPr>
      <w:r>
        <w:rPr/>
        <w:t>NOTE 2</w:t>
        <w:tab/>
        <w:t>If no ClipBox table is present but a bounding box is required by the implementation, it can be computed for a given color glyph by traversing the graph of Paint tables that defines that color glyph.</w:t>
      </w:r>
    </w:p>
    <w:p>
      <w:pPr>
        <w:pStyle w:val="BodyText"/>
        <w:rPr/>
      </w:pPr>
      <w:r>
        <w:rPr/>
        <w:t>To ensure that rendering implementations do not clip any part of a color glyph, the clip box needs to be large enough to encompass the entire color glyph composition. In a variable font, glyph outlines can vary, but transformations in a color glyph description can also vary, affecting the portions of the design grid to be painted. For example, a filled rectangle that is wide but not tall for one variation instance can be variably rotated to be tall but not wide for other instances. The clip box either should be large enough to encompass the color glyph for all instances, or should itself vary such that each instance of the clip box encompasses the instance color glyph.</w:t>
      </w:r>
    </w:p>
    <w:p>
      <w:pPr>
        <w:pStyle w:val="BodyText"/>
        <w:rPr/>
      </w:pPr>
      <w:r>
        <w:rPr/>
      </w:r>
    </w:p>
    <w:p>
      <w:pPr>
        <w:pStyle w:val="BodyText"/>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5.6.11.2.6.6 / 5.5.11.2.6.6, </w:t>
      </w:r>
      <w:r>
        <w:rPr>
          <w:rFonts w:cs="Arial" w:ascii="Cambria" w:hAnsi="Cambria"/>
          <w:b/>
          <w:bCs/>
          <w:sz w:val="22"/>
          <w:szCs w:val="22"/>
          <w:shd w:fill="auto" w:val="clear"/>
          <w:lang w:val="en-GB"/>
        </w:rPr>
        <w:t>Format 10: PaintGlyph</w:t>
      </w:r>
      <w:r>
        <w:rPr>
          <w:rFonts w:cs="Arial" w:ascii="Cambria" w:hAnsi="Cambria"/>
          <w:sz w:val="22"/>
          <w:szCs w:val="22"/>
          <w:shd w:fill="auto" w:val="clear"/>
          <w:lang w:val="en-GB"/>
        </w:rPr>
        <w:t xml:space="preserve">, after </w:t>
      </w:r>
      <w:r>
        <w:rPr>
          <w:rFonts w:cs="Arial" w:ascii="Cambria" w:hAnsi="Cambria"/>
          <w:sz w:val="22"/>
          <w:szCs w:val="22"/>
          <w:shd w:fill="auto" w:val="clear"/>
          <w:lang w:val="en-GB"/>
        </w:rPr>
        <w:t xml:space="preserve">the </w:t>
      </w:r>
      <w:r>
        <w:rPr>
          <w:rFonts w:cs="Arial" w:ascii="Cambria" w:hAnsi="Cambria"/>
          <w:sz w:val="22"/>
          <w:szCs w:val="22"/>
          <w:shd w:fill="auto" w:val="clear"/>
          <w:lang w:val="en-GB"/>
        </w:rPr>
        <w:t xml:space="preserve"> “For information about applying a fill to a shape”, add a new </w:t>
      </w:r>
      <w:r>
        <w:rPr>
          <w:rFonts w:cs="Arial" w:ascii="Cambria" w:hAnsi="Cambria"/>
          <w:sz w:val="22"/>
          <w:szCs w:val="22"/>
          <w:shd w:fill="auto" w:val="clear"/>
          <w:lang w:val="en-GB"/>
        </w:rPr>
        <w:t>note</w:t>
      </w:r>
      <w:r>
        <w:rPr>
          <w:rFonts w:cs="Arial" w:ascii="Cambria" w:hAnsi="Cambria"/>
          <w:sz w:val="22"/>
          <w:szCs w:val="22"/>
          <w:shd w:fill="auto" w:val="clear"/>
          <w:lang w:val="en-GB"/>
        </w:rPr>
        <w:t>:</w:t>
      </w:r>
    </w:p>
    <w:p>
      <w:pPr>
        <w:pStyle w:val="NOTE2"/>
        <w:rPr/>
      </w:pPr>
      <w:r>
        <w:rPr>
          <w:shd w:fill="00FFFF" w:val="clear"/>
        </w:rPr>
        <w:t>NOTE</w:t>
        <w:tab/>
      </w:r>
      <w:r>
        <w:rPr>
          <w:shd w:fill="00FFFF" w:val="clear"/>
        </w:rPr>
        <w:t>For use with 24-bit glyphID values, see Format 33: PaintGlyph2.</w:t>
      </w:r>
    </w:p>
    <w:p>
      <w:pPr>
        <w:pStyle w:val="BodyText"/>
        <w:spacing w:before="280" w:after="240"/>
        <w:rPr>
          <w:rFonts w:ascii="Cambria" w:hAnsi="Cambria" w:cs="Arial"/>
          <w:sz w:val="22"/>
          <w:szCs w:val="22"/>
          <w:shd w:fill="auto" w:val="clear"/>
          <w:lang w:val="en-GB"/>
        </w:rPr>
      </w:pPr>
      <w:r>
        <w:rPr/>
      </w:r>
    </w:p>
    <w:p>
      <w:pPr>
        <w:pStyle w:val="BodyText"/>
        <w:spacing w:before="280" w:after="240"/>
        <w:rPr>
          <w:rFonts w:ascii="Cambria" w:hAnsi="Cambria" w:cs="Arial"/>
          <w:sz w:val="22"/>
          <w:szCs w:val="22"/>
          <w:shd w:fill="auto" w:val="clear"/>
          <w:lang w:val="en-GB"/>
        </w:rPr>
      </w:pPr>
      <w:bookmarkStart w:id="35" w:name="docs-internal-guid-fd6a97ef-7fff-2cb4-97"/>
      <w:bookmarkEnd w:id="35"/>
      <w:r>
        <w:rPr>
          <w:rFonts w:cs="Arial" w:ascii="Cambria" w:hAnsi="Cambria"/>
          <w:sz w:val="22"/>
          <w:szCs w:val="22"/>
          <w:shd w:fill="auto" w:val="clear"/>
          <w:lang w:val="en-GB"/>
        </w:rPr>
        <w:t>At the end of COLR, just before 5.6.11.3 COLR version 1 rendering algorithm, and just after the bullet list, add the definition for PaintGlyph2:</w:t>
      </w:r>
    </w:p>
    <w:p>
      <w:pPr>
        <w:pStyle w:val="Heading6"/>
        <w:rPr/>
      </w:pPr>
      <w:r>
        <w:rPr>
          <w:shd w:fill="00FFFF" w:val="clear"/>
        </w:rPr>
        <w:t xml:space="preserve">Format </w:t>
      </w:r>
      <w:r>
        <w:rPr>
          <w:shd w:fill="00FFFF" w:val="clear"/>
        </w:rPr>
        <w:t>33</w:t>
      </w:r>
      <w:r>
        <w:rPr>
          <w:shd w:fill="00FFFF" w:val="clear"/>
        </w:rPr>
        <w:t>: PaintGlyph</w:t>
      </w:r>
      <w:r>
        <w:rPr>
          <w:shd w:fill="00FFFF" w:val="clear"/>
        </w:rPr>
        <w:t xml:space="preserve">2 </w:t>
      </w:r>
      <w:r>
        <w:rPr/>
        <w:t>[5.6.11.2.6.14]</w:t>
      </w:r>
    </w:p>
    <w:p>
      <w:pPr>
        <w:pStyle w:val="Normal"/>
        <w:rPr>
          <w:shd w:fill="00FFFF" w:val="clear"/>
        </w:rPr>
      </w:pPr>
      <w:r>
        <w:rPr>
          <w:shd w:fill="00FFFF" w:val="clear"/>
        </w:rPr>
        <w:t xml:space="preserve">Format </w:t>
      </w:r>
      <w:r>
        <w:rPr>
          <w:shd w:fill="00FFFF" w:val="clear"/>
        </w:rPr>
        <w:t>33</w:t>
      </w:r>
      <w:r>
        <w:rPr>
          <w:shd w:fill="00FFFF" w:val="clear"/>
        </w:rPr>
        <w:t xml:space="preserve"> is used to specify a glyph outline to use as a shape to be filled or, equivalently, a clip region. The outline sets a clip region that constrains the content of a separate paint subtable and the sub-graph linked from that subtable. </w:t>
      </w:r>
      <w:r>
        <w:rPr>
          <w:shd w:fill="00FFFF" w:val="clear"/>
        </w:rPr>
        <w:t>The difference between Format 10 and Format 33 is that Format 33 uses 24-bit glyphID values instead of 16-bit values.</w:t>
      </w:r>
    </w:p>
    <w:p>
      <w:pPr>
        <w:pStyle w:val="BodyText"/>
        <w:spacing w:before="280" w:after="120"/>
        <w:rPr/>
      </w:pPr>
      <w:r>
        <w:rPr>
          <w:rStyle w:val="Emphasis"/>
          <w:shd w:fill="00FFFF" w:val="clear"/>
        </w:rPr>
        <w:t>PaintGlyph</w:t>
      </w:r>
      <w:r>
        <w:rPr>
          <w:rStyle w:val="Emphasis"/>
          <w:shd w:fill="00FFFF" w:val="clear"/>
        </w:rPr>
        <w:t>2</w:t>
      </w:r>
      <w:r>
        <w:rPr>
          <w:rStyle w:val="Emphasis"/>
          <w:shd w:fill="00FFFF" w:val="clear"/>
        </w:rPr>
        <w:t xml:space="preserve"> table (format </w:t>
      </w:r>
      <w:r>
        <w:rPr>
          <w:rStyle w:val="Emphasis"/>
          <w:shd w:fill="00FFFF" w:val="clear"/>
        </w:rPr>
        <w:t>33</w:t>
      </w:r>
      <w:r>
        <w:rPr>
          <w:rStyle w:val="Emphasis"/>
          <w:shd w:fill="00FFFF" w:val="clear"/>
        </w:rPr>
        <w:t>):</w:t>
      </w:r>
    </w:p>
    <w:tbl>
      <w:tblPr>
        <w:tblW w:w="2850" w:type="pct"/>
        <w:jc w:val="left"/>
        <w:tblInd w:w="0" w:type="dxa"/>
        <w:tblLayout w:type="fixed"/>
        <w:tblCellMar>
          <w:top w:w="0" w:type="dxa"/>
          <w:left w:w="108" w:type="dxa"/>
          <w:bottom w:w="0" w:type="dxa"/>
          <w:right w:w="108" w:type="dxa"/>
        </w:tblCellMar>
      </w:tblPr>
      <w:tblGrid>
        <w:gridCol w:w="1073"/>
        <w:gridCol w:w="1316"/>
        <w:gridCol w:w="3169"/>
      </w:tblGrid>
      <w:tr>
        <w:trPr/>
        <w:tc>
          <w:tcPr>
            <w:tcW w:w="1073"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Type</w:t>
            </w:r>
          </w:p>
        </w:tc>
        <w:tc>
          <w:tcPr>
            <w:tcW w:w="1316"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Name</w:t>
            </w:r>
          </w:p>
        </w:tc>
        <w:tc>
          <w:tcPr>
            <w:tcW w:w="3169"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Description</w:t>
            </w:r>
          </w:p>
        </w:tc>
      </w:tr>
      <w:tr>
        <w:trPr/>
        <w:tc>
          <w:tcPr>
            <w:tcW w:w="1073" w:type="dxa"/>
            <w:tcBorders>
              <w:top w:val="single" w:sz="12" w:space="0" w:color="666666"/>
              <w:left w:val="single" w:sz="12" w:space="0" w:color="666666"/>
              <w:bottom w:val="single" w:sz="6" w:space="0" w:color="666666"/>
              <w:right w:val="single" w:sz="6" w:space="0" w:color="666666"/>
            </w:tcBorders>
          </w:tcPr>
          <w:p>
            <w:pPr>
              <w:pStyle w:val="TableParagraph"/>
              <w:spacing w:before="0" w:after="227"/>
              <w:rPr/>
            </w:pPr>
            <w:r>
              <w:rPr/>
              <w:t>uint8</w:t>
            </w:r>
          </w:p>
        </w:tc>
        <w:tc>
          <w:tcPr>
            <w:tcW w:w="1316" w:type="dxa"/>
            <w:tcBorders>
              <w:top w:val="single" w:sz="12" w:space="0" w:color="666666"/>
              <w:left w:val="single" w:sz="6" w:space="0" w:color="666666"/>
              <w:bottom w:val="single" w:sz="6" w:space="0" w:color="666666"/>
              <w:right w:val="single" w:sz="6" w:space="0" w:color="666666"/>
            </w:tcBorders>
          </w:tcPr>
          <w:p>
            <w:pPr>
              <w:pStyle w:val="TableParagraph"/>
              <w:spacing w:before="0" w:after="227"/>
              <w:rPr/>
            </w:pPr>
            <w:r>
              <w:rPr/>
              <w:t>format</w:t>
            </w:r>
          </w:p>
        </w:tc>
        <w:tc>
          <w:tcPr>
            <w:tcW w:w="3169" w:type="dxa"/>
            <w:tcBorders>
              <w:top w:val="single" w:sz="12" w:space="0" w:color="666666"/>
              <w:left w:val="single" w:sz="6" w:space="0" w:color="666666"/>
              <w:bottom w:val="single" w:sz="6" w:space="0" w:color="666666"/>
              <w:right w:val="single" w:sz="12" w:space="0" w:color="666666"/>
            </w:tcBorders>
          </w:tcPr>
          <w:p>
            <w:pPr>
              <w:pStyle w:val="TableParagraph"/>
              <w:spacing w:before="0" w:after="227"/>
              <w:rPr/>
            </w:pPr>
            <w:r>
              <w:rPr/>
              <w:t xml:space="preserve">Set to </w:t>
            </w:r>
            <w:r>
              <w:rPr/>
              <w:t>33</w:t>
            </w:r>
            <w:r>
              <w:rPr/>
              <w:t>.</w:t>
            </w:r>
          </w:p>
        </w:tc>
      </w:tr>
      <w:tr>
        <w:trPr/>
        <w:tc>
          <w:tcPr>
            <w:tcW w:w="1073" w:type="dxa"/>
            <w:tcBorders>
              <w:top w:val="single" w:sz="6" w:space="0" w:color="666666"/>
              <w:left w:val="single" w:sz="12" w:space="0" w:color="666666"/>
              <w:bottom w:val="single" w:sz="6" w:space="0" w:color="666666"/>
              <w:right w:val="single" w:sz="6" w:space="0" w:color="666666"/>
            </w:tcBorders>
          </w:tcPr>
          <w:p>
            <w:pPr>
              <w:pStyle w:val="TableParagraph"/>
              <w:spacing w:before="0" w:after="227"/>
              <w:rPr/>
            </w:pPr>
            <w:r>
              <w:rPr/>
              <w:t>Offset</w:t>
            </w:r>
            <w:r>
              <w:rPr/>
              <w:t>24</w:t>
            </w:r>
          </w:p>
        </w:tc>
        <w:tc>
          <w:tcPr>
            <w:tcW w:w="1316" w:type="dxa"/>
            <w:tcBorders>
              <w:top w:val="single" w:sz="6" w:space="0" w:color="666666"/>
              <w:left w:val="single" w:sz="6" w:space="0" w:color="666666"/>
              <w:bottom w:val="single" w:sz="6" w:space="0" w:color="666666"/>
              <w:right w:val="single" w:sz="6" w:space="0" w:color="666666"/>
            </w:tcBorders>
          </w:tcPr>
          <w:p>
            <w:pPr>
              <w:pStyle w:val="TableParagraph"/>
              <w:spacing w:before="0" w:after="227"/>
              <w:rPr/>
            </w:pPr>
            <w:r>
              <w:rPr/>
              <w:t>paintOffset</w:t>
            </w:r>
          </w:p>
        </w:tc>
        <w:tc>
          <w:tcPr>
            <w:tcW w:w="3169" w:type="dxa"/>
            <w:tcBorders>
              <w:top w:val="single" w:sz="6" w:space="0" w:color="666666"/>
              <w:left w:val="single" w:sz="6" w:space="0" w:color="666666"/>
              <w:bottom w:val="single" w:sz="6" w:space="0" w:color="666666"/>
              <w:right w:val="single" w:sz="12" w:space="0" w:color="666666"/>
            </w:tcBorders>
          </w:tcPr>
          <w:p>
            <w:pPr>
              <w:pStyle w:val="TableParagraph"/>
              <w:spacing w:before="0" w:after="227"/>
              <w:rPr/>
            </w:pPr>
            <w:r>
              <w:rPr/>
              <w:t>Offset to a Paint table.</w:t>
            </w:r>
          </w:p>
        </w:tc>
      </w:tr>
      <w:tr>
        <w:trPr/>
        <w:tc>
          <w:tcPr>
            <w:tcW w:w="1073" w:type="dxa"/>
            <w:tcBorders>
              <w:top w:val="single" w:sz="6" w:space="0" w:color="666666"/>
              <w:left w:val="single" w:sz="12" w:space="0" w:color="666666"/>
              <w:bottom w:val="single" w:sz="12" w:space="0" w:color="666666"/>
              <w:right w:val="single" w:sz="6" w:space="0" w:color="666666"/>
            </w:tcBorders>
          </w:tcPr>
          <w:p>
            <w:pPr>
              <w:pStyle w:val="TableParagraph"/>
              <w:spacing w:before="0" w:after="227"/>
              <w:rPr>
                <w:shd w:fill="00FFFF" w:val="clear"/>
              </w:rPr>
            </w:pPr>
            <w:r>
              <w:rPr>
                <w:shd w:fill="00FFFF" w:val="clear"/>
              </w:rPr>
              <w:t>uint</w:t>
            </w:r>
            <w:r>
              <w:rPr>
                <w:shd w:fill="00FFFF" w:val="clear"/>
              </w:rPr>
              <w:t>24</w:t>
            </w:r>
          </w:p>
        </w:tc>
        <w:tc>
          <w:tcPr>
            <w:tcW w:w="1316" w:type="dxa"/>
            <w:tcBorders>
              <w:top w:val="single" w:sz="6" w:space="0" w:color="666666"/>
              <w:left w:val="single" w:sz="6" w:space="0" w:color="666666"/>
              <w:bottom w:val="single" w:sz="12" w:space="0" w:color="666666"/>
              <w:right w:val="single" w:sz="6" w:space="0" w:color="666666"/>
            </w:tcBorders>
          </w:tcPr>
          <w:p>
            <w:pPr>
              <w:pStyle w:val="TableParagraph"/>
              <w:spacing w:before="0" w:after="227"/>
              <w:rPr/>
            </w:pPr>
            <w:r>
              <w:rPr/>
              <w:t>glyphID</w:t>
            </w:r>
          </w:p>
        </w:tc>
        <w:tc>
          <w:tcPr>
            <w:tcW w:w="3169" w:type="dxa"/>
            <w:tcBorders>
              <w:top w:val="single" w:sz="6" w:space="0" w:color="666666"/>
              <w:left w:val="single" w:sz="6" w:space="0" w:color="666666"/>
              <w:bottom w:val="single" w:sz="12" w:space="0" w:color="666666"/>
              <w:right w:val="single" w:sz="12" w:space="0" w:color="666666"/>
            </w:tcBorders>
          </w:tcPr>
          <w:p>
            <w:pPr>
              <w:pStyle w:val="TableParagraph"/>
              <w:spacing w:before="0" w:after="227"/>
              <w:rPr/>
            </w:pPr>
            <w:r>
              <w:rPr/>
              <w:t>Glyph ID for the source outline.</w:t>
            </w:r>
          </w:p>
        </w:tc>
      </w:tr>
    </w:tbl>
    <w:p>
      <w:pPr>
        <w:pStyle w:val="Normal"/>
        <w:spacing w:before="280" w:after="240"/>
        <w:rPr/>
      </w:pPr>
      <w:r>
        <w:rPr/>
        <w:t>The glyphID value shall be a valid glyph with outline data in the</w:t>
      </w:r>
      <w:r>
        <w:rPr>
          <w:shd w:fill="00FFFF" w:val="clear"/>
        </w:rPr>
        <w:t xml:space="preserve"> ‘</w:t>
      </w:r>
      <w:r>
        <w:rPr>
          <w:shd w:fill="00FFFF" w:val="clear"/>
        </w:rPr>
        <w:t>GLYF’,</w:t>
      </w:r>
      <w:r>
        <w:rPr/>
        <w:t xml:space="preserve"> </w:t>
      </w:r>
      <w:r>
        <w:rPr/>
        <w:t>‘glyf’ (5.3.4), ‘CFF’ (5.4.2) or CFF2 (5.4.3) table. Only that outline data is used. In particular, if this glyph ID has a description in the COLR table (glyphID appears in a COLR BaseGlyph record or the BaseGlyphList), that COLR data is not relevant for purposes of the PaintGlyph</w:t>
      </w:r>
      <w:r>
        <w:rPr/>
        <w:t>2</w:t>
      </w:r>
      <w:r>
        <w:rPr/>
        <w:t xml:space="preserve"> table.</w:t>
      </w:r>
    </w:p>
    <w:p>
      <w:pPr>
        <w:pStyle w:val="Normal"/>
        <w:spacing w:before="280" w:after="240"/>
        <w:rPr/>
      </w:pPr>
      <w:r>
        <w:rPr/>
        <w:t>The glyphID value shall be a glyphID found in a BaseGlyphPaintRecord within the BaseGlyphList. The BaseGlyphPaintRecord provides an offset to a paint table; that paint table and the graph linked from it are incorporated as a child sub-graph of the PaintColrGlyph</w:t>
      </w:r>
      <w:r>
        <w:rPr/>
        <w:t xml:space="preserve"> </w:t>
      </w:r>
      <w:r>
        <w:rPr/>
        <w:t>table within the current color glyph definition.</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4"/>
        <w:spacing w:before="280" w:after="240"/>
        <w:rPr>
          <w:rFonts w:ascii="Cambria" w:hAnsi="Cambria" w:cs="Arial"/>
          <w:sz w:val="22"/>
          <w:szCs w:val="22"/>
          <w:shd w:fill="auto" w:val="clear"/>
          <w:lang w:val="en-GB"/>
        </w:rPr>
      </w:pPr>
      <w:bookmarkStart w:id="36" w:name="docs-internal-guid-8e41abdd-7fff-9aa6-0d"/>
      <w:bookmarkEnd w:id="36"/>
      <w:r>
        <w:rPr>
          <w:rFonts w:cs="Arial" w:ascii="Cambria" w:hAnsi="Cambria"/>
          <w:sz w:val="22"/>
          <w:szCs w:val="22"/>
          <w:shd w:fill="auto" w:val="clear"/>
          <w:lang w:val="en-GB"/>
        </w:rPr>
        <w:t>[5.6.11.3] COLR version 1 rendering algorithm</w:t>
      </w:r>
    </w:p>
    <w:p>
      <w:pPr>
        <w:pStyle w:val="BodyText"/>
        <w:pBdr/>
        <w:bidi w:val="0"/>
        <w:ind w:hanging="0" w:left="0" w:right="0"/>
        <w:rPr>
          <w:shd w:fill="auto" w:val="clear"/>
        </w:rPr>
      </w:pPr>
      <w:r>
        <w:rPr>
          <w:shd w:fill="auto" w:val="clear"/>
        </w:rPr>
        <w:t>In the sample code, a</w:t>
      </w:r>
      <w:r>
        <w:rPr>
          <w:shd w:fill="auto" w:val="clear"/>
        </w:rPr>
        <w:t xml:space="preserve">dd PaintGlyph2 </w:t>
      </w:r>
      <w:r>
        <w:rPr>
          <w:shd w:fill="auto" w:val="clear"/>
        </w:rPr>
        <w:t>in one place</w:t>
      </w:r>
      <w:r>
        <w:rPr>
          <w:shd w:fill="auto" w:val="clear"/>
        </w:rPr>
        <w:t>:</w:t>
      </w:r>
    </w:p>
    <w:p>
      <w:pPr>
        <w:pStyle w:val="Code"/>
        <w:rPr/>
      </w:pPr>
      <w:r>
        <w:rPr>
          <w:rStyle w:val="VerbatimChar"/>
          <w:rFonts w:cs="Courier New"/>
          <w:sz w:val="20"/>
          <w:szCs w:val="20"/>
          <w:shd w:fill="auto" w:val="clear"/>
        </w:rPr>
        <w:t xml:space="preserve">if format 10, </w:t>
      </w:r>
      <w:r>
        <w:rPr>
          <w:rStyle w:val="VerbatimChar"/>
          <w:rFonts w:cs="Courier New"/>
          <w:sz w:val="20"/>
          <w:szCs w:val="20"/>
          <w:shd w:fill="auto" w:val="clear"/>
        </w:rPr>
        <w:t>33</w:t>
      </w:r>
      <w:r>
        <w:rPr>
          <w:rStyle w:val="VerbatimChar"/>
          <w:rFonts w:cs="Courier New"/>
          <w:sz w:val="20"/>
          <w:szCs w:val="20"/>
          <w:shd w:fill="auto" w:val="clear"/>
        </w:rPr>
        <w:t xml:space="preserve">: </w:t>
      </w:r>
      <w:r>
        <w:rPr>
          <w:rStyle w:val="VerbatimChar"/>
          <w:rFonts w:cs="Courier New"/>
          <w:color w:val="00B050"/>
          <w:sz w:val="20"/>
          <w:szCs w:val="20"/>
          <w:shd w:fill="auto" w:val="clear"/>
        </w:rPr>
        <w:t xml:space="preserve">// PaintGlyph, </w:t>
      </w:r>
      <w:r>
        <w:rPr>
          <w:rStyle w:val="VerbatimChar"/>
          <w:rFonts w:cs="Courier New"/>
          <w:color w:val="00B050"/>
          <w:sz w:val="20"/>
          <w:szCs w:val="20"/>
          <w:shd w:fill="00FFFF" w:val="clear"/>
        </w:rPr>
        <w:t>PaintGlyph2</w:t>
      </w:r>
    </w:p>
    <w:p>
      <w:pPr>
        <w:pStyle w:val="Code"/>
        <w:rPr/>
      </w:pPr>
      <w:r>
        <w:rPr/>
      </w:r>
    </w:p>
    <w:p>
      <w:pPr>
        <w:pStyle w:val="BodyText"/>
        <w:rPr/>
      </w:pPr>
      <w:r>
        <w:rPr/>
      </w:r>
    </w:p>
    <w:p>
      <w:pPr>
        <w:pStyle w:val="BodyText"/>
        <w:rPr/>
      </w:pPr>
      <w:r>
        <w:rPr/>
      </w:r>
    </w:p>
    <w:p>
      <w:pPr>
        <w:pStyle w:val="Heading1"/>
        <w:rPr/>
      </w:pPr>
      <w:bookmarkStart w:id="37" w:name="__RefHeading___Toc176513_1389668050"/>
      <w:bookmarkEnd w:id="37"/>
      <w:r>
        <w:rPr/>
        <w:t>BASE table structure</w:t>
      </w:r>
    </w:p>
    <w:p>
      <w:pPr>
        <w:pStyle w:val="BodyText"/>
        <w:rPr/>
      </w:pPr>
      <w:r>
        <w:rPr/>
        <w:t xml:space="preserve">In 5.3.1 Base Table Structure, </w:t>
      </w:r>
      <w:r>
        <w:rPr/>
        <w:t>in the paragraph just before BaseCoord Format 1,</w:t>
      </w:r>
    </w:p>
    <w:p>
      <w:pPr>
        <w:pStyle w:val="BodyText"/>
        <w:rPr/>
      </w:pPr>
      <w:r>
        <w:rPr/>
        <w:t xml:space="preserve">Change </w:t>
      </w:r>
      <w:r>
        <w:rPr/>
        <w:t>t</w:t>
      </w:r>
      <w:r>
        <w:rPr>
          <w:lang w:val="en-GB"/>
        </w:rPr>
        <w:t>o:</w:t>
      </w:r>
    </w:p>
    <w:p>
      <w:pPr>
        <w:pStyle w:val="Normal"/>
        <w:rPr>
          <w:lang w:val="en-GB"/>
        </w:rPr>
      </w:pPr>
      <w:r>
        <w:rPr>
          <w:shd w:fill="800080" w:val="clear"/>
          <w:lang w:val="en-GB"/>
        </w:rPr>
        <w:t>Four</w:t>
      </w:r>
      <w:r>
        <w:rPr>
          <w:lang w:val="en-GB"/>
        </w:rPr>
        <w:t xml:space="preserve"> formats available for BaseCoord table data define single X or Y coordinate values in design units. </w:t>
      </w:r>
      <w:r>
        <w:rPr>
          <w:shd w:fill="800080" w:val="clear"/>
          <w:lang w:val="en-GB"/>
        </w:rPr>
        <w:t>The first two</w:t>
      </w:r>
      <w:r>
        <w:rPr>
          <w:shd w:fill="800080" w:val="clear"/>
          <w:lang w:val="en-GB"/>
        </w:rPr>
        <w:t xml:space="preserve"> </w:t>
      </w:r>
      <w:r>
        <w:rPr>
          <w:lang w:val="en-GB"/>
        </w:rPr>
        <w:t xml:space="preserve">formats also support fine adjustments to the X or Y values based on a contour point or a Device table. In a variable font, the third format uses a VariationIndex table (a variant of a Device table), as needed, to reference variation data for adjustment of the X or Y values for the current variation instance. </w:t>
      </w:r>
      <w:r>
        <w:rPr>
          <w:shd w:fill="800080" w:val="clear"/>
          <w:lang w:val="en-GB"/>
        </w:rPr>
        <w:t xml:space="preserve">The fourth format is the same as the second, </w:t>
      </w:r>
      <w:r>
        <w:rPr>
          <w:shd w:fill="800080" w:val="clear"/>
          <w:lang w:val="en-GB"/>
        </w:rPr>
        <w:t>supplying a glyph index and a contour point, but uses a 24-bit glyph-ID.</w:t>
      </w:r>
    </w:p>
    <w:p>
      <w:pPr>
        <w:pStyle w:val="BodyText"/>
        <w:spacing w:before="280" w:after="240"/>
        <w:rPr>
          <w:shd w:fill="auto" w:val="clear"/>
        </w:rPr>
      </w:pPr>
      <w:r>
        <w:rPr>
          <w:shd w:fill="auto" w:val="clear"/>
        </w:rPr>
      </w:r>
    </w:p>
    <w:p>
      <w:pPr>
        <w:pStyle w:val="BodyText"/>
        <w:spacing w:before="280" w:after="240"/>
        <w:rPr>
          <w:shd w:fill="auto" w:val="clear"/>
        </w:rPr>
      </w:pPr>
      <w:r>
        <w:rPr>
          <w:shd w:fill="auto" w:val="clear"/>
        </w:rPr>
        <w:t>Just before 6.3.1.5 BASE table examples, add</w:t>
      </w:r>
    </w:p>
    <w:p>
      <w:pPr>
        <w:pStyle w:val="BodyText"/>
        <w:spacing w:before="280" w:after="240"/>
        <w:rPr>
          <w:shd w:fill="auto" w:val="clear"/>
        </w:rPr>
      </w:pPr>
      <w:r>
        <w:rPr>
          <w:shd w:fill="auto" w:val="clear"/>
        </w:rPr>
      </w:r>
    </w:p>
    <w:p>
      <w:pPr>
        <w:pStyle w:val="NormalWeb"/>
        <w:spacing w:before="280" w:after="280"/>
        <w:rPr/>
      </w:pPr>
      <w:r>
        <w:rPr>
          <w:rStyle w:val="Emphasis"/>
        </w:rPr>
        <w:t>BaseCoordFormat</w:t>
      </w:r>
      <w:r>
        <w:rPr>
          <w:rStyle w:val="Emphasis"/>
        </w:rPr>
        <w:t>4</w:t>
      </w:r>
      <w:r>
        <w:rPr>
          <w:rStyle w:val="Emphasis"/>
        </w:rPr>
        <w:t xml:space="preserve"> table: Design units plus contour point </w:t>
      </w:r>
      <w:r>
        <w:rPr>
          <w:rStyle w:val="Emphasis"/>
        </w:rPr>
        <w:t>(24-bit glyph ID)</w:t>
      </w:r>
    </w:p>
    <w:tbl>
      <w:tblPr>
        <w:tblW w:w="8706" w:type="dxa"/>
        <w:jc w:val="left"/>
        <w:tblInd w:w="0" w:type="dxa"/>
        <w:tblLayout w:type="fixed"/>
        <w:tblCellMar>
          <w:top w:w="0" w:type="dxa"/>
          <w:left w:w="108" w:type="dxa"/>
          <w:bottom w:w="0" w:type="dxa"/>
          <w:right w:w="108" w:type="dxa"/>
        </w:tblCellMar>
      </w:tblPr>
      <w:tblGrid>
        <w:gridCol w:w="912"/>
        <w:gridCol w:w="1979"/>
        <w:gridCol w:w="5815"/>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1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baseCoordFormat</w:t>
            </w:r>
          </w:p>
        </w:tc>
        <w:tc>
          <w:tcPr>
            <w:tcW w:w="581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coordinate</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 or Y value, in design units</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800080" w:val="clear"/>
              </w:rPr>
            </w:pPr>
            <w:r>
              <w:rPr>
                <w:shd w:fill="800080" w:val="clear"/>
              </w:rPr>
              <w:t>uint</w:t>
            </w:r>
            <w:r>
              <w:rPr>
                <w:shd w:fill="800080" w:val="clear"/>
              </w:rPr>
              <w:t>24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referenceGlyph</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Glyph ID of control glyph</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19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baseCoordPoint</w:t>
            </w:r>
          </w:p>
        </w:tc>
        <w:tc>
          <w:tcPr>
            <w:tcW w:w="581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Index of contour point on the reference glyph</w:t>
            </w:r>
          </w:p>
        </w:tc>
      </w:tr>
    </w:tbl>
    <w:p>
      <w:pPr>
        <w:pStyle w:val="NormalWeb"/>
        <w:spacing w:before="280" w:after="280"/>
        <w:rPr/>
      </w:pPr>
      <w:r>
        <w:rPr>
          <w:rStyle w:val="Strong"/>
          <w:b w:val="false"/>
          <w:bCs w:val="false"/>
          <w:shd w:fill="800080" w:val="clear"/>
        </w:rPr>
        <w:t>The fourth BaseCoord format (BaseCoordFormat4) is the same as BaseCoordFormat2, but uses a 24-bit glyph ID, for example for use with the GLYF table rather than the 16-bit glyf table.</w:t>
      </w:r>
    </w:p>
    <w:p>
      <w:pPr>
        <w:pStyle w:val="Heading1"/>
        <w:rPr>
          <w:shd w:fill="FFFF00" w:val="clear"/>
        </w:rPr>
      </w:pPr>
      <w:bookmarkStart w:id="38" w:name="__RefHeading___Toc117699_1712311476"/>
      <w:bookmarkEnd w:id="38"/>
      <w:r>
        <w:rPr>
          <w:shd w:fill="FFFF00" w:val="clear"/>
        </w:rPr>
        <w:t>HHEA—Horizontal header [5.1.4]</w:t>
      </w:r>
    </w:p>
    <w:p>
      <w:pPr>
        <w:pStyle w:val="NormalWeb"/>
        <w:rPr>
          <w:shd w:fill="FFFF00" w:val="clear"/>
        </w:rPr>
      </w:pPr>
      <w:r>
        <w:rPr>
          <w:shd w:fill="FFFF00" w:val="clear"/>
        </w:rPr>
        <w:t xml:space="preserve">This table </w:t>
      </w:r>
      <w:r>
        <w:rPr>
          <w:shd w:fill="FFFF00" w:val="clear"/>
        </w:rPr>
        <w:t>is intended for use with the ‘GLYF’ table. The lower-case named ‘hhea’ table shall be used in con</w:t>
      </w:r>
      <w:r>
        <w:rPr>
          <w:shd w:fill="FFFF00" w:val="clear"/>
        </w:rPr>
        <w:t>j</w:t>
      </w:r>
      <w:r>
        <w:rPr>
          <w:shd w:fill="FFFF00" w:val="clear"/>
        </w:rPr>
        <w:t>unction with the lower-case named ‘glyf’ table.</w:t>
      </w:r>
    </w:p>
    <w:p>
      <w:pPr>
        <w:pStyle w:val="Normal"/>
        <w:rPr>
          <w:lang w:val="en-GB"/>
        </w:rPr>
      </w:pPr>
      <w:r>
        <w:rPr>
          <w:lang w:val="en-GB"/>
        </w:rPr>
        <w:t xml:space="preserve">This table contains information for horizontal layout. The values in the minRightSidebearing, minLeftSideBearing and xMaxExtent should be computed using </w:t>
      </w:r>
      <w:r>
        <w:rPr>
          <w:i/>
          <w:iCs/>
          <w:lang w:val="en-GB"/>
        </w:rPr>
        <w:t>only</w:t>
      </w:r>
      <w:r>
        <w:rPr>
          <w:lang w:val="en-GB"/>
        </w:rPr>
        <w:t xml:space="preserve"> glyphs that have contours. Glyphs with no contours should be ignored for the purposes of these calculations. All reserved areas shall be set to 0. </w:t>
      </w:r>
    </w:p>
    <w:tbl>
      <w:tblPr>
        <w:tblW w:w="9464" w:type="dxa"/>
        <w:jc w:val="left"/>
        <w:tblInd w:w="0" w:type="dxa"/>
        <w:tblLayout w:type="fixed"/>
        <w:tblCellMar>
          <w:top w:w="0" w:type="dxa"/>
          <w:left w:w="108" w:type="dxa"/>
          <w:bottom w:w="0" w:type="dxa"/>
          <w:right w:w="108" w:type="dxa"/>
        </w:tblCellMar>
      </w:tblPr>
      <w:tblGrid>
        <w:gridCol w:w="1178"/>
        <w:gridCol w:w="2289"/>
        <w:gridCol w:w="5997"/>
      </w:tblGrid>
      <w:tr>
        <w:trPr/>
        <w:tc>
          <w:tcPr>
            <w:tcW w:w="11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17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9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horizontal header table — set to 1.</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horizontal header table — 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ascent—see remarks below.</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descent—see remarks below. </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line gap. </w:t>
              <w:br/>
              <w:t>Negative lineGap values are treated as zero in some legacy platform implementations.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advanceWidthMax</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advance width value in 'hmtx' table.</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minLeftSideBearing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left sidebearing value in 'hmtx' table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minRightSideBearing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right sidebearing value; calculated as min(aw - (lsb + xMax - xMin))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xMaxExtent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Max(lsb + (xMax - xMin)).</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Used to calculate the slope of the cursor (rise/run); 1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a slanted highlight on a glyph needs to be shifted to produce the best appearance. Set to 0 for non-slanted fonts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current format.</w:t>
            </w:r>
          </w:p>
        </w:tc>
      </w:tr>
      <w:tr>
        <w:trPr/>
        <w:tc>
          <w:tcPr>
            <w:tcW w:w="117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2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numberOfHMetrics</w:t>
            </w:r>
          </w:p>
        </w:tc>
        <w:tc>
          <w:tcPr>
            <w:tcW w:w="59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hMetric entries in 'hmtx' table</w:t>
            </w:r>
          </w:p>
        </w:tc>
      </w:tr>
    </w:tbl>
    <w:p>
      <w:pPr>
        <w:pStyle w:val="FirstParagraph"/>
        <w:spacing w:before="280" w:after="240"/>
        <w:rPr/>
      </w:pPr>
      <w:r>
        <w:rPr/>
        <w:t>The ascender, descender and linegap values in this table are Apple specific; see the ‘hhea’ table specification of Apple’s TrueType Reference Manual [7] for details regarding Apple platforms. The sTypoAscender, sTypoDescender and sTypoLineGap fields in the OS/2 table are used on the Windows platform, and are recommended for new text-layout implementations. Font developers should evaluate behavior in target applications that may use fields in this table or in the OS/2 table to ensure consistent layout. See the descriptions of the OS/2 fields (5.1.8.23 – 5.1.8.25) for additional details.</w:t>
      </w:r>
    </w:p>
    <w:p>
      <w:pPr>
        <w:pStyle w:val="Normal"/>
        <w:spacing w:lineRule="auto" w:line="240" w:before="280" w:after="280"/>
        <w:jc w:val="left"/>
        <w:rPr>
          <w:b/>
          <w:bCs/>
        </w:rPr>
      </w:pPr>
      <w:r>
        <w:rPr>
          <w:b/>
          <w:bCs/>
        </w:rPr>
        <w:t>'</w:t>
      </w:r>
      <w:r>
        <w:rPr>
          <w:b/>
          <w:bCs/>
          <w:shd w:fill="FFFF00" w:val="clear"/>
        </w:rPr>
        <w:t>HHEA</w:t>
      </w:r>
      <w:r>
        <w:rPr>
          <w:b/>
          <w:bCs/>
        </w:rPr>
        <w:t>' Table and OFF Font Variations</w:t>
      </w:r>
    </w:p>
    <w:p>
      <w:pPr>
        <w:pStyle w:val="Normal"/>
        <w:spacing w:lineRule="auto" w:line="240" w:before="280" w:after="240"/>
        <w:rPr/>
      </w:pPr>
      <w:r>
        <w:rPr/>
        <w:t>In a variable font, various font-metric values within the horizontal header table may need to be adjusted for different variation instances. Variation data for '</w:t>
      </w:r>
      <w:r>
        <w:rPr>
          <w:shd w:fill="FFFF00" w:val="clear"/>
        </w:rPr>
        <w:t>HHEA</w:t>
      </w:r>
      <w:r>
        <w:rPr/>
        <w:t xml:space="preserve">' entries can be provided in the </w:t>
      </w:r>
      <w:hyperlink w:anchor="_MVAR_–_Metrics">
        <w:r>
          <w:rPr>
            <w:rStyle w:val="Hyperlink"/>
            <w:lang w:val="en-GB"/>
          </w:rPr>
          <w:t>metrics variations ('MVAR') table</w:t>
        </w:r>
      </w:hyperlink>
      <w:r>
        <w:rPr/>
        <w:t>. Different '</w:t>
      </w:r>
      <w:r>
        <w:rPr>
          <w:shd w:fill="FFFF00" w:val="clear"/>
        </w:rPr>
        <w:t>HHEA</w:t>
      </w:r>
      <w:r>
        <w:rPr/>
        <w:t>' entries are associated with particular variation data in the 'MVAR' table using value tags, as follows:</w:t>
      </w:r>
    </w:p>
    <w:tbl>
      <w:tblPr>
        <w:tblW w:w="2950" w:type="pct"/>
        <w:jc w:val="left"/>
        <w:tblInd w:w="0" w:type="dxa"/>
        <w:tblLayout w:type="fixed"/>
        <w:tblCellMar>
          <w:top w:w="0" w:type="dxa"/>
          <w:left w:w="108" w:type="dxa"/>
          <w:bottom w:w="0" w:type="dxa"/>
          <w:right w:w="108" w:type="dxa"/>
        </w:tblCellMar>
      </w:tblPr>
      <w:tblGrid>
        <w:gridCol w:w="2585"/>
        <w:gridCol w:w="3168"/>
      </w:tblGrid>
      <w:tr>
        <w:trPr/>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'hhea' entry</w:t>
            </w:r>
          </w:p>
        </w:tc>
        <w:tc>
          <w:tcPr>
            <w:tcW w:w="31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5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31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'hcof'</w:t>
            </w:r>
          </w:p>
        </w:tc>
      </w:tr>
      <w:tr>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316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'hcrs'</w:t>
            </w:r>
          </w:p>
        </w:tc>
      </w:tr>
      <w:tr>
        <w:trPr/>
        <w:tc>
          <w:tcPr>
            <w:tcW w:w="25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caretSlopeRun</w:t>
            </w:r>
          </w:p>
        </w:tc>
        <w:tc>
          <w:tcPr>
            <w:tcW w:w="31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'hcrn'</w:t>
            </w:r>
          </w:p>
        </w:tc>
      </w:tr>
    </w:tbl>
    <w:p>
      <w:pPr>
        <w:pStyle w:val="NOTE2"/>
        <w:rPr>
          <w:shd w:fill="800080" w:val="clear"/>
        </w:rPr>
      </w:pPr>
      <w:r>
        <w:rPr>
          <w:shd w:fill="800080" w:val="clear"/>
        </w:rPr>
        <w:t>NOTE:</w:t>
        <w:tab/>
      </w:r>
      <w:r>
        <w:rPr>
          <w:shd w:fill="800080" w:val="clear"/>
        </w:rPr>
        <w:t>The ‘HHEA’ and ‘hhea’ tables use the same variation tags</w:t>
      </w:r>
    </w:p>
    <w:p>
      <w:pPr>
        <w:pStyle w:val="Normal"/>
        <w:spacing w:lineRule="auto" w:line="240" w:before="280" w:after="240"/>
        <w:jc w:val="left"/>
        <w:rPr/>
      </w:pPr>
      <w:r>
        <w:rPr/>
        <w:t xml:space="preserve">For general information on OFF Font Variations, see </w:t>
      </w:r>
      <w:hyperlink w:anchor="_Font_variations_overview">
        <w:r>
          <w:rPr>
            <w:rStyle w:val="Hyperlink"/>
            <w:lang w:val="en-GB"/>
          </w:rPr>
          <w:t>subclause 7.1</w:t>
        </w:r>
      </w:hyperlink>
      <w:r>
        <w:rPr/>
        <w:t>.</w:t>
      </w:r>
    </w:p>
    <w:p>
      <w:pPr>
        <w:pStyle w:val="Heading1"/>
        <w:rPr/>
      </w:pPr>
      <w:bookmarkStart w:id="39" w:name="__RefHeading___Toc22268_2925186988"/>
      <w:bookmarkEnd w:id="39"/>
      <w:r>
        <w:rPr/>
        <w:t>HMTX</w:t>
      </w:r>
      <w:bookmarkStart w:id="40" w:name="_Toc113087978"/>
      <w:bookmarkStart w:id="41" w:name="_Toc113348382"/>
      <w:bookmarkStart w:id="42" w:name="_Toc534817013"/>
      <w:bookmarkStart w:id="43" w:name="_Toc521662477"/>
      <w:bookmarkStart w:id="44" w:name="_Toc518658231"/>
      <w:bookmarkStart w:id="45" w:name="_Toc133507309"/>
      <w:bookmarkStart w:id="46" w:name="_Toc224979108"/>
      <w:r>
        <w:rPr/>
        <w:t>—Horizontal metrics</w:t>
      </w:r>
      <w:bookmarkEnd w:id="40"/>
      <w:bookmarkEnd w:id="41"/>
      <w:bookmarkEnd w:id="42"/>
      <w:bookmarkEnd w:id="43"/>
      <w:bookmarkEnd w:id="44"/>
      <w:bookmarkEnd w:id="45"/>
      <w:bookmarkEnd w:id="46"/>
      <w:r>
        <w:rPr/>
        <w:t xml:space="preserve">  </w:t>
      </w:r>
      <w:r>
        <w:rPr/>
        <w:t>[insert before 5.1.5 hmtx]</w:t>
      </w:r>
    </w:p>
    <w:p>
      <w:pPr>
        <w:pStyle w:val="Normal"/>
        <w:rPr>
          <w:lang w:val="en-GB"/>
        </w:rPr>
      </w:pPr>
      <w:r>
        <w:rPr>
          <w:lang w:val="en-GB"/>
        </w:rPr>
        <w:t>Glyph metrics used for horizontal text layout include glyph advance widths, side bearings and X-direction min and max values (xMin, xMax). These are derived using a combination of the glyph outline data ('</w:t>
      </w:r>
      <w:r>
        <w:rPr>
          <w:shd w:fill="FFFF00" w:val="clear"/>
          <w:lang w:val="en-GB"/>
        </w:rPr>
        <w:t>GLYF</w:t>
      </w:r>
      <w:r>
        <w:rPr>
          <w:lang w:val="en-GB"/>
        </w:rPr>
        <w:t>', 'CFF ' or 'CFF2') and the horizontal metrics table. The horizontal metrics ('</w:t>
      </w:r>
      <w:r>
        <w:rPr>
          <w:shd w:fill="FFFF00" w:val="clear"/>
          <w:lang w:val="en-GB"/>
        </w:rPr>
        <w:t>HMTX</w:t>
      </w:r>
      <w:r>
        <w:rPr>
          <w:lang w:val="en-GB"/>
        </w:rPr>
        <w:t>') table provides glyph advance widths and left side bearings.</w:t>
      </w:r>
    </w:p>
    <w:p>
      <w:pPr>
        <w:pStyle w:val="Normal"/>
        <w:rPr>
          <w:shd w:fill="FFFF00" w:val="clear"/>
          <w:lang w:val="en-GB"/>
        </w:rPr>
      </w:pPr>
      <w:r>
        <w:rPr>
          <w:shd w:fill="FFFF00" w:val="clear"/>
          <w:lang w:val="en-GB"/>
        </w:rPr>
        <w:t>If</w:t>
      </w:r>
      <w:r>
        <w:rPr>
          <w:shd w:fill="FFFF00" w:val="clear"/>
          <w:lang w:val="en-GB"/>
        </w:rPr>
        <w:t xml:space="preserve"> the ‘GLYF’ table is present, any ‘glyf’ table shall be ignored, along w</w:t>
      </w:r>
      <w:r>
        <w:rPr>
          <w:shd w:fill="FFFF00" w:val="clear"/>
          <w:lang w:val="en-GB"/>
        </w:rPr>
        <w:t>i</w:t>
      </w:r>
      <w:r>
        <w:rPr>
          <w:shd w:fill="FFFF00" w:val="clear"/>
          <w:lang w:val="en-GB"/>
        </w:rPr>
        <w:t xml:space="preserve">th ‘hmtx’, </w:t>
      </w:r>
      <w:r>
        <w:rPr>
          <w:shd w:fill="FFFF00" w:val="clear"/>
          <w:lang w:val="en-GB"/>
        </w:rPr>
        <w:t>and HTMLX shall be used</w:t>
      </w:r>
      <w:r>
        <w:rPr>
          <w:shd w:fill="FFFF00" w:val="clear"/>
          <w:lang w:val="en-GB"/>
        </w:rPr>
        <w:t xml:space="preserve">. If the ‘GLYF’ </w:t>
      </w:r>
      <w:r>
        <w:rPr>
          <w:shd w:fill="FFFF00" w:val="clear"/>
          <w:lang w:val="en-GB"/>
        </w:rPr>
        <w:t xml:space="preserve">table </w:t>
      </w:r>
      <w:r>
        <w:rPr>
          <w:shd w:fill="FFFF00" w:val="clear"/>
          <w:lang w:val="en-GB"/>
        </w:rPr>
        <w:t xml:space="preserve">is not present , </w:t>
      </w:r>
      <w:r>
        <w:rPr>
          <w:shd w:fill="FFFF00" w:val="clear"/>
          <w:lang w:val="en-GB"/>
        </w:rPr>
        <w:t xml:space="preserve">the </w:t>
      </w:r>
      <w:r>
        <w:rPr>
          <w:shd w:fill="FFFF00" w:val="clear"/>
          <w:lang w:val="en-GB"/>
        </w:rPr>
        <w:t xml:space="preserve">‘HMTX’ </w:t>
      </w:r>
      <w:r>
        <w:rPr>
          <w:shd w:fill="FFFF00" w:val="clear"/>
          <w:lang w:val="en-GB"/>
        </w:rPr>
        <w:t xml:space="preserve">table </w:t>
      </w:r>
      <w:r>
        <w:rPr>
          <w:shd w:fill="FFFF00" w:val="clear"/>
          <w:lang w:val="en-GB"/>
        </w:rPr>
        <w:t>shall be ignored, and ‘htmx’ shall be used.</w:t>
      </w:r>
    </w:p>
    <w:p>
      <w:pPr>
        <w:pStyle w:val="Normal"/>
        <w:rPr>
          <w:lang w:val="en-GB"/>
        </w:rPr>
      </w:pPr>
      <w:r>
        <w:rPr>
          <w:lang w:val="en-GB"/>
        </w:rPr>
        <w:t xml:space="preserve">In a font with TrueType outline data, the </w:t>
      </w:r>
      <w:hyperlink w:anchor="_glyf_–_Glyf">
        <w:r>
          <w:rPr>
            <w:rStyle w:val="Hyperlink"/>
            <w:rFonts w:cs="Arial"/>
            <w:lang w:val="en-GB"/>
          </w:rPr>
          <w:t>'</w:t>
        </w:r>
        <w:r>
          <w:rPr>
            <w:rStyle w:val="Hyperlink"/>
            <w:rFonts w:cs="Arial"/>
            <w:shd w:fill="FFFF00" w:val="clear"/>
            <w:lang w:val="en-GB"/>
          </w:rPr>
          <w:t>GLYF</w:t>
        </w:r>
        <w:r>
          <w:rPr>
            <w:rStyle w:val="Hyperlink"/>
            <w:rFonts w:cs="Arial"/>
            <w:lang w:val="en-GB"/>
          </w:rPr>
          <w:t>'</w:t>
        </w:r>
      </w:hyperlink>
      <w:r>
        <w:rPr>
          <w:lang w:val="en-GB"/>
        </w:rPr>
        <w:t xml:space="preserve"> table provides xMin and xMax values, but not advance widths or side bearings. The advance width is always obtained from the '</w:t>
      </w:r>
      <w:r>
        <w:rPr>
          <w:shd w:fill="FFFF00" w:val="clear"/>
          <w:lang w:val="en-GB"/>
        </w:rPr>
        <w:t>HMTX</w:t>
      </w:r>
      <w:r>
        <w:rPr>
          <w:lang w:val="en-GB"/>
        </w:rPr>
        <w:t xml:space="preserve">' table. In some fonts, depending on the state of flags in the </w:t>
      </w:r>
      <w:hyperlink w:anchor="_head_–_Font">
        <w:r>
          <w:rPr>
            <w:rStyle w:val="Hyperlink"/>
            <w:rFonts w:cs="Arial"/>
            <w:lang w:val="en-GB"/>
          </w:rPr>
          <w:t>'head'</w:t>
        </w:r>
      </w:hyperlink>
      <w:r>
        <w:rPr>
          <w:lang w:val="en-GB"/>
        </w:rPr>
        <w:t xml:space="preserve"> table, the left side bearings may be the same as the xMin values in the '</w:t>
      </w:r>
      <w:r>
        <w:rPr>
          <w:shd w:fill="FFFF00" w:val="clear"/>
          <w:lang w:val="en-GB"/>
        </w:rPr>
        <w:t>GLYF</w:t>
      </w:r>
      <w:r>
        <w:rPr>
          <w:lang w:val="en-GB"/>
        </w:rPr>
        <w:t>' table, though this is not true for all fonts. (See the description of bit 1 of the flags field in the 'head' table.) For this reason, left side bearings are provided in the '</w:t>
      </w:r>
      <w:r>
        <w:rPr>
          <w:shd w:fill="FFFF00" w:val="clear"/>
          <w:lang w:val="en-GB"/>
        </w:rPr>
        <w:t>HMTX</w:t>
      </w:r>
      <w:r>
        <w:rPr>
          <w:lang w:val="en-GB"/>
        </w:rPr>
        <w:t>' table. The right side bearing is always derived using advance width and left side bearing values from the '</w:t>
      </w:r>
      <w:r>
        <w:rPr>
          <w:shd w:fill="FFFF00" w:val="clear"/>
          <w:lang w:val="en-GB"/>
        </w:rPr>
        <w:t>HMTX</w:t>
      </w:r>
      <w:r>
        <w:rPr>
          <w:lang w:val="en-GB"/>
        </w:rPr>
        <w:t>' table, plus bounding-box information in the glyph description — see below for more details.</w:t>
      </w:r>
    </w:p>
    <w:p>
      <w:pPr>
        <w:pStyle w:val="Normal"/>
        <w:rPr>
          <w:lang w:val="en-GB"/>
        </w:rPr>
      </w:pPr>
      <w:r>
        <w:rPr>
          <w:lang w:val="en-GB"/>
        </w:rPr>
        <w:t>In a variable font with TrueType outline data, the left side bearing value in the 'hmtx' table must always be equal to xMin (bit 1 of the 'head' flags field must be set). Hence, these values can also be derived directly from the '</w:t>
      </w:r>
      <w:r>
        <w:rPr>
          <w:shd w:fill="FFFF00" w:val="clear"/>
          <w:lang w:val="en-GB"/>
        </w:rPr>
        <w:t>GLYF</w:t>
      </w:r>
      <w:r>
        <w:rPr>
          <w:lang w:val="en-GB"/>
        </w:rPr>
        <w:t xml:space="preserve">' table. Note that these values apply only to the default instance of the variable font: non-default instances may have different side bearing values. These can be derived from interpolated “phantom point” coordinates using the </w:t>
      </w:r>
      <w:hyperlink w:anchor="_Toc469671858">
        <w:r>
          <w:rPr>
            <w:rStyle w:val="Hyperlink"/>
            <w:rFonts w:cs="Arial"/>
            <w:lang w:val="en-GB"/>
          </w:rPr>
          <w:t>'</w:t>
        </w:r>
        <w:r>
          <w:rPr>
            <w:rStyle w:val="Hyperlink"/>
            <w:rFonts w:cs="Arial"/>
            <w:shd w:fill="FFFF00" w:val="clear"/>
            <w:lang w:val="en-GB"/>
          </w:rPr>
          <w:t>GVAR</w:t>
        </w:r>
        <w:r>
          <w:rPr>
            <w:rStyle w:val="Hyperlink"/>
            <w:rFonts w:cs="Arial"/>
            <w:lang w:val="en-GB"/>
          </w:rPr>
          <w:t>'</w:t>
        </w:r>
      </w:hyperlink>
      <w:r>
        <w:rPr>
          <w:lang w:val="en-GB"/>
        </w:rPr>
        <w:t xml:space="preserve"> table (see below for additional details), or by applying variation data in the </w:t>
      </w:r>
      <w:hyperlink w:anchor="_HVAR_–_Horizontal">
        <w:r>
          <w:rPr>
            <w:rStyle w:val="Hyperlink"/>
            <w:rFonts w:cs="Arial"/>
            <w:lang w:val="en-GB"/>
          </w:rPr>
          <w:t>'HVAR'</w:t>
        </w:r>
      </w:hyperlink>
      <w:r>
        <w:rPr>
          <w:lang w:val="en-GB"/>
        </w:rPr>
        <w:t xml:space="preserve"> table to default-instance values from the '</w:t>
      </w:r>
      <w:r>
        <w:rPr>
          <w:shd w:fill="FFFF00" w:val="clear"/>
          <w:lang w:val="en-GB"/>
        </w:rPr>
        <w:t>GLYF</w:t>
      </w:r>
      <w:r>
        <w:rPr>
          <w:lang w:val="en-GB"/>
        </w:rPr>
        <w:t>' or '</w:t>
      </w:r>
      <w:r>
        <w:rPr>
          <w:shd w:fill="FFFF00" w:val="clear"/>
          <w:lang w:val="en-GB"/>
        </w:rPr>
        <w:t>HMTX</w:t>
      </w:r>
      <w:r>
        <w:rPr>
          <w:lang w:val="en-GB"/>
        </w:rPr>
        <w:t>' table.</w:t>
      </w:r>
    </w:p>
    <w:p>
      <w:pPr>
        <w:pStyle w:val="Normal"/>
        <w:rPr>
          <w:lang w:val="en-GB"/>
        </w:rPr>
      </w:pPr>
      <w:r>
        <w:rPr>
          <w:lang w:val="en-GB"/>
        </w:rPr>
        <w:t xml:space="preserve">In a font with CFF version 1 outline data, the 'CFF ' table does include advance widths. These values are used by PostScript processors, but are not used in OFF layout. In an OFF context, </w:t>
      </w:r>
      <w:r>
        <w:rPr>
          <w:shd w:fill="FFFF00" w:val="clear"/>
          <w:lang w:val="en-GB"/>
        </w:rPr>
        <w:t>an</w:t>
      </w:r>
      <w:r>
        <w:rPr>
          <w:shd w:fill="FFFF00" w:val="clear"/>
          <w:lang w:val="en-GB"/>
        </w:rPr>
        <w:t xml:space="preserve"> 'hmtx' </w:t>
      </w:r>
      <w:r>
        <w:rPr>
          <w:shd w:fill="FFFF00" w:val="clear"/>
          <w:lang w:val="en-GB"/>
        </w:rPr>
        <w:t xml:space="preserve">or ‘HMTX’ </w:t>
      </w:r>
      <w:r>
        <w:rPr>
          <w:shd w:fill="FFFF00" w:val="clear"/>
          <w:lang w:val="en-GB"/>
        </w:rPr>
        <w:t>tabl</w:t>
      </w:r>
      <w:r>
        <w:rPr>
          <w:lang w:val="en-GB"/>
        </w:rPr>
        <w:t xml:space="preserve">e is required and must be used for advance widths. Note that fonts in a Font Collection file that share a 'CFF ' table may specify different advance widths in font-specific </w:t>
      </w:r>
      <w:r>
        <w:rPr>
          <w:shd w:fill="FFFF00" w:val="clear"/>
          <w:lang w:val="en-GB"/>
        </w:rPr>
        <w:t>'</w:t>
      </w:r>
      <w:r>
        <w:rPr>
          <w:shd w:fill="FFFF00" w:val="clear"/>
          <w:lang w:val="en-GB"/>
        </w:rPr>
        <w:t>HMTX</w:t>
      </w:r>
      <w:r>
        <w:rPr>
          <w:shd w:fill="FFFF00" w:val="clear"/>
          <w:lang w:val="en-GB"/>
        </w:rPr>
        <w:t xml:space="preserve">' </w:t>
      </w:r>
      <w:r>
        <w:rPr>
          <w:shd w:fill="FFFF00" w:val="clear"/>
          <w:lang w:val="en-GB"/>
        </w:rPr>
        <w:t>or ‘hmtx’</w:t>
      </w:r>
      <w:r>
        <w:rPr>
          <w:lang w:val="en-GB"/>
        </w:rPr>
        <w:t xml:space="preserve"> </w:t>
      </w:r>
      <w:r>
        <w:rPr>
          <w:lang w:val="en-GB"/>
        </w:rPr>
        <w:t>tables for a particular glyph index. Also note that the 'CFF2' table does not include advance widths. In addition, for either 'CFF ' or 'CFF2' data, there are no explicit xMin and xMax values; side bearings are implicitly contained within the CharString data, and can be obtained from the CFF / CFF2 rasterizer. Some layout engines may use left side bearing values in the '</w:t>
      </w:r>
      <w:r>
        <w:rPr>
          <w:lang w:val="en-GB"/>
        </w:rPr>
        <w:t>HMTX</w:t>
      </w:r>
      <w:r>
        <w:rPr>
          <w:lang w:val="en-GB"/>
        </w:rPr>
        <w:t>' table, however; hence, font production tools should ensure that the left side bearing values in the 'hmtx' table match the implicit xMin values reflected in the CharString data. In a variable font with CFF2 outline data, left side bearing and advance width values for non-default instances should be obtained by combining information</w:t>
      </w:r>
      <w:r>
        <w:rPr>
          <w:shd w:fill="FFFF00" w:val="clear"/>
          <w:lang w:val="en-GB"/>
        </w:rPr>
        <w:t xml:space="preserve"> from the ‘</w:t>
      </w:r>
      <w:r>
        <w:rPr>
          <w:shd w:fill="FFFF00" w:val="clear"/>
          <w:lang w:val="en-GB"/>
        </w:rPr>
        <w:t xml:space="preserve">HMTX’ or </w:t>
      </w:r>
      <w:r>
        <w:rPr>
          <w:shd w:fill="FFFF00" w:val="clear"/>
          <w:lang w:val="en-GB"/>
        </w:rPr>
        <w:t xml:space="preserve">'hmtx' </w:t>
      </w:r>
      <w:r>
        <w:rPr>
          <w:shd w:fill="FFFF00" w:val="clear"/>
          <w:lang w:val="en-GB"/>
        </w:rPr>
        <w:t>tables</w:t>
      </w:r>
      <w:r>
        <w:rPr>
          <w:shd w:fill="FFFF00" w:val="clear"/>
          <w:lang w:val="en-GB"/>
        </w:rPr>
        <w:t xml:space="preserve"> and </w:t>
      </w:r>
      <w:r>
        <w:rPr>
          <w:shd w:fill="FFFF00" w:val="clear"/>
          <w:lang w:val="en-GB"/>
        </w:rPr>
        <w:t xml:space="preserve">the </w:t>
      </w:r>
      <w:r>
        <w:rPr>
          <w:shd w:fill="FFFF00" w:val="clear"/>
          <w:lang w:val="en-GB"/>
        </w:rPr>
        <w:t>'HVAR' table.</w:t>
      </w:r>
    </w:p>
    <w:p>
      <w:pPr>
        <w:pStyle w:val="NOTE2"/>
        <w:rPr/>
      </w:pPr>
      <w:r>
        <w:rPr>
          <w:shd w:fill="FFFF00" w:val="clear"/>
          <w:lang w:val="en-GB"/>
        </w:rPr>
        <w:t>NOTE</w:t>
        <w:tab/>
      </w:r>
      <w:r>
        <w:rPr>
          <w:shd w:fill="FFFF00" w:val="clear"/>
          <w:lang w:val="en-GB"/>
        </w:rPr>
        <w:t>F</w:t>
      </w:r>
      <w:r>
        <w:rPr>
          <w:shd w:fill="FFFF00" w:val="clear"/>
          <w:lang w:val="en-GB"/>
        </w:rPr>
        <w:t xml:space="preserve">or maximum interoperability the ‘hmtx’ table rather than HMTX should be used with CFF; however, ‘hmtx’ is restricted to 16-bit glyph Ids. </w:t>
      </w:r>
    </w:p>
    <w:p>
      <w:pPr>
        <w:pStyle w:val="Normal"/>
        <w:rPr>
          <w:lang w:val="en-GB"/>
        </w:rPr>
      </w:pPr>
      <w:r>
        <w:rPr>
          <w:lang w:val="en-GB"/>
        </w:rPr>
        <w:t xml:space="preserve">The table uses a LongHorMetric record to give the advance width and left side bearing of a glyph. Records are indexed by glyph ID. As an optimization, the number of records can be less than the number of glyphs, in which case the advance width value of the last record applies to all remaining glyph IDs. This can be useful in monospaced fonts, or in fonts that have a large number of glyphs with the same advance width (provided the glyphs are ordered appropriately). The number of LongHorMetric records is determined by the numberOfHMetrics field in the </w:t>
      </w:r>
      <w:hyperlink w:anchor="_hhea_–_Horizontal">
        <w:r>
          <w:rPr>
            <w:rStyle w:val="Hyperlink"/>
            <w:rFonts w:cs="Arial"/>
            <w:lang w:val="en-GB"/>
          </w:rPr>
          <w:t>'</w:t>
        </w:r>
        <w:r>
          <w:rPr>
            <w:rStyle w:val="Hyperlink"/>
            <w:rFonts w:cs="Arial"/>
            <w:shd w:fill="FFFF00" w:val="clear"/>
            <w:lang w:val="en-GB"/>
          </w:rPr>
          <w:t>HHEA</w:t>
        </w:r>
        <w:r>
          <w:rPr>
            <w:rStyle w:val="Hyperlink"/>
            <w:rFonts w:cs="Arial"/>
            <w:lang w:val="en-GB"/>
          </w:rPr>
          <w:t>'</w:t>
        </w:r>
      </w:hyperlink>
      <w:r>
        <w:rPr>
          <w:lang w:val="en-GB"/>
        </w:rPr>
        <w:t xml:space="preserve"> table.</w:t>
      </w:r>
    </w:p>
    <w:p>
      <w:pPr>
        <w:pStyle w:val="NOTE2"/>
        <w:rPr>
          <w:shd w:fill="FFFF00" w:val="clear"/>
        </w:rPr>
      </w:pPr>
      <w:r>
        <w:rPr>
          <w:shd w:fill="FFFF00" w:val="clear"/>
          <w:lang w:val="en-GB"/>
        </w:rPr>
        <w:t>NOTE</w:t>
        <w:tab/>
        <w:t xml:space="preserve">The ‘HHEA’ table is for use with HMTX and GLYF. The ‘hhea’ table is used with the ‘glyf’ table. </w:t>
      </w:r>
      <w:r>
        <w:rPr>
          <w:shd w:fill="FFFF00" w:val="clear"/>
          <w:lang w:val="en-GB"/>
        </w:rPr>
        <w:t xml:space="preserve">The </w:t>
      </w:r>
      <w:r>
        <w:rPr>
          <w:shd w:fill="FFFF00" w:val="clear"/>
          <w:lang w:val="en-GB"/>
        </w:rPr>
        <w:t>primary</w:t>
      </w:r>
      <w:r>
        <w:rPr>
          <w:shd w:fill="FFFF00" w:val="clear"/>
          <w:lang w:val="en-GB"/>
        </w:rPr>
        <w:t xml:space="preserve"> difference between ‘HMTX’ and ‘hmtx’ is that ‘HMTX’ obtains numberOfHMetrics from ‘HHEA’ rather than from ‘hhea’.</w:t>
      </w:r>
    </w:p>
    <w:p>
      <w:pPr>
        <w:pStyle w:val="Normal"/>
        <w:rPr>
          <w:lang w:val="en-GB"/>
        </w:rPr>
      </w:pPr>
      <w:r>
        <w:rPr>
          <w:lang w:val="en-GB"/>
        </w:rPr>
        <w:t xml:space="preserve">If numberOfHMetrics is less than the total number of glyphs </w:t>
      </w:r>
      <w:r>
        <w:rPr>
          <w:shd w:fill="FFFF00" w:val="clear"/>
          <w:lang w:val="en-GB"/>
        </w:rPr>
        <w:t>in the ‘GLYF’ table</w:t>
      </w:r>
      <w:r>
        <w:rPr>
          <w:lang w:val="en-GB"/>
        </w:rPr>
        <w:t>, then the hMetrics array is followed by an array for the left side bearing values of the remaining glyphs.</w:t>
      </w:r>
    </w:p>
    <w:p>
      <w:pPr>
        <w:pStyle w:val="NormalWeb"/>
        <w:keepNext w:val="true"/>
        <w:spacing w:before="280" w:after="0"/>
        <w:rPr/>
      </w:pPr>
      <w:r>
        <w:rPr>
          <w:rStyle w:val="Emphasis"/>
        </w:rPr>
        <w:t>Horizontal Metrics Table:</w:t>
      </w:r>
    </w:p>
    <w:p>
      <w:pPr>
        <w:pStyle w:val="HTMLPreformatted"/>
        <w:keepNext w:val="true"/>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723"/>
        <w:gridCol w:w="2270"/>
        <w:gridCol w:w="5329"/>
      </w:tblGrid>
      <w:tr>
        <w:trPr/>
        <w:tc>
          <w:tcPr>
            <w:tcW w:w="172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72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LongHorMetric</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rPr/>
            </w:pPr>
            <w:r>
              <w:rPr/>
              <w:t>hMetrics</w:t>
            </w:r>
          </w:p>
          <w:p>
            <w:pPr>
              <w:pStyle w:val="TableParagraph"/>
              <w:spacing w:before="0" w:after="227"/>
              <w:rPr/>
            </w:pPr>
            <w:r>
              <w:rPr/>
              <w:t>[numberOfHMetrics]</w:t>
            </w:r>
          </w:p>
        </w:tc>
        <w:tc>
          <w:tcPr>
            <w:tcW w:w="53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Paired advance width and left side bearing values for each glyph. Records are indexed by glyph ID.</w:t>
            </w:r>
          </w:p>
        </w:tc>
      </w:tr>
      <w:tr>
        <w:trPr/>
        <w:tc>
          <w:tcPr>
            <w:tcW w:w="172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 xml:space="preserve">FWORD </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rPr/>
            </w:pPr>
            <w:r>
              <w:rPr/>
              <w:t>leftSideBearings</w:t>
            </w:r>
          </w:p>
          <w:p>
            <w:pPr>
              <w:pStyle w:val="TableParagraph"/>
              <w:spacing w:before="0" w:after="227"/>
              <w:rPr/>
            </w:pPr>
            <w:r>
              <w:rPr/>
              <w:t>[numGlyphs - numberOfHMetrics]</w:t>
            </w:r>
          </w:p>
        </w:tc>
        <w:tc>
          <w:tcPr>
            <w:tcW w:w="53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Left side bearings for glyph IDs greater than or equal to numberOfHMetrics.</w:t>
            </w:r>
          </w:p>
        </w:tc>
      </w:tr>
    </w:tbl>
    <w:p>
      <w:pPr>
        <w:pStyle w:val="NormalWeb"/>
        <w:spacing w:before="240" w:after="0"/>
        <w:rPr/>
      </w:pPr>
      <w:r>
        <w:rPr>
          <w:rStyle w:val="Emphasis"/>
        </w:rPr>
        <w:t>LongHorMetric Record:</w:t>
      </w:r>
    </w:p>
    <w:p>
      <w:pPr>
        <w:pStyle w:val="HTMLPreformatted"/>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337"/>
        <w:gridCol w:w="1890"/>
        <w:gridCol w:w="6095"/>
      </w:tblGrid>
      <w:tr>
        <w:trPr/>
        <w:tc>
          <w:tcPr>
            <w:tcW w:w="13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60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189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advanceWidth</w:t>
            </w:r>
          </w:p>
        </w:tc>
        <w:tc>
          <w:tcPr>
            <w:tcW w:w="60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Advance width, in font design units.</w:t>
            </w:r>
          </w:p>
        </w:tc>
      </w:tr>
      <w:tr>
        <w:trPr/>
        <w:tc>
          <w:tcPr>
            <w:tcW w:w="13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FWORD</w:t>
            </w:r>
          </w:p>
        </w:tc>
        <w:tc>
          <w:tcPr>
            <w:tcW w:w="189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lsb</w:t>
            </w:r>
          </w:p>
        </w:tc>
        <w:tc>
          <w:tcPr>
            <w:tcW w:w="60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Glyph left side bearing, in font design units.</w:t>
            </w:r>
          </w:p>
        </w:tc>
      </w:tr>
    </w:tbl>
    <w:p>
      <w:pPr>
        <w:pStyle w:val="Normal"/>
        <w:spacing w:before="280" w:after="240"/>
        <w:rPr>
          <w:lang w:val="en-GB"/>
        </w:rPr>
      </w:pPr>
      <w:r>
        <w:rPr>
          <w:lang w:val="en-GB"/>
        </w:rPr>
        <w:t>In a font with TrueType outlines, xMin and xMax values for each glyph are given in the '</w:t>
      </w:r>
      <w:r>
        <w:rPr>
          <w:shd w:fill="FFFF00" w:val="clear"/>
          <w:lang w:val="en-GB"/>
        </w:rPr>
        <w:t>GLYF</w:t>
      </w:r>
      <w:r>
        <w:rPr>
          <w:lang w:val="en-GB"/>
        </w:rPr>
        <w:t>' table. The advance width (“aw”) and left side bearing (“lsb”) can be derived from the glyph “phantom points”, which are computed by the TrueType rasterizer; or they can be obtained from the '</w:t>
      </w:r>
      <w:r>
        <w:rPr>
          <w:shd w:fill="FFFF00" w:val="clear"/>
          <w:lang w:val="en-GB"/>
        </w:rPr>
        <w:t>HMTX</w:t>
      </w:r>
      <w:r>
        <w:rPr>
          <w:lang w:val="en-GB"/>
        </w:rPr>
        <w:t>' table.</w:t>
      </w:r>
    </w:p>
    <w:p>
      <w:pPr>
        <w:pStyle w:val="Normal"/>
        <w:spacing w:before="280" w:after="240"/>
        <w:rPr>
          <w:lang w:val="en-GB"/>
        </w:rPr>
      </w:pPr>
      <w:r>
        <w:rPr>
          <w:lang w:val="en-GB"/>
        </w:rPr>
        <w:t>In a font with CFF or CFF2 outlines, xMin (= left side bearing) and xMax values can be obtained from the CFF / CFF2 rasterizer. From those values, the right side bearing (“rsb”)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rsb = aw - (lsb + xMax – xMin)</w:t>
      </w:r>
    </w:p>
    <w:p>
      <w:pPr>
        <w:pStyle w:val="HTMLPreformatted"/>
        <w:ind w:left="480"/>
        <w:rPr>
          <w:rFonts w:ascii="Cambria" w:hAnsi="Cambria" w:cs="Arial"/>
          <w:sz w:val="22"/>
          <w:szCs w:val="22"/>
          <w:lang w:val="en-GB"/>
        </w:rPr>
      </w:pPr>
      <w:r>
        <w:rPr/>
      </w:r>
    </w:p>
    <w:p>
      <w:pPr>
        <w:pStyle w:val="Normal"/>
        <w:rPr>
          <w:lang w:val="en-GB"/>
        </w:rPr>
      </w:pPr>
      <w:r>
        <w:rPr>
          <w:lang w:val="en-GB"/>
        </w:rPr>
        <w:t>If pp1 and pp2 are TrueType phantom points used to control lsb and rsb, their initial position in the X-direction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pp1 = xMin - lsb</w:t>
      </w:r>
    </w:p>
    <w:p>
      <w:pPr>
        <w:pStyle w:val="HTMLPreformatted"/>
        <w:spacing w:before="0" w:after="280"/>
        <w:ind w:left="480"/>
        <w:rPr>
          <w:rFonts w:ascii="Cambria" w:hAnsi="Cambria" w:cs="Arial"/>
          <w:sz w:val="22"/>
          <w:szCs w:val="22"/>
          <w:lang w:val="en-GB"/>
        </w:rPr>
      </w:pPr>
      <w:r>
        <w:rPr>
          <w:rFonts w:cs="Arial" w:ascii="Cambria" w:hAnsi="Cambria"/>
          <w:sz w:val="22"/>
          <w:szCs w:val="22"/>
          <w:lang w:val="en-GB"/>
        </w:rPr>
        <w:t>pp2 = pp1 + aw</w:t>
      </w:r>
    </w:p>
    <w:p>
      <w:pPr>
        <w:pStyle w:val="Normal"/>
        <w:rPr>
          <w:lang w:val="en-GB"/>
        </w:rPr>
      </w:pPr>
      <w:r>
        <w:rPr>
          <w:lang w:val="en-GB"/>
        </w:rPr>
        <w:t>If a glyph has no contours, xMax/xMin are not defined. The left side bearing indicated in the '</w:t>
      </w:r>
      <w:r>
        <w:rPr>
          <w:shd w:fill="FFFF00" w:val="clear"/>
          <w:lang w:val="en-GB"/>
        </w:rPr>
        <w:t>HMTX</w:t>
      </w:r>
      <w:r>
        <w:rPr>
          <w:lang w:val="en-GB"/>
        </w:rPr>
        <w:t>' table for such glyphs should be zero.</w:t>
      </w:r>
    </w:p>
    <w:p>
      <w:pPr>
        <w:pStyle w:val="Heading1"/>
        <w:numPr>
          <w:ilvl w:val="0"/>
          <w:numId w:val="0"/>
        </w:numPr>
        <w:ind w:hanging="0" w:left="0"/>
        <w:rPr/>
      </w:pPr>
      <w:bookmarkStart w:id="47" w:name="__RefHeading___Toc117701_1712311476"/>
      <w:bookmarkStart w:id="48" w:name="_vhea_–_Vertical"/>
      <w:bookmarkEnd w:id="47"/>
      <w:bookmarkEnd w:id="48"/>
      <w:r>
        <w:rPr/>
        <w:t>VHEA</w:t>
      </w:r>
      <w:bookmarkStart w:id="49" w:name="_Toc224979134"/>
      <w:bookmarkStart w:id="50" w:name="_Toc133507352"/>
      <w:bookmarkStart w:id="51" w:name="_Toc534817056"/>
      <w:bookmarkStart w:id="52" w:name="_Toc521662520"/>
      <w:bookmarkStart w:id="53" w:name="_Toc518658274"/>
      <w:bookmarkStart w:id="54" w:name="_Toc113348408"/>
      <w:bookmarkStart w:id="55" w:name="_Toc113088004"/>
      <w:r>
        <w:rPr/>
        <w:t>—Vertical header table</w:t>
      </w:r>
      <w:bookmarkEnd w:id="49"/>
      <w:bookmarkEnd w:id="50"/>
      <w:bookmarkEnd w:id="51"/>
      <w:bookmarkEnd w:id="52"/>
      <w:bookmarkEnd w:id="53"/>
      <w:bookmarkEnd w:id="54"/>
      <w:bookmarkEnd w:id="55"/>
      <w:r>
        <w:rPr/>
        <w:t xml:space="preserve"> </w:t>
      </w:r>
      <w:r>
        <w:rPr/>
        <w:t>[insert before 5.6.9 ‘vhea’]</w:t>
      </w:r>
    </w:p>
    <w:p>
      <w:pPr>
        <w:pStyle w:val="Normal"/>
        <w:rPr>
          <w:lang w:val="en-GB"/>
        </w:rPr>
      </w:pPr>
      <w:r>
        <w:rPr>
          <w:lang w:val="en-GB"/>
        </w:rPr>
        <w:t>The vertical header table (tag name: '</w:t>
      </w:r>
      <w:r>
        <w:rPr>
          <w:shd w:fill="FFFF00" w:val="clear"/>
          <w:lang w:val="en-GB"/>
        </w:rPr>
        <w:t>VHEA</w:t>
      </w:r>
      <w:r>
        <w:rPr>
          <w:lang w:val="en-GB"/>
        </w:rPr>
        <w:t>') contains information needed for vertical fonts. The glyphs of vertical fonts are written either top to bottom or bottom to top. This table contains information that is general to the font as a whole. Information that pertains to specific glyphs is given in the vertical metrics table (tag name: '</w:t>
      </w:r>
      <w:r>
        <w:rPr>
          <w:shd w:fill="FFFF00" w:val="clear"/>
          <w:lang w:val="en-GB"/>
        </w:rPr>
        <w:t>VMTX</w:t>
      </w:r>
      <w:r>
        <w:rPr>
          <w:lang w:val="en-GB"/>
        </w:rPr>
        <w:t>') described separately. The formats of these tables are similar to those for horizontal metrics (</w:t>
      </w:r>
      <w:r>
        <w:rPr>
          <w:shd w:fill="FFFF00" w:val="clear"/>
          <w:lang w:val="en-GB"/>
        </w:rPr>
        <w:t>HHEA</w:t>
      </w:r>
      <w:r>
        <w:rPr>
          <w:lang w:val="en-GB"/>
        </w:rPr>
        <w:t xml:space="preserve"> and </w:t>
      </w:r>
      <w:r>
        <w:rPr>
          <w:shd w:fill="FFFF00" w:val="clear"/>
          <w:lang w:val="en-GB"/>
        </w:rPr>
        <w:t>HMTX</w:t>
      </w:r>
      <w:r>
        <w:rPr>
          <w:lang w:val="en-GB"/>
        </w:rPr>
        <w:t>).</w:t>
      </w:r>
    </w:p>
    <w:p>
      <w:pPr>
        <w:pStyle w:val="Normal"/>
        <w:rPr>
          <w:lang w:val="en-GB"/>
        </w:rPr>
      </w:pPr>
      <w:r>
        <w:rPr/>
      </w:r>
    </w:p>
    <w:p>
      <w:pPr>
        <w:pStyle w:val="BodyText"/>
        <w:rPr>
          <w:lang w:val="en-GB"/>
        </w:rPr>
      </w:pPr>
      <w:r>
        <w:rPr>
          <w:shd w:fill="FFFF00" w:val="clear"/>
          <w:lang w:val="en-GB"/>
        </w:rPr>
        <w:t>[A</w:t>
      </w:r>
      <w:r>
        <w:rPr>
          <w:shd w:fill="FFFF00" w:val="clear"/>
          <w:lang w:val="en-GB"/>
        </w:rPr>
        <w:t xml:space="preserve">bove paragraph </w:t>
      </w:r>
      <w:r>
        <w:rPr>
          <w:shd w:fill="FFFF00" w:val="clear"/>
          <w:lang w:val="en-GB"/>
        </w:rPr>
        <w:t>could</w:t>
      </w:r>
      <w:r>
        <w:rPr>
          <w:shd w:fill="FFFF00" w:val="clear"/>
          <w:lang w:val="en-GB"/>
        </w:rPr>
        <w:t xml:space="preserve"> </w:t>
      </w:r>
      <w:r>
        <w:rPr>
          <w:shd w:fill="FFFF00" w:val="clear"/>
          <w:lang w:val="en-GB"/>
        </w:rPr>
        <w:t xml:space="preserve">instead </w:t>
      </w:r>
      <w:r>
        <w:rPr>
          <w:shd w:fill="FFFF00" w:val="clear"/>
          <w:lang w:val="en-GB"/>
        </w:rPr>
        <w:t>be used in introduction of a joint section for both ‘</w:t>
      </w:r>
      <w:r>
        <w:rPr>
          <w:shd w:fill="FFFF00" w:val="clear"/>
          <w:lang w:val="en-GB"/>
        </w:rPr>
        <w:t xml:space="preserve">VHEA’ and ‘vhea’ </w:t>
      </w:r>
      <w:r>
        <w:rPr>
          <w:shd w:fill="FFFF00" w:val="clear"/>
          <w:lang w:val="en-GB"/>
        </w:rPr>
        <w:t>tables.</w:t>
      </w:r>
      <w:r>
        <w:rPr>
          <w:shd w:fill="FFFF00" w:val="clear"/>
          <w:lang w:val="en-GB"/>
        </w:rPr>
        <w:t>]</w:t>
      </w:r>
    </w:p>
    <w:p>
      <w:pPr>
        <w:pStyle w:val="BodyText"/>
        <w:rPr/>
      </w:pPr>
      <w:r>
        <w:rPr/>
        <w:br/>
      </w:r>
      <w:r>
        <w:rPr>
          <w:shd w:fill="FFFF00" w:val="clear"/>
        </w:rPr>
        <w:t>Note:</w:t>
        <w:tab/>
      </w:r>
      <w:r>
        <w:rPr>
          <w:shd w:fill="FFFF00" w:val="clear"/>
        </w:rPr>
        <w:t>The ‘VHEA’ and ‘VMTX’ tables, like the ‘HHEA’ and ‘HMTX’ counterparts, are used with the ‘GLYF’ table. If a ‘GLYF’ table is used, any ‘hhea’ or ‘hmtx’ lower-case named tables shall be ignored.</w:t>
      </w:r>
    </w:p>
    <w:p>
      <w:pPr>
        <w:pStyle w:val="Normal"/>
        <w:rPr>
          <w:lang w:val="en-GB"/>
        </w:rPr>
      </w:pPr>
      <w:r>
        <w:rPr>
          <w:lang w:val="en-GB"/>
        </w:rPr>
        <w:t>Data in the vertical header table must be consistent with data that appears in the vertical metrics table. The advance height and top sidebearing values in the vertical metrics table must correspond with the maximum advance height and minimum bottom sidebearing values in the vertical header table.</w:t>
      </w:r>
    </w:p>
    <w:p>
      <w:pPr>
        <w:pStyle w:val="Normal"/>
        <w:rPr>
          <w:lang w:val="en-GB"/>
        </w:rPr>
      </w:pPr>
      <w:r>
        <w:rPr>
          <w:lang w:val="en-GB"/>
        </w:rPr>
        <w:t>See the clause 6 "OFF CJK Font Guidelines" for more information about constructing CJK (Chinese, Japanese, and Korean) fonts.</w:t>
      </w:r>
    </w:p>
    <w:p>
      <w:pPr>
        <w:pStyle w:val="Normal"/>
        <w:rPr>
          <w:lang w:val="en-GB"/>
        </w:rPr>
      </w:pPr>
      <w:r>
        <w:rPr>
          <w:lang w:val="en-GB"/>
        </w:rPr>
        <w:t>The difference between version 1.0 and version 1.1 is the name and definition of the following fields:</w:t>
      </w:r>
    </w:p>
    <w:p>
      <w:pPr>
        <w:pStyle w:val="Normal"/>
        <w:numPr>
          <w:ilvl w:val="0"/>
          <w:numId w:val="12"/>
        </w:numPr>
        <w:tabs>
          <w:tab w:val="clear" w:pos="720"/>
        </w:tabs>
        <w:spacing w:lineRule="auto" w:line="240" w:before="280" w:after="0"/>
        <w:jc w:val="left"/>
        <w:rPr/>
      </w:pPr>
      <w:r>
        <w:rPr/>
        <w:t>ascender becomes vertTypoAscender</w:t>
      </w:r>
    </w:p>
    <w:p>
      <w:pPr>
        <w:pStyle w:val="Normal"/>
        <w:numPr>
          <w:ilvl w:val="0"/>
          <w:numId w:val="12"/>
        </w:numPr>
        <w:tabs>
          <w:tab w:val="clear" w:pos="720"/>
        </w:tabs>
        <w:spacing w:lineRule="auto" w:line="240" w:before="0" w:after="0"/>
        <w:jc w:val="left"/>
        <w:rPr/>
      </w:pPr>
      <w:r>
        <w:rPr/>
        <w:t>descender becomes vertTypoDescender</w:t>
      </w:r>
    </w:p>
    <w:p>
      <w:pPr>
        <w:pStyle w:val="Normal"/>
        <w:numPr>
          <w:ilvl w:val="0"/>
          <w:numId w:val="12"/>
        </w:numPr>
        <w:tabs>
          <w:tab w:val="clear" w:pos="720"/>
        </w:tabs>
        <w:spacing w:lineRule="auto" w:line="240" w:before="0" w:after="280"/>
        <w:jc w:val="left"/>
        <w:rPr/>
      </w:pPr>
      <w:r>
        <w:rPr/>
        <w:t>lineGap becomes vertTypoLineGap</w:t>
      </w:r>
    </w:p>
    <w:p>
      <w:pPr>
        <w:pStyle w:val="Normal"/>
        <w:rPr>
          <w:lang w:val="en-GB"/>
        </w:rPr>
      </w:pPr>
      <w:r>
        <w:rPr>
          <w:lang w:val="en-GB"/>
        </w:rPr>
        <w:t>Version 1.0 of the vertical header table format is as follows:</w:t>
      </w:r>
    </w:p>
    <w:p>
      <w:pPr>
        <w:pStyle w:val="NormalWeb"/>
        <w:spacing w:before="280" w:after="280"/>
        <w:rPr/>
      </w:pPr>
      <w:r>
        <w:rPr>
          <w:rStyle w:val="Emphasis"/>
        </w:rPr>
        <w:t>Vertical Header Table v1.0</w:t>
      </w:r>
    </w:p>
    <w:tbl>
      <w:tblPr>
        <w:tblW w:w="8775" w:type="dxa"/>
        <w:jc w:val="left"/>
        <w:tblInd w:w="0" w:type="dxa"/>
        <w:tblLayout w:type="fixed"/>
        <w:tblCellMar>
          <w:top w:w="0" w:type="dxa"/>
          <w:left w:w="108" w:type="dxa"/>
          <w:bottom w:w="0" w:type="dxa"/>
          <w:right w:w="108" w:type="dxa"/>
        </w:tblCellMar>
      </w:tblPr>
      <w:tblGrid>
        <w:gridCol w:w="1839"/>
        <w:gridCol w:w="2080"/>
        <w:gridCol w:w="4856"/>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1.0 Type</w:t>
            </w:r>
          </w:p>
        </w:tc>
        <w:tc>
          <w:tcPr>
            <w:tcW w:w="20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0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85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0x00010000 for version 1.0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previous line’s descent.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next line’s ascent.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Reserved; 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0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85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rPr>
          <w:lang w:val="en-GB"/>
        </w:rPr>
      </w:pPr>
      <w:r>
        <w:rPr/>
      </w:r>
    </w:p>
    <w:p>
      <w:pPr>
        <w:pStyle w:val="BodyText"/>
        <w:rPr>
          <w:lang w:val="en-GB"/>
        </w:rPr>
      </w:pPr>
      <w:bookmarkStart w:id="56" w:name="docs-internal-guid-cc382ed1-7fff-3985-1c"/>
      <w:bookmarkEnd w:id="56"/>
      <w:r>
        <w:rPr>
          <w:shd w:fill="auto" w:val="clear"/>
          <w:lang w:val="en-GB"/>
        </w:rPr>
        <w:t>Version 1.1 of the vertical header table format is the same except for numOfLongVerMetrics using 32-bits:</w:t>
      </w:r>
    </w:p>
    <w:p>
      <w:pPr>
        <w:pStyle w:val="BodyText"/>
        <w:rPr/>
      </w:pPr>
      <w:r>
        <w:rPr/>
        <w:br/>
      </w:r>
      <w:r>
        <w:rPr>
          <w:rStyle w:val="Emphasis"/>
        </w:rPr>
        <w:t>Vertical Header Table v1.1</w:t>
      </w:r>
    </w:p>
    <w:tbl>
      <w:tblPr>
        <w:tblW w:w="8775" w:type="dxa"/>
        <w:jc w:val="left"/>
        <w:tblInd w:w="0" w:type="dxa"/>
        <w:tblLayout w:type="fixed"/>
        <w:tblCellMar>
          <w:top w:w="0" w:type="dxa"/>
          <w:left w:w="108" w:type="dxa"/>
          <w:bottom w:w="0" w:type="dxa"/>
          <w:right w:w="108" w:type="dxa"/>
        </w:tblCellMar>
      </w:tblPr>
      <w:tblGrid>
        <w:gridCol w:w="1839"/>
        <w:gridCol w:w="2146"/>
        <w:gridCol w:w="479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1.1 Type</w:t>
            </w:r>
          </w:p>
        </w:tc>
        <w:tc>
          <w:tcPr>
            <w:tcW w:w="2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7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Version number of the vertical header table; 0x00011000 for version 1.1 </w:t>
              <w:br/>
              <w:t>The representation of a non-zero fractional part, in Fixed numbers.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ascender for this font. It is the distance in FUnits from the ideographic em-box center baseline for the vertical axis to the right edge of the ideographic em-box.</w:t>
            </w:r>
          </w:p>
          <w:p>
            <w:pPr>
              <w:pStyle w:val="TableParagraph"/>
              <w:spacing w:before="0" w:after="227"/>
              <w:rPr/>
            </w:pPr>
            <w:r>
              <w:rPr/>
              <w:t>It is usually set to (head.unitsPerEm)/2. For example, a font with an em of 1000 FUnits will set this field to 500. See the §6.4.4. Baseline Tags of the OFF Layout Tag Registry for a description of the ideographic em-box.</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descender for this font. It is the distance in FUnits from the ideographic em-box center baseline for the vertical axis to the left edge of the ideographic em-box.</w:t>
            </w:r>
          </w:p>
          <w:p>
            <w:pPr>
              <w:pStyle w:val="TableParagraph"/>
              <w:spacing w:before="0" w:after="227"/>
              <w:rPr/>
            </w:pPr>
            <w:r>
              <w:rPr/>
              <w:t>It is usually set to (head.unitsPerEm)/2. For example, a font with an em of 1000 FUnits will set this field to -500.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vertical typographic gap for this font. An application can determine the recommended line spacing for single spaced vertical text for an OFF font by the following expression: ideo embox width + vhea.vertTypoLineGap </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uint32</w:t>
            </w:r>
          </w:p>
        </w:tc>
        <w:tc>
          <w:tcPr>
            <w:tcW w:w="2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79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spacing w:lineRule="auto" w:line="240" w:before="240" w:after="120"/>
        <w:jc w:val="left"/>
        <w:rPr/>
      </w:pPr>
      <w:r>
        <w:rPr>
          <w:rStyle w:val="Strong"/>
        </w:rPr>
        <w:t>'</w:t>
      </w:r>
      <w:r>
        <w:rPr>
          <w:rStyle w:val="Strong"/>
          <w:shd w:fill="FFFF00" w:val="clear"/>
        </w:rPr>
        <w:t>VHEA</w:t>
      </w:r>
      <w:r>
        <w:rPr>
          <w:rStyle w:val="Strong"/>
        </w:rPr>
        <w:t>' Table and OFF Font Variations</w:t>
      </w:r>
    </w:p>
    <w:p>
      <w:pPr>
        <w:pStyle w:val="Normal"/>
        <w:rPr/>
      </w:pPr>
      <w:r>
        <w:rPr/>
        <w:t>In a variable font, various font-metric values within the '</w:t>
      </w:r>
      <w:r>
        <w:rPr>
          <w:shd w:fill="FFFF00" w:val="clear"/>
        </w:rPr>
        <w:t>VHEA</w:t>
      </w:r>
      <w:r>
        <w:rPr/>
        <w:t>' table may need to be adjusted for different variation instances. Variation data for '</w:t>
      </w:r>
      <w:r>
        <w:rPr>
          <w:shd w:fill="FFFF00" w:val="clear"/>
        </w:rPr>
        <w:t>VHEA</w:t>
      </w:r>
      <w:r>
        <w:rPr/>
        <w:t xml:space="preserve">' entries can be provided in the </w:t>
      </w:r>
      <w:hyperlink w:anchor="_MVAR_–_Metrics">
        <w:r>
          <w:rPr>
            <w:rStyle w:val="Hyperlink"/>
            <w:lang w:val="en-GB"/>
          </w:rPr>
          <w:t>metrics variations ('MVAR') table</w:t>
        </w:r>
      </w:hyperlink>
      <w:r>
        <w:rPr/>
        <w:t>. Different 'post' entries are associated with particular variation data in the 'MVAR' table using value tags, as follows:</w:t>
      </w:r>
    </w:p>
    <w:tbl>
      <w:tblPr>
        <w:tblW w:w="1800" w:type="pct"/>
        <w:jc w:val="left"/>
        <w:tblInd w:w="0" w:type="dxa"/>
        <w:tblLayout w:type="fixed"/>
        <w:tblCellMar>
          <w:top w:w="0" w:type="dxa"/>
          <w:left w:w="108" w:type="dxa"/>
          <w:bottom w:w="0" w:type="dxa"/>
          <w:right w:w="108" w:type="dxa"/>
        </w:tblCellMar>
      </w:tblPr>
      <w:tblGrid>
        <w:gridCol w:w="2148"/>
        <w:gridCol w:w="1362"/>
      </w:tblGrid>
      <w:tr>
        <w:trPr/>
        <w:tc>
          <w:tcPr>
            <w:tcW w:w="21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w:t>
            </w:r>
            <w:r>
              <w:rPr>
                <w:shd w:fill="FFFF00" w:val="clear"/>
              </w:rPr>
              <w:t>VHEA</w:t>
            </w:r>
            <w:r>
              <w:rPr/>
              <w:t>' entry</w:t>
            </w:r>
          </w:p>
        </w:tc>
        <w:tc>
          <w:tcPr>
            <w:tcW w:w="136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1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ascent</w:t>
            </w:r>
          </w:p>
        </w:tc>
        <w:tc>
          <w:tcPr>
            <w:tcW w:w="136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'vasc'</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'vcof'</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caretSlopeRun</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'vcrn'</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'vcrs'</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descent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'vdsc'</w:t>
            </w:r>
          </w:p>
        </w:tc>
      </w:tr>
      <w:tr>
        <w:trPr/>
        <w:tc>
          <w:tcPr>
            <w:tcW w:w="21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lineGap</w:t>
            </w:r>
          </w:p>
        </w:tc>
        <w:tc>
          <w:tcPr>
            <w:tcW w:w="136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'vlgp'</w:t>
            </w:r>
          </w:p>
        </w:tc>
      </w:tr>
    </w:tbl>
    <w:p>
      <w:pPr>
        <w:pStyle w:val="Normal"/>
        <w:spacing w:lineRule="auto" w:line="240" w:before="280" w:after="280"/>
        <w:jc w:val="left"/>
        <w:rPr/>
      </w:pPr>
      <w:r>
        <w:rPr/>
        <w:t xml:space="preserve">For general information on OFF Font Variations, see </w:t>
      </w:r>
      <w:hyperlink w:anchor="_Font_variations_overview">
        <w:r>
          <w:rPr>
            <w:rStyle w:val="Hyperlink"/>
            <w:lang w:val="en-GB"/>
          </w:rPr>
          <w:t>subclause 7.1</w:t>
        </w:r>
      </w:hyperlink>
      <w:r>
        <w:rPr/>
        <w:t>.</w:t>
      </w:r>
    </w:p>
    <w:p>
      <w:pPr>
        <w:pStyle w:val="NOTE2"/>
        <w:rPr>
          <w:shd w:fill="800080" w:val="clear"/>
        </w:rPr>
      </w:pPr>
      <w:r>
        <w:rPr>
          <w:shd w:fill="800080" w:val="clear"/>
          <w:lang w:val="en-GB"/>
        </w:rPr>
        <w:t>NOTE:</w:t>
        <w:tab/>
      </w:r>
      <w:r>
        <w:rPr>
          <w:shd w:fill="800080" w:val="clear"/>
          <w:lang w:val="en-GB"/>
        </w:rPr>
        <w:t>As with the ‘HHEA’ and ‘hhea’ tables, t</w:t>
      </w:r>
      <w:r>
        <w:rPr>
          <w:shd w:fill="800080" w:val="clear"/>
          <w:lang w:val="en-GB"/>
        </w:rPr>
        <w:t>he ‘</w:t>
      </w:r>
      <w:r>
        <w:rPr>
          <w:shd w:fill="800080" w:val="clear"/>
          <w:lang w:val="en-GB"/>
        </w:rPr>
        <w:t>V</w:t>
      </w:r>
      <w:r>
        <w:rPr>
          <w:shd w:fill="800080" w:val="clear"/>
          <w:lang w:val="en-GB"/>
        </w:rPr>
        <w:t>HEA’ and ‘</w:t>
      </w:r>
      <w:r>
        <w:rPr>
          <w:shd w:fill="800080" w:val="clear"/>
          <w:lang w:val="en-GB"/>
        </w:rPr>
        <w:t>v</w:t>
      </w:r>
      <w:r>
        <w:rPr>
          <w:shd w:fill="800080" w:val="clear"/>
          <w:lang w:val="en-GB"/>
        </w:rPr>
        <w:t>hea’ tables use the same variation tags</w:t>
      </w:r>
    </w:p>
    <w:p>
      <w:pPr>
        <w:pStyle w:val="NormalWeb"/>
        <w:spacing w:before="280" w:after="280"/>
        <w:rPr/>
      </w:pPr>
      <w:r>
        <w:rPr>
          <w:rStyle w:val="Emphasis"/>
        </w:rPr>
        <w:t xml:space="preserve">Vertical Header Table Example </w:t>
      </w:r>
    </w:p>
    <w:tbl>
      <w:tblPr>
        <w:tblW w:w="8775" w:type="dxa"/>
        <w:jc w:val="left"/>
        <w:tblInd w:w="0" w:type="dxa"/>
        <w:tblLayout w:type="fixed"/>
        <w:tblCellMar>
          <w:top w:w="0" w:type="dxa"/>
          <w:left w:w="108" w:type="dxa"/>
          <w:bottom w:w="0" w:type="dxa"/>
          <w:right w:w="108" w:type="dxa"/>
        </w:tblCellMar>
      </w:tblPr>
      <w:tblGrid>
        <w:gridCol w:w="922"/>
        <w:gridCol w:w="1491"/>
        <w:gridCol w:w="2487"/>
        <w:gridCol w:w="3875"/>
      </w:tblGrid>
      <w:tr>
        <w:trPr/>
        <w:tc>
          <w:tcPr>
            <w:tcW w:w="9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Offset/</w:t>
              <w:br/>
              <w:t>length</w:t>
            </w:r>
          </w:p>
        </w:tc>
        <w:tc>
          <w:tcPr>
            <w:tcW w:w="149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Value</w:t>
            </w:r>
          </w:p>
        </w:tc>
        <w:tc>
          <w:tcPr>
            <w:tcW w:w="2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Comment</w:t>
            </w:r>
          </w:p>
        </w:tc>
      </w:tr>
      <w:tr>
        <w:trPr/>
        <w:tc>
          <w:tcPr>
            <w:tcW w:w="9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0/4</w:t>
            </w:r>
          </w:p>
        </w:tc>
        <w:tc>
          <w:tcPr>
            <w:tcW w:w="149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0x00011000 </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38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in fixed-point format, is 1.1</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Minus 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line gap is 0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2079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found in the font is 2079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-342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is -342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-333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bottom sidebearing measurement found in the font is -333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2036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 (tsb + (yMax - yMin)) = 2036.</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 set to 0 for nonslanted fonts.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24/4</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34/</w:t>
            </w:r>
            <w:r>
              <w:rPr/>
              <w:t>3</w:t>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258</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numOfLongVerMetrics</w:t>
            </w:r>
          </w:p>
        </w:tc>
        <w:tc>
          <w:tcPr>
            <w:tcW w:w="38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 is 258.</w:t>
            </w:r>
          </w:p>
        </w:tc>
      </w:tr>
    </w:tbl>
    <w:p>
      <w:pPr>
        <w:pStyle w:val="Heading1"/>
        <w:rPr/>
      </w:pPr>
      <w:bookmarkStart w:id="57" w:name="__RefHeading___Toc117703_1712311476"/>
      <w:bookmarkEnd w:id="57"/>
      <w:r>
        <w:rPr/>
        <w:t>VMTX</w:t>
      </w:r>
      <w:bookmarkStart w:id="58" w:name="_Toc534817057"/>
      <w:bookmarkStart w:id="59" w:name="_Toc224979135"/>
      <w:bookmarkStart w:id="60" w:name="_Toc521662521"/>
      <w:bookmarkStart w:id="61" w:name="_Toc113088005"/>
      <w:bookmarkStart w:id="62" w:name="_Toc113348409"/>
      <w:bookmarkStart w:id="63" w:name="_Toc133507353"/>
      <w:bookmarkStart w:id="64" w:name="_Toc518658275"/>
      <w:r>
        <w:rPr/>
        <w:t>—Vertical metric table</w:t>
      </w:r>
      <w:bookmarkEnd w:id="58"/>
      <w:bookmarkEnd w:id="59"/>
      <w:bookmarkEnd w:id="60"/>
      <w:bookmarkEnd w:id="61"/>
      <w:bookmarkEnd w:id="62"/>
      <w:bookmarkEnd w:id="63"/>
      <w:bookmarkEnd w:id="64"/>
    </w:p>
    <w:p>
      <w:pPr>
        <w:pStyle w:val="Normal"/>
        <w:rPr>
          <w:lang w:val="en-GB"/>
        </w:rPr>
      </w:pPr>
      <w:r>
        <w:rPr>
          <w:lang w:val="en-GB"/>
        </w:rPr>
        <w:t xml:space="preserve">The vertical metrics table allows you to specify the vertical spacing for each glyph in a vertical font. This table consists of either one or two arrays that contain metric information (the advance heights and top sidebearings) for the vertical layout of each of the glyphs in the font. The vertical metrics coordinate system is shown below. </w:t>
      </w:r>
    </w:p>
    <w:p>
      <w:pPr>
        <w:pStyle w:val="Caption11"/>
        <w:spacing w:before="0" w:after="240"/>
        <w:jc w:val="center"/>
        <w:rPr/>
      </w:pPr>
      <w:r>
        <w:rPr/>
        <mc:AlternateContent>
          <mc:Choice Requires="wps">
            <w:drawing>
              <wp:inline distT="0" distB="0" distL="0" distR="0">
                <wp:extent cx="2557145" cy="1278255"/>
                <wp:effectExtent l="0" t="0" r="0" b="152400"/>
                <wp:docPr id="3" name="Shape1"/>
                <a:graphic xmlns:a="http://schemas.openxmlformats.org/drawingml/2006/main">
                  <a:graphicData uri="http://schemas.openxmlformats.org/drawingml/2006/picture">
                    <pic:pic xmlns:pic="http://schemas.openxmlformats.org/drawingml/2006/picture">
                      <pic:nvPicPr>
                        <pic:cNvPr id="4" name="Shape1" descr=""/>
                        <pic:cNvPicPr/>
                      </pic:nvPicPr>
                      <pic:blipFill>
                        <a:blip r:embed="rId4"/>
                        <a:stretch/>
                      </pic:blipFill>
                      <pic:spPr>
                        <a:xfrm>
                          <a:off x="0" y="0"/>
                          <a:ext cx="2557080" cy="1278360"/>
                        </a:xfrm>
                        <a:prstGeom prst="rect">
                          <a:avLst/>
                        </a:prstGeom>
                        <a:ln w="0">
                          <a:noFill/>
                        </a:ln>
                      </pic:spPr>
                    </pic:pic>
                  </a:graphicData>
                </a:graphic>
              </wp:inline>
            </w:drawing>
          </mc:Choice>
          <mc:Fallback>
            <w:pict>
              <v:shape id="shape_0" ID="Shape1" stroked="f" o:allowincell="f" style="position:absolute;margin-left:0pt;margin-top:-112.7pt;width:201.3pt;height:100.6pt;mso-wrap-style:none;v-text-anchor:middle;mso-position-vertical:top" type="_x0000_t75">
                <v:imagedata r:id="rId5" o:detectmouseclick="t"/>
                <v:stroke color="#3465a4" joinstyle="round" endcap="flat"/>
                <w10:wrap type="none"/>
              </v:shape>
            </w:pict>
          </mc:Fallback>
        </mc:AlternateContent>
      </w:r>
    </w:p>
    <w:p>
      <w:pPr>
        <w:pStyle w:val="Caption11"/>
        <w:spacing w:before="280" w:after="240"/>
        <w:jc w:val="center"/>
        <w:rPr>
          <w:rFonts w:ascii="Cambria" w:hAnsi="Cambria" w:cs="Arial"/>
          <w:b/>
          <w:color w:val="auto"/>
          <w:sz w:val="22"/>
          <w:szCs w:val="22"/>
          <w:lang w:val="en-GB"/>
        </w:rPr>
      </w:pPr>
      <w:r>
        <w:rPr>
          <w:rFonts w:cs="Arial" w:ascii="Cambria" w:hAnsi="Cambria"/>
          <w:b/>
          <w:bCs/>
          <w:color w:val="auto"/>
          <w:sz w:val="22"/>
          <w:szCs w:val="22"/>
          <w:lang w:val="en-GB"/>
        </w:rPr>
        <w:t>Figure 5.11 –</w:t>
      </w:r>
      <w:r>
        <w:rPr>
          <w:rFonts w:cs="Arial" w:ascii="Cambria" w:hAnsi="Cambria"/>
          <w:b/>
          <w:color w:val="auto"/>
          <w:sz w:val="22"/>
          <w:szCs w:val="22"/>
          <w:lang w:val="en-GB"/>
        </w:rPr>
        <w:t xml:space="preserve"> Vertical Metrics</w:t>
      </w:r>
    </w:p>
    <w:p>
      <w:pPr>
        <w:pStyle w:val="Normal"/>
        <w:rPr>
          <w:lang w:val="en-GB"/>
        </w:rPr>
      </w:pPr>
      <w:r>
        <w:rPr>
          <w:lang w:val="en-GB"/>
        </w:rPr>
        <w:t>OFF vertical fonts require both a vertical header table ('</w:t>
      </w:r>
      <w:r>
        <w:rPr>
          <w:shd w:fill="FFFF00" w:val="clear"/>
          <w:lang w:val="en-GB"/>
        </w:rPr>
        <w:t>VHEA</w:t>
      </w:r>
      <w:r>
        <w:rPr>
          <w:lang w:val="en-GB"/>
        </w:rPr>
        <w:t>') and the vertical metrics table discussed below. The vertical header table contains information that is general to the font as a whole. The vertical metrics table contains information that pertains to specific glyphs. The formats of these tables are similar to those for horizontal metrics (‘</w:t>
      </w:r>
      <w:r>
        <w:rPr>
          <w:shd w:fill="FFFF00" w:val="clear"/>
          <w:lang w:val="en-GB"/>
        </w:rPr>
        <w:t>HHEA</w:t>
      </w:r>
      <w:r>
        <w:rPr>
          <w:lang w:val="en-GB"/>
        </w:rPr>
        <w:t>’</w:t>
      </w:r>
      <w:r>
        <w:rPr>
          <w:lang w:val="en-GB"/>
        </w:rPr>
        <w:t xml:space="preserve"> and ‘</w:t>
      </w:r>
      <w:r>
        <w:rPr>
          <w:shd w:fill="FFFF00" w:val="clear"/>
          <w:lang w:val="en-GB"/>
        </w:rPr>
        <w:t>HMTX</w:t>
      </w:r>
      <w:r>
        <w:rPr>
          <w:lang w:val="en-GB"/>
        </w:rPr>
        <w:t>’</w:t>
      </w:r>
      <w:r>
        <w:rPr>
          <w:lang w:val="en-GB"/>
        </w:rPr>
        <w:t>)</w:t>
      </w:r>
      <w:r>
        <w:rPr>
          <w:lang w:val="en-GB"/>
        </w:rPr>
        <w:t>.</w:t>
      </w:r>
    </w:p>
    <w:p>
      <w:pPr>
        <w:pStyle w:val="Normal"/>
        <w:rPr>
          <w:shd w:fill="FFFF00" w:val="clear"/>
        </w:rPr>
      </w:pPr>
      <w:r>
        <w:rPr>
          <w:shd w:fill="FFFF00" w:val="clear"/>
          <w:lang w:val="en-GB"/>
        </w:rPr>
        <w:t xml:space="preserve">Fonts using the upper-case named ‘GLYF’ table shall use ‘HHEA’, ‘HMTX’, ‘VHEA’ and ‘VMTX’ tables as needed. The </w:t>
      </w:r>
      <w:r>
        <w:rPr>
          <w:shd w:fill="FFFF00" w:val="clear"/>
          <w:lang w:val="en-GB"/>
        </w:rPr>
        <w:t>upper-case named tables take precedence over the lower-case equivalents.</w:t>
      </w:r>
    </w:p>
    <w:p>
      <w:pPr>
        <w:pStyle w:val="Normal"/>
        <w:rPr>
          <w:lang w:val="en-GB"/>
        </w:rPr>
      </w:pPr>
      <w:r>
        <w:rPr>
          <w:lang w:val="en-GB"/>
        </w:rPr>
        <w:t>See Clause 6 (OFF CJK Font Guidelines) for more information about constructing CJK (Chinese, Japanese, and Korean) fonts.</w:t>
      </w:r>
    </w:p>
    <w:p>
      <w:pPr>
        <w:pStyle w:val="NormalWeb"/>
        <w:spacing w:before="0" w:after="280"/>
        <w:rPr/>
      </w:pPr>
      <w:r>
        <w:rPr>
          <w:rStyle w:val="Strong"/>
        </w:rPr>
        <w:t>Vertical Origin and Advance Height</w:t>
      </w:r>
    </w:p>
    <w:p>
      <w:pPr>
        <w:pStyle w:val="Normal"/>
        <w:rPr>
          <w:lang w:val="en-GB"/>
        </w:rPr>
      </w:pPr>
      <w:r>
        <w:rPr>
          <w:lang w:val="en-GB"/>
        </w:rPr>
        <w:t xml:space="preserve">The </w:t>
      </w:r>
      <w:r>
        <w:rPr>
          <w:i/>
          <w:iCs/>
          <w:lang w:val="en-GB"/>
        </w:rPr>
        <w:t>y coordinate of a glyph's vertical origin</w:t>
      </w:r>
      <w:r>
        <w:rPr>
          <w:lang w:val="en-GB"/>
        </w:rPr>
        <w:t xml:space="preserve"> is specified as the sum of the glyph's top side bearing (recorded in the 'vmtx' table) and the top (i.e. maximum y) of the glyph's bounding box.</w:t>
      </w:r>
    </w:p>
    <w:p>
      <w:pPr>
        <w:pStyle w:val="Normal"/>
        <w:rPr>
          <w:lang w:val="en-GB"/>
        </w:rPr>
      </w:pPr>
      <w:r>
        <w:rPr>
          <w:lang w:val="en-GB"/>
        </w:rPr>
        <w:t>TrueType OFF fonts contain glyph bounding box information in the Glyph Data ('glyf') table. CFF OFF fonts do not contain glyph bounding box information, and so for these fonts the top of the glyph's bounding box shall be calculated from the charstring data in the Compact Font Format ('CFF') table.</w:t>
      </w:r>
    </w:p>
    <w:p>
      <w:pPr>
        <w:pStyle w:val="Normal"/>
        <w:rPr>
          <w:lang w:val="en-GB"/>
        </w:rPr>
      </w:pPr>
      <w:r>
        <w:rPr>
          <w:lang w:val="en-GB"/>
        </w:rPr>
        <w:t>OpenType 1.3 introduced the optional Vertical Origin ('VORG') table for CFF OFF fonts, which records the y coordinate of glyphs' vertical origins directly, thus obviating the need to calculate bounding boxes as an intermediate step. This improves accuracy and efficiency for CFF OFF clients.</w:t>
      </w:r>
    </w:p>
    <w:p>
      <w:pPr>
        <w:pStyle w:val="Normal"/>
        <w:rPr>
          <w:lang w:val="en-GB"/>
        </w:rPr>
      </w:pPr>
      <w:r>
        <w:rPr>
          <w:lang w:val="en-GB"/>
        </w:rPr>
        <w:t xml:space="preserve">The </w:t>
      </w:r>
      <w:r>
        <w:rPr>
          <w:i/>
          <w:iCs/>
          <w:lang w:val="en-GB"/>
        </w:rPr>
        <w:t>x coordinate of a glyph's vertical origin</w:t>
      </w:r>
      <w:r>
        <w:rPr>
          <w:lang w:val="en-GB"/>
        </w:rPr>
        <w:t xml:space="preserve"> is not specified in the 'vmtx' table. Vertical writing implementations may make use of the baseline values in the Baseline ('BASE') table, if present, in order to align the glyphs in the x direction as appropriate to the desired vertical baseline.</w:t>
      </w:r>
    </w:p>
    <w:p>
      <w:pPr>
        <w:pStyle w:val="Normal"/>
        <w:rPr>
          <w:lang w:val="en-GB"/>
        </w:rPr>
      </w:pPr>
      <w:r>
        <w:rPr>
          <w:lang w:val="en-GB"/>
        </w:rPr>
        <w:t xml:space="preserve">The </w:t>
      </w:r>
      <w:r>
        <w:rPr>
          <w:i/>
          <w:iCs/>
          <w:lang w:val="en-GB"/>
        </w:rPr>
        <w:t>advance height of a glyph</w:t>
      </w:r>
      <w:r>
        <w:rPr>
          <w:lang w:val="en-GB"/>
        </w:rPr>
        <w:t xml:space="preserve"> starts from the y coordinate of the glyph's vertical origin and advances downwards. Its endpoint is at the y coordinate of the vertical origin of the next glyph in the run, by default. Metric-adjustment OFF layout features such as Vertical Kerning ('vkrn') could modify the vertical advances in a manner similar to kerning in horizontal mode.</w:t>
      </w:r>
    </w:p>
    <w:p>
      <w:pPr>
        <w:pStyle w:val="Normal"/>
        <w:rPr/>
      </w:pPr>
      <w:r>
        <w:rPr>
          <w:rStyle w:val="Strong"/>
        </w:rPr>
        <w:t>Vertical Metrics Table Format</w:t>
      </w:r>
    </w:p>
    <w:p>
      <w:pPr>
        <w:pStyle w:val="Normal"/>
        <w:rPr>
          <w:lang w:val="en-GB"/>
        </w:rPr>
      </w:pPr>
      <w:r>
        <w:rPr>
          <w:lang w:val="en-GB"/>
        </w:rPr>
        <w:t>The overall structure of the vertical metrics table consists of two arrays shown below: the vMetrics array followed by an array of top side bearings. The top side bearing is measured relative to the top of the origin of glyphs, for vertical composition of ideographic glyphs.</w:t>
      </w:r>
    </w:p>
    <w:p>
      <w:pPr>
        <w:pStyle w:val="Normal"/>
        <w:rPr>
          <w:lang w:val="en-GB"/>
        </w:rPr>
      </w:pPr>
      <w:r>
        <w:rPr>
          <w:lang w:val="en-GB"/>
        </w:rPr>
        <w:t>This table does not have a header, but does require that the number of glyphs included in the two arrays equals the total number of glyphs in the font.</w:t>
      </w:r>
    </w:p>
    <w:p>
      <w:pPr>
        <w:pStyle w:val="Normal"/>
        <w:rPr>
          <w:lang w:val="en-GB"/>
        </w:rPr>
      </w:pPr>
      <w:r>
        <w:rPr>
          <w:lang w:val="en-GB"/>
        </w:rPr>
        <w:t>The number of entries in the vMetrics array is determined by the value of the numOfLongVerMetrics field of the vertical header table.</w:t>
      </w:r>
    </w:p>
    <w:p>
      <w:pPr>
        <w:pStyle w:val="Normal"/>
        <w:rPr>
          <w:lang w:val="en-GB"/>
        </w:rPr>
      </w:pPr>
      <w:r>
        <w:rPr>
          <w:lang w:val="en-GB"/>
        </w:rPr>
        <w:t>The vMetrics array contains two values for each entry. These are the advance height and the top sidebearing for each glyph included in the array.</w:t>
      </w:r>
    </w:p>
    <w:p>
      <w:pPr>
        <w:pStyle w:val="Normal"/>
        <w:rPr>
          <w:lang w:val="en-GB"/>
        </w:rPr>
      </w:pPr>
      <w:r>
        <w:rPr>
          <w:lang w:val="en-GB"/>
        </w:rPr>
        <w:t>In monospaced fonts, such as Courier or Kanji, all glyphs have the same advance height. If the font is monospaced, only one entry need be in the first array, but that one entry is required.</w:t>
      </w:r>
    </w:p>
    <w:p>
      <w:pPr>
        <w:pStyle w:val="Normal"/>
        <w:rPr>
          <w:lang w:val="en-GB"/>
        </w:rPr>
      </w:pPr>
      <w:r>
        <w:rPr>
          <w:lang w:val="en-GB"/>
        </w:rPr>
        <w:t xml:space="preserve">The format of an entry in the vertical metrics array is given below. </w:t>
      </w:r>
    </w:p>
    <w:tbl>
      <w:tblPr>
        <w:tblW w:w="7965" w:type="dxa"/>
        <w:jc w:val="left"/>
        <w:tblInd w:w="0" w:type="dxa"/>
        <w:tblLayout w:type="fixed"/>
        <w:tblCellMar>
          <w:top w:w="0" w:type="dxa"/>
          <w:left w:w="108" w:type="dxa"/>
          <w:bottom w:w="0" w:type="dxa"/>
          <w:right w:w="108" w:type="dxa"/>
        </w:tblCellMar>
      </w:tblPr>
      <w:tblGrid>
        <w:gridCol w:w="1048"/>
        <w:gridCol w:w="1735"/>
        <w:gridCol w:w="5182"/>
      </w:tblGrid>
      <w:tr>
        <w:trPr/>
        <w:tc>
          <w:tcPr>
            <w:tcW w:w="10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advanceHeight</w:t>
            </w:r>
          </w:p>
        </w:tc>
        <w:tc>
          <w:tcPr>
            <w:tcW w:w="518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The advance height of the glyph. Unsigned integer in font design units </w:t>
            </w:r>
          </w:p>
        </w:tc>
      </w:tr>
      <w:tr>
        <w:trPr/>
        <w:tc>
          <w:tcPr>
            <w:tcW w:w="10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8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The top sidebearing of the glyph. </w:t>
              <w:br/>
              <w:t xml:space="preserve">Signed integer in font design units. </w:t>
            </w:r>
          </w:p>
        </w:tc>
      </w:tr>
    </w:tbl>
    <w:p>
      <w:pPr>
        <w:pStyle w:val="Normal"/>
        <w:spacing w:before="280" w:after="240"/>
        <w:rPr>
          <w:lang w:val="en-GB"/>
        </w:rPr>
      </w:pPr>
      <w:r>
        <w:rPr>
          <w:lang w:val="en-GB"/>
        </w:rPr>
        <w:t>The second array is optional and generally is used for a run of monospaced glyphs in the font. Only one such run is allowed per font, and it shall be located at the end of the font. This array contains the top sidebearings of glyphs not represented in the first array, and all the glyphs in this array shall have the same advance height as the last entry in the vMetrics array. All entries in this array are therefore monospaced.</w:t>
      </w:r>
    </w:p>
    <w:p>
      <w:pPr>
        <w:pStyle w:val="Normal"/>
        <w:rPr>
          <w:lang w:val="en-GB"/>
        </w:rPr>
      </w:pPr>
      <w:r>
        <w:rPr>
          <w:lang w:val="en-GB"/>
        </w:rPr>
        <w:t xml:space="preserve">The number of entries in this array is calculated by subtracting the value of numOfLongVerMetrics from the number of glyphs in the font. The sum of glyphs represented in the first array plus the glyphs represented in the second array therefore equals the number of glyphs in the font. The format of the top sidebearing array is given below. </w:t>
      </w:r>
    </w:p>
    <w:tbl>
      <w:tblPr>
        <w:tblW w:w="7965" w:type="dxa"/>
        <w:jc w:val="left"/>
        <w:tblInd w:w="0" w:type="dxa"/>
        <w:tblLayout w:type="fixed"/>
        <w:tblCellMar>
          <w:top w:w="0" w:type="dxa"/>
          <w:left w:w="108" w:type="dxa"/>
          <w:bottom w:w="0" w:type="dxa"/>
          <w:right w:w="108" w:type="dxa"/>
        </w:tblCellMar>
      </w:tblPr>
      <w:tblGrid>
        <w:gridCol w:w="971"/>
        <w:gridCol w:w="1890"/>
        <w:gridCol w:w="5104"/>
      </w:tblGrid>
      <w:tr>
        <w:trPr/>
        <w:tc>
          <w:tcPr>
            <w:tcW w:w="9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71"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890"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04"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top sidebearing of the glyph.</w:t>
              <w:br/>
              <w:t>Signed integer in font design units.</w:t>
            </w:r>
          </w:p>
        </w:tc>
      </w:tr>
    </w:tbl>
    <w:p>
      <w:pPr>
        <w:pStyle w:val="Heading1"/>
        <w:numPr>
          <w:ilvl w:val="0"/>
          <w:numId w:val="0"/>
        </w:numPr>
        <w:ind w:hanging="0" w:left="0"/>
        <w:rPr/>
      </w:pPr>
      <w:bookmarkStart w:id="65" w:name="__RefHeading___Toc22276_2925186988"/>
      <w:bookmarkStart w:id="66" w:name="_Toc224979122"/>
      <w:bookmarkStart w:id="67" w:name="_Toc98437664"/>
      <w:bookmarkStart w:id="68" w:name="_Toc113087992"/>
      <w:bookmarkStart w:id="69" w:name="_Toc98437669"/>
      <w:bookmarkStart w:id="70" w:name="_Toc98437672"/>
      <w:bookmarkStart w:id="71" w:name="_Toc113348396"/>
      <w:bookmarkStart w:id="72" w:name="_Toc98437655"/>
      <w:bookmarkStart w:id="73" w:name="_Toc133507326"/>
      <w:bookmarkStart w:id="74" w:name="_CFF2_font_variations"/>
      <w:bookmarkStart w:id="75" w:name="_Toc98437671"/>
      <w:bookmarkStart w:id="76" w:name="_Toc518658249"/>
      <w:bookmarkStart w:id="77" w:name="_Toc98437667"/>
      <w:bookmarkStart w:id="78" w:name="_Toc534817031"/>
      <w:bookmarkStart w:id="79" w:name="_Toc521662495"/>
      <w:bookmarkStart w:id="80" w:name="_Toc98437668"/>
      <w:bookmarkStart w:id="81" w:name="_Toc98437642"/>
      <w:bookmarkStart w:id="82" w:name="_Toc98437635"/>
      <w:bookmarkStart w:id="83" w:name="_Toc98437640"/>
      <w:bookmarkStart w:id="84" w:name="_Toc98437637"/>
      <w:bookmarkStart w:id="85" w:name="_Toc98437638"/>
      <w:bookmarkStart w:id="86" w:name="_Toc98437633"/>
      <w:bookmarkStart w:id="87" w:name="_Toc98437649"/>
      <w:bookmarkStart w:id="88" w:name="_Toc98437639"/>
      <w:bookmarkStart w:id="89" w:name="_Toc98437636"/>
      <w:bookmarkStart w:id="90" w:name="_Toc98437658"/>
      <w:bookmarkStart w:id="91" w:name="_Toc98437646"/>
      <w:bookmarkStart w:id="92" w:name="_Toc98437530"/>
      <w:bookmarkStart w:id="93" w:name="_Toc98437670"/>
      <w:bookmarkStart w:id="94" w:name="_Toc98437634"/>
      <w:bookmarkStart w:id="95" w:name="_Toc98437641"/>
      <w:bookmarkEnd w:id="65"/>
      <w:bookmarkEnd w:id="67"/>
      <w:bookmarkEnd w:id="69"/>
      <w:bookmarkEnd w:id="70"/>
      <w:bookmarkEnd w:id="72"/>
      <w:bookmarkEnd w:id="74"/>
      <w:bookmarkEnd w:id="75"/>
      <w:bookmarkEnd w:id="77"/>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t>VORG—Vertical origin table</w:t>
      </w:r>
      <w:bookmarkEnd w:id="66"/>
      <w:bookmarkEnd w:id="68"/>
      <w:bookmarkEnd w:id="71"/>
      <w:bookmarkEnd w:id="73"/>
      <w:bookmarkEnd w:id="76"/>
      <w:bookmarkEnd w:id="78"/>
      <w:bookmarkEnd w:id="79"/>
      <w:r>
        <w:rPr/>
        <w:t xml:space="preserve"> </w:t>
      </w:r>
      <w:r>
        <w:rPr/>
        <w:t>[5.3.4]</w:t>
      </w:r>
    </w:p>
    <w:p>
      <w:pPr>
        <w:pStyle w:val="Heading3"/>
        <w:numPr>
          <w:ilvl w:val="0"/>
          <w:numId w:val="0"/>
        </w:numPr>
        <w:ind w:hanging="0" w:left="0"/>
        <w:rPr/>
      </w:pPr>
      <w:r>
        <w:rPr/>
        <w:t>Replace the two tables under Vertical Origin Table Format as follows:</w:t>
      </w:r>
    </w:p>
    <w:p>
      <w:pPr>
        <w:pStyle w:val="NormalWeb"/>
        <w:keepNext w:val="true"/>
        <w:spacing w:before="120" w:after="120"/>
        <w:rPr/>
      </w:pPr>
      <w:r>
        <w:rPr>
          <w:rStyle w:val="Strong"/>
        </w:rPr>
        <w:t xml:space="preserve">Vertical Origin Table Format </w:t>
      </w:r>
    </w:p>
    <w:tbl>
      <w:tblPr>
        <w:tblW w:w="8897" w:type="dxa"/>
        <w:jc w:val="left"/>
        <w:tblInd w:w="0" w:type="dxa"/>
        <w:tblLayout w:type="fixed"/>
        <w:tblCellMar>
          <w:top w:w="0" w:type="dxa"/>
          <w:left w:w="108" w:type="dxa"/>
          <w:bottom w:w="0" w:type="dxa"/>
          <w:right w:w="108" w:type="dxa"/>
        </w:tblCellMar>
      </w:tblPr>
      <w:tblGrid>
        <w:gridCol w:w="911"/>
        <w:gridCol w:w="2541"/>
        <w:gridCol w:w="5445"/>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 xml:space="preserve">uint16 </w:t>
            </w:r>
          </w:p>
        </w:tc>
        <w:tc>
          <w:tcPr>
            <w:tcW w:w="25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majorVersion </w:t>
            </w:r>
          </w:p>
        </w:tc>
        <w:tc>
          <w:tcPr>
            <w:tcW w:w="544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(starting at 1).</w:t>
            </w:r>
            <w:r>
              <w:rPr>
                <w:shd w:fill="FFFF00" w:val="clear"/>
              </w:rPr>
              <w:t xml:space="preserve"> Set to 1 </w:t>
            </w:r>
            <w:r>
              <w:rPr>
                <w:shd w:fill="FFFF00" w:val="clear"/>
              </w:rPr>
              <w:t>or 2.</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(starting at 0). Set to 0.</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defaultVertOriginY</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y coordinate of a glyph's vertical origin, in the font's design coordinate system, to be used if no entry is present for the glyph in the vertOriginYMetrics array.</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w:t>
            </w:r>
            <w:r>
              <w:rPr/>
              <w:t xml:space="preserve">int16 </w:t>
            </w:r>
            <w:r>
              <w:rPr/>
              <w:t xml:space="preserve">or </w:t>
            </w:r>
            <w:r>
              <w:rPr>
                <w:shd w:fill="FFFF00" w:val="clear"/>
              </w:rPr>
              <w:t>uint</w:t>
            </w:r>
            <w:r>
              <w:rPr>
                <w:shd w:fill="FFFF00" w:val="clear"/>
              </w:rPr>
              <w:t>32</w:t>
            </w:r>
          </w:p>
        </w:tc>
        <w:tc>
          <w:tcPr>
            <w:tcW w:w="25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numVertOriginYMetrics</w:t>
            </w:r>
          </w:p>
        </w:tc>
        <w:tc>
          <w:tcPr>
            <w:tcW w:w="544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Number of elements in the vertOriginYMetrics array. </w:t>
            </w:r>
            <w:r>
              <w:rPr>
                <w:shd w:fill="FFFF00" w:val="clear"/>
              </w:rPr>
              <w:t>This is uint16</w:t>
            </w:r>
            <w:r>
              <w:rPr>
                <w:shd w:fill="FFFF00" w:val="clear"/>
              </w:rPr>
              <w:t xml:space="preserve"> </w:t>
            </w:r>
            <w:r>
              <w:rPr>
                <w:shd w:fill="FFFF00" w:val="clear"/>
              </w:rPr>
              <w:t xml:space="preserve">when MajorVersion is 1, </w:t>
            </w:r>
            <w:r>
              <w:rPr>
                <w:shd w:fill="FFFF00" w:val="clear"/>
              </w:rPr>
              <w:t>and uint24 otherwise.</w:t>
            </w:r>
          </w:p>
        </w:tc>
      </w:tr>
    </w:tbl>
    <w:p>
      <w:pPr>
        <w:pStyle w:val="Normal"/>
        <w:rPr>
          <w:lang w:val="en-GB"/>
        </w:rPr>
      </w:pPr>
      <w:r>
        <w:rPr/>
      </w:r>
    </w:p>
    <w:p>
      <w:pPr>
        <w:pStyle w:val="Normal"/>
        <w:rPr>
          <w:lang w:val="en-GB"/>
        </w:rPr>
      </w:pPr>
      <w:r>
        <w:rPr>
          <w:lang w:val="en-GB"/>
        </w:rPr>
        <w:t xml:space="preserve">This is immediately followed by the vertOriginYMetrics array (if numVertOriginYMetrics is non-zero), which has numVertOriginYMetrics elements of the following format: </w:t>
      </w:r>
    </w:p>
    <w:tbl>
      <w:tblPr>
        <w:tblW w:w="8472" w:type="dxa"/>
        <w:jc w:val="left"/>
        <w:tblInd w:w="0" w:type="dxa"/>
        <w:tblLayout w:type="fixed"/>
        <w:tblCellMar>
          <w:top w:w="0" w:type="dxa"/>
          <w:left w:w="108" w:type="dxa"/>
          <w:bottom w:w="0" w:type="dxa"/>
          <w:right w:w="108" w:type="dxa"/>
        </w:tblCellMar>
      </w:tblPr>
      <w:tblGrid>
        <w:gridCol w:w="1097"/>
        <w:gridCol w:w="1645"/>
        <w:gridCol w:w="5730"/>
      </w:tblGrid>
      <w:tr>
        <w:trPr/>
        <w:tc>
          <w:tcPr>
            <w:tcW w:w="10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73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9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w:t>
            </w:r>
            <w:r>
              <w:rPr>
                <w:shd w:fill="FFFF00" w:val="clear"/>
              </w:rPr>
              <w:t xml:space="preserve">int16 </w:t>
            </w:r>
            <w:r>
              <w:rPr>
                <w:shd w:fill="FFFF00" w:val="clear"/>
              </w:rPr>
              <w:t>or uint24</w:t>
            </w:r>
          </w:p>
        </w:tc>
        <w:tc>
          <w:tcPr>
            <w:tcW w:w="16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glyphIndex </w:t>
            </w:r>
          </w:p>
        </w:tc>
        <w:tc>
          <w:tcPr>
            <w:tcW w:w="573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index.</w:t>
            </w:r>
            <w:r>
              <w:rPr>
                <w:shd w:fill="FFFF00" w:val="clear"/>
              </w:rPr>
              <w:t xml:space="preserve"> </w:t>
            </w:r>
            <w:r>
              <w:rPr>
                <w:shd w:fill="FFFF00" w:val="clear"/>
              </w:rPr>
              <w:t>This shall be uint16 if MajorVersion is 1. It shall be uint24 otherise.</w:t>
            </w:r>
          </w:p>
        </w:tc>
      </w:tr>
      <w:tr>
        <w:trPr/>
        <w:tc>
          <w:tcPr>
            <w:tcW w:w="109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vertOriginY</w:t>
            </w:r>
          </w:p>
        </w:tc>
        <w:tc>
          <w:tcPr>
            <w:tcW w:w="573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Y coordinate, in the font's design coordinate system, of the vertical origin of glyph with index glyphIndex.</w:t>
            </w:r>
          </w:p>
        </w:tc>
      </w:tr>
    </w:tbl>
    <w:p>
      <w:pPr>
        <w:pStyle w:val="Normal"/>
        <w:rPr>
          <w:lang w:val="en-GB"/>
        </w:rPr>
      </w:pPr>
      <w:r>
        <w:rPr/>
      </w:r>
    </w:p>
    <w:p>
      <w:pPr>
        <w:pStyle w:val="Heading3"/>
        <w:ind w:hanging="0" w:left="0"/>
        <w:rPr/>
      </w:pPr>
      <w:r>
        <w:rPr/>
      </w:r>
      <w:bookmarkStart w:id="96" w:name="__RefHeading___Toc22280_2925186988"/>
      <w:bookmarkStart w:id="97" w:name="__RefHeading___Toc22280_2925186988"/>
      <w:bookmarkEnd w:id="97"/>
    </w:p>
    <w:p>
      <w:pPr>
        <w:pStyle w:val="Heading1"/>
        <w:numPr>
          <w:ilvl w:val="0"/>
          <w:numId w:val="0"/>
        </w:numPr>
        <w:ind w:hanging="0" w:left="0"/>
        <w:rPr/>
      </w:pPr>
      <w:bookmarkStart w:id="98" w:name="__RefHeading___Toc117705_1712311476"/>
      <w:bookmarkStart w:id="99" w:name="_Toc521662510"/>
      <w:bookmarkStart w:id="100" w:name="_Toc534817046"/>
      <w:bookmarkStart w:id="101" w:name="_Toc518658264"/>
      <w:bookmarkStart w:id="102" w:name="_Toc133507342"/>
      <w:bookmarkEnd w:id="98"/>
      <w:r>
        <w:rPr/>
        <w:t>sbix—Standard bitmap graphics table</w:t>
      </w:r>
      <w:bookmarkEnd w:id="99"/>
      <w:bookmarkEnd w:id="100"/>
      <w:bookmarkEnd w:id="101"/>
      <w:bookmarkEnd w:id="102"/>
      <w:r>
        <w:rPr/>
        <w:t xml:space="preserve"> </w:t>
      </w:r>
      <w:r>
        <w:rPr/>
        <w:t>[5.5.7]</w:t>
      </w:r>
    </w:p>
    <w:p>
      <w:pPr>
        <w:pStyle w:val="BodyText"/>
        <w:spacing w:before="1" w:after="283"/>
        <w:rPr/>
      </w:pPr>
      <w:r>
        <w:rPr/>
        <w:t>The number of glyphs referenced by the table is the number of glyphs in the font as defined earlier. Same applies to non-OpenType tables kerx and morx.</w:t>
      </w:r>
    </w:p>
    <w:p>
      <w:pPr>
        <w:pStyle w:val="BodyText"/>
        <w:spacing w:before="1" w:after="283"/>
        <w:rPr>
          <w:b/>
          <w:bCs/>
        </w:rPr>
      </w:pPr>
      <w:r>
        <w:rPr>
          <w:b/>
          <w:bCs/>
        </w:rPr>
        <w:t>Change</w:t>
      </w:r>
    </w:p>
    <w:p>
      <w:pPr>
        <w:pStyle w:val="Normal"/>
        <w:spacing w:lineRule="auto" w:line="240" w:before="280" w:after="280"/>
        <w:rPr/>
      </w:pPr>
      <w:r>
        <w:rPr/>
        <w:t>A font that includes an 'sbix' table may also include outline glyph data in a 'glyf' 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rmal"/>
        <w:spacing w:lineRule="auto" w:line="240" w:before="280" w:after="280"/>
        <w:rPr>
          <w:b/>
          <w:bCs/>
        </w:rPr>
      </w:pPr>
      <w:r>
        <w:rPr>
          <w:b/>
          <w:bCs/>
        </w:rPr>
        <w:t>To</w:t>
      </w:r>
    </w:p>
    <w:p>
      <w:pPr>
        <w:pStyle w:val="Normal"/>
        <w:spacing w:lineRule="auto" w:line="240" w:before="280" w:after="280"/>
        <w:rPr/>
      </w:pPr>
      <w:r>
        <w:rPr/>
        <w:t>A font that includes an 'sbix' table may also include outline glyph data in a</w:t>
      </w:r>
      <w:r>
        <w:rPr>
          <w:shd w:fill="FFFF00" w:val="clear"/>
        </w:rPr>
        <w:t xml:space="preserve"> ‘</w:t>
      </w:r>
      <w:r>
        <w:rPr>
          <w:shd w:fill="FFFF00" w:val="clear"/>
        </w:rPr>
        <w:t>GLYF’,</w:t>
      </w:r>
      <w:r>
        <w:rPr>
          <w:shd w:fill="FFFF00" w:val="clear"/>
        </w:rPr>
        <w:t xml:space="preserve"> </w:t>
      </w:r>
      <w:r>
        <w:rPr/>
        <w:t xml:space="preserve">'glyf', </w:t>
      </w:r>
      <w:r>
        <w:rPr>
          <w:shd w:fill="800080" w:val="clear"/>
        </w:rPr>
        <w:t>‘</w:t>
      </w:r>
      <w:r>
        <w:rPr>
          <w:shd w:fill="800080" w:val="clear"/>
        </w:rPr>
        <w:t>CFF2’</w:t>
      </w:r>
      <w:r>
        <w:rPr>
          <w:shd w:fill="800080" w:val="clear"/>
        </w:rPr>
        <w:t xml:space="preserve"> </w:t>
      </w:r>
      <w:r>
        <w:rPr/>
        <w:t>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TE2"/>
        <w:rPr>
          <w:shd w:fill="FFFF00" w:val="clear"/>
        </w:rPr>
      </w:pPr>
      <w:r>
        <w:rPr>
          <w:shd w:fill="FFFF00" w:val="clear"/>
        </w:rPr>
        <w:t>NOTE:</w:t>
        <w:tab/>
        <w:t xml:space="preserve">The number of glyphs referenced by the table is the number of glyphs in the font. This also applies in practice to non-OpenFontFormat tables </w:t>
      </w:r>
      <w:r>
        <w:rPr>
          <w:sz w:val="22"/>
          <w:szCs w:val="22"/>
          <w:shd w:fill="FFFF00" w:val="clear"/>
        </w:rPr>
        <w:t>‘kerx’ and ‘morx’.</w:t>
      </w:r>
    </w:p>
    <w:p>
      <w:pPr>
        <w:pStyle w:val="Heading4"/>
        <w:spacing w:before="280" w:after="240"/>
        <w:ind w:hanging="1080" w:left="1080"/>
        <w:rPr/>
      </w:pPr>
      <w:r>
        <w:rPr/>
        <w:t xml:space="preserve">Table dependencies </w:t>
      </w:r>
      <w:r>
        <w:rPr/>
        <w:t>[5.5.7.4]</w:t>
      </w:r>
    </w:p>
    <w:p>
      <w:pPr>
        <w:pStyle w:val="BodyText"/>
        <w:spacing w:before="280" w:after="240"/>
        <w:ind w:hanging="1080" w:left="1080"/>
        <w:rPr>
          <w:b/>
          <w:bCs/>
        </w:rPr>
      </w:pPr>
      <w:r>
        <w:rPr>
          <w:b/>
          <w:bCs/>
        </w:rPr>
        <w:t>Change</w:t>
      </w:r>
    </w:p>
    <w:p>
      <w:pPr>
        <w:pStyle w:val="Normal"/>
        <w:rPr>
          <w:lang w:val="en-GB"/>
        </w:rPr>
      </w:pPr>
      <w:r>
        <w:rPr>
          <w:lang w:val="en-GB"/>
        </w:rPr>
        <w:t xml:space="preserve">The glyph count is derived from the </w:t>
      </w:r>
      <w:hyperlink w:anchor="_maxp_–_Maximum">
        <w:r>
          <w:rPr>
            <w:rStyle w:val="Hyperlink"/>
            <w:rFonts w:cs="Arial"/>
            <w:lang w:val="en-GB"/>
          </w:rPr>
          <w:t>'maxp' table</w:t>
        </w:r>
      </w:hyperlink>
      <w:r>
        <w:rPr>
          <w:lang w:val="en-GB"/>
        </w:rPr>
        <w:t xml:space="preserve">. Advance and side-bearing glyph metrics are stored in the </w:t>
      </w:r>
      <w:hyperlink w:anchor="_hmtx_–_Horizontal">
        <w:r>
          <w:rPr>
            <w:rStyle w:val="Hyperlink"/>
            <w:rFonts w:cs="Arial"/>
            <w:lang w:val="en-GB"/>
          </w:rPr>
          <w:t>'hmtx' table</w:t>
        </w:r>
      </w:hyperlink>
      <w:r>
        <w:rPr>
          <w:lang w:val="en-GB"/>
        </w:rPr>
        <w:t xml:space="preserve"> for horizontal layout, and the </w:t>
      </w:r>
      <w:hyperlink w:anchor="_vmtx_–_Vertical">
        <w:r>
          <w:rPr>
            <w:rStyle w:val="Hyperlink"/>
            <w:rFonts w:cs="Arial"/>
            <w:lang w:val="en-GB"/>
          </w:rPr>
          <w:t>'vmtx' table</w:t>
        </w:r>
      </w:hyperlink>
      <w:r>
        <w:rPr>
          <w:lang w:val="en-GB"/>
        </w:rPr>
        <w:t xml:space="preserve"> for vertical layout.</w:t>
      </w:r>
    </w:p>
    <w:p>
      <w:pPr>
        <w:pStyle w:val="Normal"/>
        <w:rPr>
          <w:lang w:val="en-GB"/>
        </w:rPr>
      </w:pPr>
      <w:r>
        <w:rPr>
          <w:lang w:val="en-GB"/>
        </w:rPr>
        <w:t>To:</w:t>
      </w:r>
    </w:p>
    <w:p>
      <w:pPr>
        <w:pStyle w:val="Normal"/>
        <w:rPr/>
      </w:pPr>
      <w:r>
        <w:rPr>
          <w:shd w:fill="FFFF00" w:val="clear"/>
          <w:lang w:val="en-GB"/>
        </w:rPr>
        <w:t xml:space="preserve">The glyph count is derived from the </w:t>
      </w:r>
      <w:r>
        <w:rPr>
          <w:shd w:fill="FFFF00" w:val="clear"/>
          <w:lang w:val="en-GB"/>
        </w:rPr>
        <w:t>size of the ‘GLYF’ table when present, or from the</w:t>
      </w:r>
      <w:r>
        <w:rPr>
          <w:shd w:fill="FFFF00" w:val="clear"/>
          <w:lang w:val="en-GB"/>
        </w:rPr>
        <w:t xml:space="preserve"> </w:t>
      </w:r>
      <w:hyperlink w:anchor="_maxp_–_Maximum">
        <w:r>
          <w:rPr>
            <w:rStyle w:val="Hyperlink"/>
            <w:rFonts w:cs="Arial"/>
            <w:shd w:fill="FFFF00" w:val="clear"/>
            <w:lang w:val="en-GB"/>
          </w:rPr>
          <w:t>'maxp' table</w:t>
        </w:r>
      </w:hyperlink>
      <w:r>
        <w:rPr>
          <w:shd w:fill="FFFF00" w:val="clear"/>
          <w:lang w:val="en-GB"/>
        </w:rPr>
        <w:t xml:space="preserve">. Advance and side-bearing glyph metrics are stored in the </w:t>
      </w:r>
      <w:hyperlink w:anchor="_hmtx_–_Horizontal">
        <w:r>
          <w:rPr>
            <w:rStyle w:val="Hyperlink"/>
            <w:rFonts w:cs="Arial"/>
            <w:shd w:fill="FFFF00" w:val="clear"/>
            <w:lang w:val="en-GB"/>
          </w:rPr>
          <w:t>'</w:t>
        </w:r>
        <w:r>
          <w:rPr>
            <w:rStyle w:val="Hyperlink"/>
            <w:rFonts w:cs="Arial"/>
            <w:shd w:fill="FFFF00" w:val="clear"/>
            <w:lang w:val="en-GB"/>
          </w:rPr>
          <w:t>HMTX</w:t>
        </w:r>
        <w:r>
          <w:rPr>
            <w:rStyle w:val="Hyperlink"/>
            <w:rFonts w:cs="Arial"/>
            <w:shd w:fill="FFFF00" w:val="clear"/>
            <w:lang w:val="en-GB"/>
          </w:rPr>
          <w:t>' table</w:t>
        </w:r>
      </w:hyperlink>
      <w:r>
        <w:rPr>
          <w:shd w:fill="FFFF00" w:val="clear"/>
          <w:lang w:val="en-GB"/>
        </w:rPr>
        <w:t xml:space="preserve"> for horizontal layout, and the </w:t>
      </w:r>
      <w:hyperlink w:anchor="_vmtx_–_Vertical">
        <w:r>
          <w:rPr>
            <w:rStyle w:val="Hyperlink"/>
            <w:rFonts w:cs="Arial"/>
            <w:shd w:fill="FFFF00" w:val="clear"/>
            <w:lang w:val="en-GB"/>
          </w:rPr>
          <w:t>'</w:t>
        </w:r>
        <w:r>
          <w:rPr>
            <w:rStyle w:val="Hyperlink"/>
            <w:rFonts w:cs="Arial"/>
            <w:shd w:fill="FFFF00" w:val="clear"/>
            <w:lang w:val="en-GB"/>
          </w:rPr>
          <w:t>VMTX</w:t>
        </w:r>
        <w:r>
          <w:rPr>
            <w:rStyle w:val="Hyperlink"/>
            <w:rFonts w:cs="Arial"/>
            <w:shd w:fill="FFFF00" w:val="clear"/>
            <w:lang w:val="en-GB"/>
          </w:rPr>
          <w:t>' table</w:t>
        </w:r>
      </w:hyperlink>
      <w:r>
        <w:rPr>
          <w:shd w:fill="FFFF00" w:val="clear"/>
          <w:lang w:val="en-GB"/>
        </w:rPr>
        <w:t xml:space="preserve"> for vertical layout, </w:t>
      </w:r>
      <w:r>
        <w:rPr>
          <w:shd w:fill="FFFF00" w:val="clear"/>
          <w:lang w:val="en-GB"/>
        </w:rPr>
        <w:t>or in ‘hmtx’ and ‘vmtx’ for use with the lower-case named ‘glyf’ table.</w:t>
      </w:r>
    </w:p>
    <w:p>
      <w:pPr>
        <w:pStyle w:val="NormalWeb"/>
        <w:rPr/>
      </w:pPr>
      <w:r>
        <w:rPr/>
      </w:r>
    </w:p>
    <w:p>
      <w:pPr>
        <w:pStyle w:val="Heading1"/>
        <w:rPr/>
      </w:pPr>
      <w:bookmarkStart w:id="103" w:name="__RefHeading___Toc211695_4187903474"/>
      <w:bookmarkEnd w:id="103"/>
      <w:r>
        <w:rPr/>
        <w:t>ClassDef and Coverage</w:t>
      </w:r>
    </w:p>
    <w:p>
      <w:pPr>
        <w:pStyle w:val="NormalWeb"/>
        <w:rPr/>
      </w:pPr>
      <w:r>
        <w:rPr/>
        <w:t xml:space="preserve">We add formats 3 and 4 to Coverage [6.2.6] and to ClassDev [6.2.7] </w:t>
      </w:r>
      <w:r>
        <w:rPr/>
        <w:t>to support 24-bit glyphs.</w:t>
      </w:r>
    </w:p>
    <w:p>
      <w:pPr>
        <w:pStyle w:val="Heading3"/>
        <w:spacing w:before="280" w:after="240"/>
        <w:ind w:hanging="720" w:left="720"/>
        <w:rPr/>
      </w:pPr>
      <w:bookmarkStart w:id="104" w:name="__RefHeading___Toc168188_4187903474"/>
      <w:bookmarkStart w:id="105" w:name="_Toc534817073"/>
      <w:bookmarkStart w:id="106" w:name="_Toc518658291"/>
      <w:bookmarkStart w:id="107" w:name="_Toc133507369"/>
      <w:bookmarkStart w:id="108" w:name="_Toc521662537"/>
      <w:bookmarkStart w:id="109" w:name="_Coverage_table"/>
      <w:bookmarkEnd w:id="104"/>
      <w:bookmarkEnd w:id="109"/>
      <w:r>
        <w:rPr/>
        <w:t>Coverage table</w:t>
      </w:r>
      <w:bookmarkEnd w:id="105"/>
      <w:bookmarkEnd w:id="106"/>
      <w:bookmarkEnd w:id="107"/>
      <w:bookmarkEnd w:id="108"/>
      <w:r>
        <w:rPr/>
        <w:t xml:space="preserve"> </w:t>
      </w:r>
      <w:r>
        <w:rPr/>
        <w:t>[6.2.6]</w:t>
      </w:r>
    </w:p>
    <w:p>
      <w:pPr>
        <w:pStyle w:val="Normal"/>
        <w:rPr/>
      </w:pPr>
      <w:r>
        <w:rPr/>
        <w:t>Each subtable (except an Extension LookupType subtable) in a lookup references a Coverage table (Coverage), which specifies all the glyphs affected by a substitution or positioning operation described in the subtable. The GSUB, GPOS, and GDEF tables rely on this notion of coverage. If a glyph does not appear in a Coverage table, the client can skip that subtable and move immediately to the next subtable.</w:t>
      </w:r>
    </w:p>
    <w:p>
      <w:pPr>
        <w:pStyle w:val="Normal"/>
        <w:rPr/>
      </w:pPr>
      <w:r>
        <w:rPr/>
        <w:t>A Coverage table identifies glyphs by glyph indices (GlyphIDs) either of two ways:</w:t>
      </w:r>
    </w:p>
    <w:p>
      <w:pPr>
        <w:pStyle w:val="Normal"/>
        <w:numPr>
          <w:ilvl w:val="0"/>
          <w:numId w:val="15"/>
        </w:numPr>
        <w:tabs>
          <w:tab w:val="clear" w:pos="720"/>
        </w:tabs>
        <w:spacing w:lineRule="auto" w:line="240" w:before="280" w:after="0"/>
        <w:jc w:val="left"/>
        <w:rPr/>
      </w:pPr>
      <w:r>
        <w:rPr/>
        <w:t>As a list of individual glyph indices in the glyph set.</w:t>
      </w:r>
    </w:p>
    <w:p>
      <w:pPr>
        <w:pStyle w:val="Normal"/>
        <w:numPr>
          <w:ilvl w:val="0"/>
          <w:numId w:val="15"/>
        </w:numPr>
        <w:tabs>
          <w:tab w:val="clear" w:pos="720"/>
        </w:tabs>
        <w:spacing w:lineRule="auto" w:line="240" w:before="0" w:after="280"/>
        <w:jc w:val="left"/>
        <w:rPr/>
      </w:pPr>
      <w:r>
        <w:rPr/>
        <w:t>As ranges of consecutive indices. The range format gives a number of start-glyph and end-glyph index pairs to denote the consecutive glyphs covered by the table.</w:t>
      </w:r>
    </w:p>
    <w:p>
      <w:pPr>
        <w:pStyle w:val="Normal"/>
        <w:rPr/>
      </w:pPr>
      <w:r>
        <w:rPr/>
        <w:t>In a Coverage table, a format code (CoverageFormat) specifies the format as an integer: 1 = lists, and 2 = ranges.</w:t>
      </w:r>
    </w:p>
    <w:p>
      <w:pPr>
        <w:pStyle w:val="Normal"/>
        <w:rPr/>
      </w:pPr>
      <w:r>
        <w:rPr/>
        <w:t>A Coverage table defines a unique index value (Coverage Index) for each covered glyph. The Coverage Indexes are sequential, from 0 to the number of covered glyphs minus 1. This unique value specifies the position of the covered glyph in the Coverage table. The client uses the Coverage Index to look up values in the subtable for each glyph.</w:t>
      </w:r>
    </w:p>
    <w:p>
      <w:pPr>
        <w:pStyle w:val="Normal"/>
        <w:rPr>
          <w:shd w:fill="00FFFF" w:val="clear"/>
        </w:rPr>
      </w:pPr>
      <w:r>
        <w:rPr>
          <w:shd w:fill="00FFFF" w:val="clear"/>
        </w:rPr>
        <w:t>Coverage Formats 1 and 2 are defined for 16-bit glyph identifiers, and Formats 3 and 4 are defined for 24-bit glyph identifiers.</w:t>
      </w:r>
    </w:p>
    <w:p>
      <w:pPr>
        <w:pStyle w:val="Normal"/>
        <w:keepNext w:val="true"/>
        <w:spacing w:before="280" w:after="280"/>
        <w:rPr/>
      </w:pPr>
      <w:r>
        <w:rPr>
          <w:rStyle w:val="Strong"/>
        </w:rPr>
        <w:t>Coverage Format 1</w:t>
      </w:r>
    </w:p>
    <w:p>
      <w:pPr>
        <w:pStyle w:val="Normal"/>
        <w:rPr/>
      </w:pPr>
      <w:r>
        <w:rPr/>
        <w:t>Coverage Format 1 consists of a format code (CoverageFormat) and a count of covered glyphs (GlyphCount), followed by an array of glyph indices (GlyphArray). The glyph indices must be in numerical order for binary searching of the list. When a glyph is found in the Coverage table, its position in the GlyphArray determines the Coverage Index that is returned-the first glyph has a Coverage Index = 0, and the last glyph has a Coverage Index = GlyphCount -1.</w:t>
      </w:r>
    </w:p>
    <w:p>
      <w:pPr>
        <w:pStyle w:val="Normal"/>
        <w:rPr/>
      </w:pPr>
      <w:r>
        <w:rPr/>
        <w:t>Example 5 at the end of this clause shows a Coverage table that uses Format 1 to list the GlyphIDs of all lowercase descender glyphs in a font.</w:t>
      </w:r>
    </w:p>
    <w:p>
      <w:pPr>
        <w:pStyle w:val="Normal"/>
        <w:keepNext w:val="true"/>
        <w:spacing w:before="280" w:after="280"/>
        <w:rPr/>
      </w:pPr>
      <w:r>
        <w:rPr>
          <w:rStyle w:val="Emphasis"/>
        </w:rPr>
        <w:t xml:space="preserve">Coverage Format1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IDs – in numerical order</w:t>
            </w:r>
          </w:p>
        </w:tc>
      </w:tr>
    </w:tbl>
    <w:p>
      <w:pPr>
        <w:pStyle w:val="Normal"/>
        <w:spacing w:before="0" w:after="280"/>
        <w:rPr/>
      </w:pPr>
      <w:r>
        <w:rPr/>
        <w:br/>
      </w:r>
      <w:r>
        <w:rPr>
          <w:rStyle w:val="Strong"/>
        </w:rPr>
        <w:t>Coverage Format 2</w:t>
      </w:r>
    </w:p>
    <w:p>
      <w:pPr>
        <w:pStyle w:val="Normal"/>
        <w:rPr/>
      </w:pPr>
      <w:r>
        <w:rPr/>
        <w:t>Format 2 consists of a format code (coverageFormat) and a count of glyph index ranges (rangeCount), followed by an array of records (rangeRecords). Each RangeRecord consists of a start glyph index (startGlyphID), an end glyph index (endGlyphID), and the Coverage Index associated with the range's Start glyph. Ranges shall be in glyph ID order, and they must be distinct, with no overlapping.</w:t>
      </w:r>
    </w:p>
    <w:p>
      <w:pPr>
        <w:pStyle w:val="Normal"/>
        <w:rPr/>
      </w:pPr>
      <w:r>
        <w:rPr/>
        <w:t>The Coverage Indexes for the first range begin with zero (0), and increase sequentially to (endGlyphId - startGlyphId). For each successive range, the starting Coverage Index is one greater than the ending Coverage Index of the preceding range. Thus, startCoverageIndex for each non-initial range must equal the length of the preceding range (endGlyphID - startGlyphID + 1) added to the startGlyphIndex of the preceding range. This allows for a quick calculation of the Coverage Index for any glyph in any range using the formula: Coverage Index (glyphID) = startCoverageIndex + glyphID - startGlyphID.</w:t>
      </w:r>
    </w:p>
    <w:p>
      <w:pPr>
        <w:pStyle w:val="Normal"/>
        <w:rPr/>
      </w:pPr>
      <w:r>
        <w:rPr/>
        <w:t>Example 6 at the end of this clause shows a Coverage table that uses Format 2 to identify a range of numeral glyphs in a font.</w:t>
      </w:r>
    </w:p>
    <w:p>
      <w:pPr>
        <w:pStyle w:val="Normal"/>
        <w:spacing w:before="280" w:after="280"/>
        <w:rPr/>
      </w:pPr>
      <w:r>
        <w:rPr>
          <w:rStyle w:val="Emphasis"/>
        </w:rPr>
        <w:t xml:space="preserve">CoverageFormat2 table: Range of glyphs </w:t>
      </w:r>
    </w:p>
    <w:tbl>
      <w:tblPr>
        <w:tblW w:w="8706" w:type="dxa"/>
        <w:jc w:val="left"/>
        <w:tblInd w:w="0" w:type="dxa"/>
        <w:tblLayout w:type="fixed"/>
        <w:tblCellMar>
          <w:top w:w="0" w:type="dxa"/>
          <w:left w:w="108" w:type="dxa"/>
          <w:bottom w:w="0" w:type="dxa"/>
          <w:right w:w="108" w:type="dxa"/>
        </w:tblCellMar>
      </w:tblPr>
      <w:tblGrid>
        <w:gridCol w:w="1541"/>
        <w:gridCol w:w="1941"/>
        <w:gridCol w:w="5224"/>
      </w:tblGrid>
      <w:tr>
        <w:trPr/>
        <w:tc>
          <w:tcPr>
            <w:tcW w:w="1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4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RangeRecords</w:t>
            </w:r>
          </w:p>
        </w:tc>
      </w:tr>
      <w:tr>
        <w:trPr/>
        <w:tc>
          <w:tcPr>
            <w:tcW w:w="154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RangeRecord</w:t>
            </w:r>
          </w:p>
        </w:tc>
        <w:tc>
          <w:tcPr>
            <w:tcW w:w="19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rPr>
        <w:t xml:space="preserve">RangeRecord </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
        <w:keepNext w:val="true"/>
        <w:spacing w:before="280" w:after="280"/>
        <w:rPr/>
      </w:pPr>
      <w:r>
        <w:rPr>
          <w:rStyle w:val="Strong"/>
        </w:rPr>
        <w:t xml:space="preserve">Coverage Format </w:t>
      </w:r>
      <w:r>
        <w:rPr>
          <w:rStyle w:val="Strong"/>
        </w:rPr>
        <w:t>3</w:t>
      </w:r>
    </w:p>
    <w:p>
      <w:pPr>
        <w:pStyle w:val="Normal"/>
        <w:rPr/>
      </w:pPr>
      <w:r>
        <w:rPr/>
        <w:t xml:space="preserve">Coverage Format </w:t>
      </w:r>
      <w:r>
        <w:rPr/>
        <w:t>3 is the same as Format 1, except that it uses 24-bit GlyphID values.</w:t>
      </w:r>
    </w:p>
    <w:p>
      <w:pPr>
        <w:pStyle w:val="Normal"/>
        <w:rPr/>
      </w:pPr>
      <w:r>
        <w:rPr/>
        <w:t xml:space="preserve"> </w:t>
      </w:r>
    </w:p>
    <w:p>
      <w:pPr>
        <w:pStyle w:val="Normal"/>
        <w:keepNext w:val="true"/>
        <w:spacing w:before="280" w:after="280"/>
        <w:rPr/>
      </w:pPr>
      <w:r>
        <w:rPr>
          <w:rStyle w:val="Emphasis"/>
          <w:shd w:fill="00FFFF" w:val="clear"/>
        </w:rPr>
        <w:t>CoverageFormat</w:t>
      </w:r>
      <w:r>
        <w:rPr>
          <w:rStyle w:val="Emphasis"/>
          <w:shd w:fill="00FFFF" w:val="clear"/>
        </w:rPr>
        <w:t>3</w:t>
      </w:r>
      <w:r>
        <w:rPr>
          <w:rStyle w:val="Emphasis"/>
        </w:rPr>
        <w:t xml:space="preserve">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w:t>
            </w:r>
            <w:r>
              <w:rPr>
                <w:shd w:fill="00FFFF" w:val="clear"/>
              </w:rPr>
              <w:t xml:space="preserve"> </w:t>
            </w:r>
            <w:r>
              <w:rPr>
                <w:shd w:fill="00FFFF" w:val="clear"/>
              </w:rPr>
              <w:t xml:space="preserve">24-bit </w:t>
            </w:r>
            <w:r>
              <w:rPr/>
              <w:t>glyph IDs – in numerical order</w:t>
            </w:r>
          </w:p>
        </w:tc>
      </w:tr>
    </w:tbl>
    <w:p>
      <w:pPr>
        <w:pStyle w:val="Normal"/>
        <w:spacing w:before="0" w:after="280"/>
        <w:rPr/>
      </w:pPr>
      <w:r>
        <w:rPr/>
        <w:br/>
      </w:r>
      <w:r>
        <w:rPr>
          <w:rStyle w:val="Strong"/>
        </w:rPr>
        <w:t xml:space="preserve">Coverage Format </w:t>
      </w:r>
      <w:r>
        <w:rPr>
          <w:rStyle w:val="Strong"/>
        </w:rPr>
        <w:t>4</w:t>
      </w:r>
    </w:p>
    <w:p>
      <w:pPr>
        <w:pStyle w:val="Normal"/>
        <w:rPr/>
      </w:pPr>
      <w:r>
        <w:rPr/>
        <w:t xml:space="preserve">Format </w:t>
      </w:r>
      <w:r>
        <w:rPr/>
        <w:t xml:space="preserve">4 is the same as Format 2, but uses 24-bit GlyphID values </w:t>
      </w:r>
      <w:r>
        <w:rPr/>
        <w:t>in the RangeRecord subtables.</w:t>
      </w:r>
    </w:p>
    <w:p>
      <w:pPr>
        <w:pStyle w:val="Normal"/>
        <w:spacing w:before="280" w:after="280"/>
        <w:rPr/>
      </w:pPr>
      <w:r>
        <w:rPr>
          <w:rStyle w:val="Emphasis"/>
          <w:shd w:fill="00FFFF" w:val="clear"/>
        </w:rPr>
        <w:t>CoverageFormat</w:t>
      </w:r>
      <w:r>
        <w:rPr>
          <w:rStyle w:val="Emphasis"/>
          <w:shd w:fill="00FFFF" w:val="clear"/>
        </w:rPr>
        <w:t>4</w:t>
      </w:r>
      <w:r>
        <w:rPr>
          <w:rStyle w:val="Emphasis"/>
        </w:rPr>
        <w:t xml:space="preserve"> table: Range of glyphs </w:t>
      </w:r>
    </w:p>
    <w:tbl>
      <w:tblPr>
        <w:tblW w:w="8706" w:type="dxa"/>
        <w:jc w:val="left"/>
        <w:tblInd w:w="0" w:type="dxa"/>
        <w:tblLayout w:type="fixed"/>
        <w:tblCellMar>
          <w:top w:w="0" w:type="dxa"/>
          <w:left w:w="108" w:type="dxa"/>
          <w:bottom w:w="0" w:type="dxa"/>
          <w:right w:w="108" w:type="dxa"/>
        </w:tblCellMar>
      </w:tblPr>
      <w:tblGrid>
        <w:gridCol w:w="1583"/>
        <w:gridCol w:w="1899"/>
        <w:gridCol w:w="5224"/>
      </w:tblGrid>
      <w:tr>
        <w:trPr/>
        <w:tc>
          <w:tcPr>
            <w:tcW w:w="15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15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00FFFF" w:val="clear"/>
              </w:rPr>
              <w:t>RangeRecord</w:t>
            </w:r>
            <w:r>
              <w:rPr>
                <w:shd w:fill="00FFFF" w:val="clear"/>
              </w:rPr>
              <w:t>2</w:t>
            </w:r>
            <w:r>
              <w:rPr/>
              <w:t xml:space="preserve"> records</w:t>
            </w:r>
          </w:p>
        </w:tc>
      </w:tr>
      <w:tr>
        <w:trPr/>
        <w:tc>
          <w:tcPr>
            <w:tcW w:w="15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RangeRecord</w:t>
            </w:r>
            <w:r>
              <w:rPr>
                <w:shd w:fill="00FFFF" w:val="clear"/>
              </w:rPr>
              <w:t>2</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shd w:fill="00FFFF" w:val="clear"/>
        </w:rPr>
        <w:t>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Web"/>
        <w:rPr/>
      </w:pPr>
      <w:r>
        <w:rPr/>
      </w:r>
    </w:p>
    <w:p>
      <w:pPr>
        <w:pStyle w:val="Heading3"/>
        <w:ind w:hanging="0" w:left="0"/>
        <w:rPr/>
      </w:pPr>
      <w:bookmarkStart w:id="110" w:name="__RefHeading___Toc168190_4187903474"/>
      <w:bookmarkStart w:id="111" w:name="_Toc521662538"/>
      <w:bookmarkStart w:id="112" w:name="_Toc518658292"/>
      <w:bookmarkStart w:id="113" w:name="_Toc133507370"/>
      <w:bookmarkStart w:id="114" w:name="_Toc534817074"/>
      <w:bookmarkEnd w:id="110"/>
      <w:r>
        <w:rPr/>
        <w:t>Class definition table</w:t>
      </w:r>
      <w:bookmarkEnd w:id="111"/>
      <w:bookmarkEnd w:id="112"/>
      <w:bookmarkEnd w:id="113"/>
      <w:bookmarkEnd w:id="114"/>
    </w:p>
    <w:p>
      <w:pPr>
        <w:pStyle w:val="Normal"/>
        <w:rPr/>
      </w:pPr>
      <w:r>
        <w:rPr/>
        <w:t>In OFF Layout, index values identify glyphs. For efficiency and ease of representation, a font developer can group glyph indices to form glyph classes. Class assignments vary in meaning from one lookup subtable to another. For example, in the GSUB and GPOS tables, classes are used to describe glyph contexts. GDEF tables also use the idea of glyph classes.</w:t>
      </w:r>
    </w:p>
    <w:p>
      <w:pPr>
        <w:pStyle w:val="Normal"/>
        <w:rPr/>
      </w:pPr>
      <w:r>
        <w:rPr/>
        <w:t>Consider a substitution action that replaces only the lowercase ascender glyphs in a glyph string. To more easily describe the appropriate context for the substitution, the font developer might divide the font's lowercase glyphs into two classes, one that contains the ascenders and one that contains the glyphs without ascenders.</w:t>
      </w:r>
    </w:p>
    <w:p>
      <w:pPr>
        <w:pStyle w:val="Normal"/>
        <w:rPr/>
      </w:pPr>
      <w:r>
        <w:rPr/>
        <w:t>A font developer can assign any glyph to any class, each identified with an integer called a class value. A Class Definition table (ClassDef) groups glyph indices by class, beginning with Class 1, then Class 2, and so on. All glyphs not assigned to a class fall into Class 0. Within a given class definition table, each glyph in the font belongs to exactly one class.</w:t>
      </w:r>
    </w:p>
    <w:p>
      <w:pPr>
        <w:pStyle w:val="Normal"/>
        <w:rPr/>
      </w:pPr>
      <w:r>
        <w:rPr/>
        <w:t xml:space="preserve">The ClassDef table can have </w:t>
      </w:r>
      <w:r>
        <w:rPr>
          <w:shd w:fill="00FFFF" w:val="clear"/>
        </w:rPr>
        <w:t>one of four</w:t>
      </w:r>
      <w:r>
        <w:rPr>
          <w:shd w:fill="00FFFF" w:val="clear"/>
        </w:rPr>
        <w:t xml:space="preserve"> formats</w:t>
      </w:r>
      <w:r>
        <w:rPr/>
        <w:t>: one that assigns a range of consecutive glyph indices to different classes, or one that puts groups of consecutive glyph indices into the same class</w:t>
      </w:r>
      <w:r>
        <w:rPr>
          <w:shd w:fill="00FFFF" w:val="clear"/>
        </w:rPr>
        <w:t xml:space="preserve">, </w:t>
      </w:r>
      <w:r>
        <w:rPr>
          <w:shd w:fill="00FFFF" w:val="clear"/>
        </w:rPr>
        <w:t>each in both 16-bit and 24-bit versions. Formats 1 and 2 are 16-bit, and Formats 3 and 4 are 24-bit.</w:t>
      </w:r>
    </w:p>
    <w:p>
      <w:pPr>
        <w:pStyle w:val="Normal"/>
        <w:spacing w:before="0" w:after="280"/>
        <w:rPr/>
      </w:pPr>
      <w:r>
        <w:rPr>
          <w:rStyle w:val="Strong"/>
        </w:rPr>
        <w:t>Class Definition Table Format 1</w:t>
      </w:r>
    </w:p>
    <w:p>
      <w:pPr>
        <w:pStyle w:val="Normal"/>
        <w:rPr/>
      </w:pPr>
      <w:r>
        <w:rPr/>
        <w:t>The first class definition format (ClassDefFormat1) specifies a range of consecutive glyph indices and a list of corresponding glyph class values. This table is useful for assigning each glyph to a different class because the glyph indices in each class are not grouped together.</w:t>
      </w:r>
    </w:p>
    <w:p>
      <w:pPr>
        <w:pStyle w:val="Normal"/>
        <w:rPr/>
      </w:pPr>
      <w:r>
        <w:rPr/>
        <w:t>A ClassDef Format 1 table begins with a format identifier (ClassFormat). The range of glyph IDs covered by the table is identified by two values: the glyph ID of the first glyph (StartGlyphID), and the number of consecutive glyph IDs (including the first one) that will be assigned class values (GlyphCount). The ClassValueArray lists the class value assigned to each glyph ID, starting with the class value for StartGlyphID and following the same order as the glyph IDs. Any glyph not included in the range of covered glyph IDs automatically belongs to Class 0.</w:t>
      </w:r>
    </w:p>
    <w:p>
      <w:pPr>
        <w:pStyle w:val="Normal"/>
        <w:rPr/>
      </w:pPr>
      <w:r>
        <w:rPr/>
        <w:t>Example 7 at the end of this clause uses Format 1 to assign class values to the lowercase, x-height, ascender, and descender glyphs in a font.</w:t>
      </w:r>
    </w:p>
    <w:p>
      <w:pPr>
        <w:pStyle w:val="Normal"/>
        <w:spacing w:before="0" w:after="280"/>
        <w:rPr/>
      </w:pPr>
      <w:r>
        <w:rPr>
          <w:rStyle w:val="Emphasis"/>
        </w:rPr>
        <w:t xml:space="preserve">ClassDefFormat1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Class Definition Table Format 2</w:t>
      </w:r>
    </w:p>
    <w:p>
      <w:pPr>
        <w:pStyle w:val="Normal"/>
        <w:rPr/>
      </w:pPr>
      <w:r>
        <w:rPr/>
        <w:t>The second class definition format (ClassDefFormat2) defines multiple groups of glyph indices that belong to the same class. Each group consists of a discrete range of glyph indices in consecutive order (ranges cannot overlap).</w:t>
      </w:r>
    </w:p>
    <w:p>
      <w:pPr>
        <w:pStyle w:val="Normal"/>
        <w:rPr/>
      </w:pPr>
      <w:r>
        <w:rPr/>
        <w:t>The ClassDef Format 2 table contains a format identifier (ClassFormat), a count of ClassRangeRecords that define the groups and assign class values (ClassRangeCount), and an array of ClassRangeRecords ordered by the glyph ID of the first glyph in each record (ClassRangeRecord).</w:t>
      </w:r>
    </w:p>
    <w:p>
      <w:pPr>
        <w:pStyle w:val="Normal"/>
        <w:rPr/>
      </w:pPr>
      <w:r>
        <w:rPr/>
        <w:t>Each ClassRangeRecord consists of a Start glyph index, an End glyph index, and a Class value. All GlyphIDs in a range, from Start to End inclusive, constitute the class identified by the Class value. Any glyph not covered by a ClassRangeRecord is assumed to belong to Class 0.</w:t>
      </w:r>
    </w:p>
    <w:p>
      <w:pPr>
        <w:pStyle w:val="Normal"/>
        <w:rPr/>
      </w:pPr>
      <w:r>
        <w:rPr/>
        <w:t>Example 8 at the end of this clause uses Format 2 to assign class values to four types of glyphs in the Arabic script.</w:t>
      </w:r>
    </w:p>
    <w:p>
      <w:pPr>
        <w:pStyle w:val="Normal"/>
        <w:spacing w:before="0" w:after="280"/>
        <w:rPr/>
      </w:pPr>
      <w:r>
        <w:rPr>
          <w:rStyle w:val="Emphasis"/>
        </w:rPr>
        <w:t xml:space="preserve">ClassDefFormat2 table: Class ranges </w:t>
      </w:r>
    </w:p>
    <w:tbl>
      <w:tblPr>
        <w:tblW w:w="8706" w:type="dxa"/>
        <w:jc w:val="left"/>
        <w:tblInd w:w="0" w:type="dxa"/>
        <w:tblLayout w:type="fixed"/>
        <w:tblCellMar>
          <w:top w:w="0" w:type="dxa"/>
          <w:left w:w="108" w:type="dxa"/>
          <w:bottom w:w="0" w:type="dxa"/>
          <w:right w:w="108" w:type="dxa"/>
        </w:tblCellMar>
      </w:tblPr>
      <w:tblGrid>
        <w:gridCol w:w="2022"/>
        <w:gridCol w:w="2089"/>
        <w:gridCol w:w="4595"/>
      </w:tblGrid>
      <w:tr>
        <w:trPr/>
        <w:tc>
          <w:tcPr>
            <w:tcW w:w="20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20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ClassRangeRecord</w:t>
            </w:r>
          </w:p>
        </w:tc>
        <w:tc>
          <w:tcPr>
            <w:tcW w:w="20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rPr>
        <w:t xml:space="preserve">ClassRangeRecord </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
        <w:spacing w:before="0" w:after="280"/>
        <w:rPr>
          <w:rStyle w:val="Strong"/>
        </w:rPr>
      </w:pPr>
      <w:r>
        <w:rPr/>
      </w:r>
    </w:p>
    <w:p>
      <w:pPr>
        <w:pStyle w:val="Normal"/>
        <w:spacing w:before="0" w:after="280"/>
        <w:rPr/>
      </w:pPr>
      <w:r>
        <w:rPr>
          <w:rStyle w:val="Strong"/>
        </w:rPr>
        <w:t xml:space="preserve">Class Definition Table Format </w:t>
      </w:r>
      <w:r>
        <w:rPr>
          <w:rStyle w:val="Strong"/>
        </w:rPr>
        <w:t>3</w:t>
      </w:r>
    </w:p>
    <w:p>
      <w:pPr>
        <w:pStyle w:val="Normal"/>
        <w:rPr/>
      </w:pPr>
      <w:r>
        <w:rPr/>
        <w:t>Format 3 is the same as Format 1, but uses 24-bit glyph identifiers.</w:t>
      </w:r>
    </w:p>
    <w:p>
      <w:pPr>
        <w:pStyle w:val="Normal"/>
        <w:spacing w:before="0" w:after="280"/>
        <w:rPr/>
      </w:pPr>
      <w:r>
        <w:rPr>
          <w:rStyle w:val="Emphasis"/>
          <w:shd w:fill="00FFFF" w:val="clear"/>
        </w:rPr>
        <w:t>ClassDefFormat</w:t>
      </w:r>
      <w:r>
        <w:rPr>
          <w:rStyle w:val="Emphasis"/>
          <w:shd w:fill="00FFFF" w:val="clear"/>
        </w:rPr>
        <w:t>3</w:t>
      </w:r>
      <w:r>
        <w:rPr>
          <w:rStyle w:val="Emphasis"/>
        </w:rPr>
        <w:t xml:space="preserve">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 xml:space="preserve">Class Definition Table Format </w:t>
      </w:r>
      <w:r>
        <w:rPr>
          <w:rStyle w:val="Strong"/>
        </w:rPr>
        <w:t>4</w:t>
      </w:r>
    </w:p>
    <w:p>
      <w:pPr>
        <w:pStyle w:val="Normal"/>
        <w:rPr/>
      </w:pPr>
      <w:r>
        <w:rPr/>
        <w:t>Format 4 is the same as Format 2, but uses 24-bit glyph identifiers.</w:t>
      </w:r>
    </w:p>
    <w:p>
      <w:pPr>
        <w:pStyle w:val="Normal"/>
        <w:spacing w:before="0" w:after="280"/>
        <w:rPr/>
      </w:pPr>
      <w:r>
        <w:rPr>
          <w:rStyle w:val="Emphasis"/>
          <w:shd w:fill="00FFFF" w:val="clear"/>
        </w:rPr>
        <w:t>ClassDefFormat</w:t>
      </w:r>
      <w:r>
        <w:rPr>
          <w:rStyle w:val="Emphasis"/>
          <w:shd w:fill="00FFFF" w:val="clear"/>
        </w:rPr>
        <w:t>4</w:t>
      </w:r>
      <w:r>
        <w:rPr>
          <w:rStyle w:val="Emphasis"/>
        </w:rPr>
        <w:t xml:space="preserve"> table: Class ranges </w:t>
      </w:r>
    </w:p>
    <w:tbl>
      <w:tblPr>
        <w:tblW w:w="8706" w:type="dxa"/>
        <w:jc w:val="left"/>
        <w:tblInd w:w="0" w:type="dxa"/>
        <w:tblLayout w:type="fixed"/>
        <w:tblCellMar>
          <w:top w:w="0" w:type="dxa"/>
          <w:left w:w="108" w:type="dxa"/>
          <w:bottom w:w="0" w:type="dxa"/>
          <w:right w:w="108" w:type="dxa"/>
        </w:tblCellMar>
      </w:tblPr>
      <w:tblGrid>
        <w:gridCol w:w="2092"/>
        <w:gridCol w:w="2019"/>
        <w:gridCol w:w="4595"/>
      </w:tblGrid>
      <w:tr>
        <w:trPr/>
        <w:tc>
          <w:tcPr>
            <w:tcW w:w="20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1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9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209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9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ClassRangeRecord</w:t>
            </w:r>
            <w:r>
              <w:rPr>
                <w:shd w:fill="00FFFF" w:val="clear"/>
              </w:rPr>
              <w:t>2</w:t>
            </w:r>
          </w:p>
        </w:tc>
        <w:tc>
          <w:tcPr>
            <w:tcW w:w="201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shd w:fill="00FFFF" w:val="clear"/>
        </w:rPr>
        <w:t>ClassRangeRecord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Web"/>
        <w:rPr/>
      </w:pPr>
      <w:r>
        <w:rPr/>
      </w:r>
    </w:p>
    <w:p>
      <w:pPr>
        <w:pStyle w:val="NormalWeb"/>
        <w:rPr/>
      </w:pPr>
      <w:r>
        <w:rPr/>
      </w:r>
    </w:p>
    <w:p>
      <w:pPr>
        <w:pStyle w:val="NormalWeb"/>
        <w:rPr/>
      </w:pPr>
      <w:r>
        <w:rPr/>
      </w:r>
    </w:p>
    <w:p>
      <w:pPr>
        <w:pStyle w:val="Heading1"/>
        <w:rPr/>
      </w:pPr>
      <w:bookmarkStart w:id="115" w:name="__RefHeading___Toc22282_2925186988"/>
      <w:bookmarkStart w:id="116" w:name="_Toc133507376"/>
      <w:bookmarkStart w:id="117" w:name="_Toc534817080"/>
      <w:bookmarkStart w:id="118" w:name="_Toc113348424"/>
      <w:bookmarkStart w:id="119" w:name="_Toc521662544"/>
      <w:bookmarkStart w:id="120" w:name="_Toc224979150"/>
      <w:bookmarkStart w:id="121" w:name="_GDEF_–_The"/>
      <w:bookmarkStart w:id="122" w:name="_Toc518658298"/>
      <w:bookmarkStart w:id="123" w:name="_Toc113088020"/>
      <w:bookmarkEnd w:id="115"/>
      <w:bookmarkEnd w:id="121"/>
      <w:r>
        <w:rPr/>
        <w:t>GDEF—The glyph definition table</w:t>
      </w:r>
      <w:bookmarkEnd w:id="116"/>
      <w:bookmarkEnd w:id="117"/>
      <w:bookmarkEnd w:id="118"/>
      <w:bookmarkEnd w:id="119"/>
      <w:bookmarkEnd w:id="120"/>
      <w:bookmarkEnd w:id="122"/>
      <w:bookmarkEnd w:id="123"/>
      <w:r>
        <w:rPr/>
        <w:t xml:space="preserve"> [</w:t>
      </w:r>
      <w:r>
        <w:rPr/>
        <w:t>6.3.2]</w:t>
      </w:r>
    </w:p>
    <w:p>
      <w:pPr>
        <w:pStyle w:val="Normal"/>
        <w:rPr>
          <w:lang w:val="en-GB"/>
        </w:rPr>
      </w:pPr>
      <w:r>
        <w:rPr/>
      </w:r>
      <w:bookmarkStart w:id="124" w:name="__RefHeading___Toc22284_2925186988"/>
      <w:bookmarkStart w:id="125" w:name="__RefHeading___Toc22284_2925186988"/>
      <w:bookmarkEnd w:id="125"/>
    </w:p>
    <w:p>
      <w:pPr>
        <w:pStyle w:val="BodyText"/>
        <w:spacing w:before="1" w:after="283"/>
        <w:rPr/>
      </w:pPr>
      <w:r>
        <w:rPr/>
        <w:t>The main GDEF struct is augmented with a version 2 to alleviate offset-overflows when classDef and other structs grow large:</w:t>
      </w:r>
    </w:p>
    <w:p>
      <w:pPr>
        <w:pStyle w:val="BodyText"/>
        <w:spacing w:before="1" w:after="283"/>
        <w:rPr/>
      </w:pPr>
      <w:r>
        <w:rPr/>
        <w:t>Before “</w:t>
      </w:r>
      <w:r>
        <w:rPr>
          <w:rStyle w:val="Strong"/>
        </w:rPr>
        <w:t xml:space="preserve">Glyph Class Definition table” and after the table </w:t>
      </w:r>
      <w:r>
        <w:rPr>
          <w:rStyle w:val="Emphasis"/>
        </w:rPr>
        <w:t>GDEF Header, Version 1.3</w:t>
      </w:r>
      <w:r>
        <w:rPr>
          <w:rStyle w:val="Emphasis"/>
          <w:i w:val="false"/>
          <w:iCs w:val="false"/>
        </w:rPr>
        <w:t>, add:</w:t>
      </w:r>
    </w:p>
    <w:p>
      <w:pPr>
        <w:pStyle w:val="Normal"/>
        <w:spacing w:before="0" w:after="280"/>
        <w:rPr/>
      </w:pPr>
      <w:r>
        <w:rPr>
          <w:rStyle w:val="Emphasis"/>
          <w:shd w:fill="FFFF00" w:val="clear"/>
        </w:rPr>
        <w:t xml:space="preserve">GDEF Header, Version </w:t>
      </w:r>
      <w:r>
        <w:rPr>
          <w:rStyle w:val="Emphasis"/>
          <w:shd w:fill="FFFF00" w:val="clear"/>
        </w:rPr>
        <w:t>1.4</w:t>
      </w:r>
    </w:p>
    <w:tbl>
      <w:tblPr>
        <w:tblW w:w="4450" w:type="pct"/>
        <w:jc w:val="left"/>
        <w:tblInd w:w="0" w:type="dxa"/>
        <w:tblLayout w:type="fixed"/>
        <w:tblCellMar>
          <w:top w:w="0" w:type="dxa"/>
          <w:left w:w="108" w:type="dxa"/>
          <w:bottom w:w="0" w:type="dxa"/>
          <w:right w:w="108" w:type="dxa"/>
        </w:tblCellMar>
      </w:tblPr>
      <w:tblGrid>
        <w:gridCol w:w="1084"/>
        <w:gridCol w:w="2829"/>
        <w:gridCol w:w="476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Type</w:t>
            </w:r>
          </w:p>
        </w:tc>
        <w:tc>
          <w:tcPr>
            <w:tcW w:w="28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Name</w:t>
            </w:r>
          </w:p>
        </w:tc>
        <w:tc>
          <w:tcPr>
            <w:tcW w:w="476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majorVersion</w:t>
            </w:r>
          </w:p>
        </w:tc>
        <w:tc>
          <w:tcPr>
            <w:tcW w:w="476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Major version of the GDEF table, =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minorVersion</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Minor version of the GDEF table,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w:t>
            </w:r>
            <w:r>
              <w:rPr>
                <w:shd w:fill="FFFF00" w:val="clear"/>
              </w:rPr>
              <w:t>t</w:t>
            </w:r>
            <w:r>
              <w:rPr>
                <w:shd w:fill="FFFF00" w:val="clear"/>
              </w:rPr>
              <w: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itemVarStoreOffset</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Item Variation Store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bl>
    <w:p>
      <w:pPr>
        <w:pStyle w:val="NormalWeb"/>
        <w:spacing w:before="280" w:after="280"/>
        <w:rPr/>
      </w:pPr>
      <w:r>
        <w:rPr/>
      </w:r>
    </w:p>
    <w:p>
      <w:pPr>
        <w:pStyle w:val="Normal"/>
        <w:ind w:hanging="0" w:left="0" w:right="0"/>
        <w:rPr>
          <w:shd w:fill="FFFF00" w:val="clear"/>
        </w:rPr>
      </w:pPr>
      <w:bookmarkStart w:id="126" w:name="docs-internal-guid-a07d39a1-7fff-17e6-38"/>
      <w:bookmarkEnd w:id="126"/>
      <w:r>
        <w:rPr>
          <w:shd w:fill="FFFF00" w:val="clear"/>
        </w:rPr>
        <w:t xml:space="preserve">When minorVersion is </w:t>
      </w:r>
      <w:r>
        <w:rPr>
          <w:shd w:fill="FFFF00" w:val="clear"/>
        </w:rPr>
        <w:t>4</w:t>
      </w:r>
      <w:r>
        <w:rPr>
          <w:shd w:fill="FFFF00" w:val="clear"/>
        </w:rPr>
        <w:t>, the offsets whose names end in 2, such as attachListOffset2, are available for use when values greater than 65535 are needed. If such an offset is non-zero, the corresponding 16-bit offset shall be ignored.</w:t>
      </w:r>
    </w:p>
    <w:p>
      <w:pPr>
        <w:pStyle w:val="NOTE2"/>
        <w:rPr>
          <w:shd w:fill="FFFF00" w:val="clear"/>
        </w:rPr>
      </w:pPr>
      <w:r>
        <w:rPr/>
      </w:r>
    </w:p>
    <w:p>
      <w:pPr>
        <w:pStyle w:val="Heading1"/>
        <w:rPr/>
      </w:pPr>
      <w:bookmarkStart w:id="127" w:name="__RefHeading___Toc125489_1712311476"/>
      <w:bookmarkStart w:id="128" w:name="_Toc113348425"/>
      <w:bookmarkStart w:id="129" w:name="_Toc518658299"/>
      <w:bookmarkStart w:id="130" w:name="_Toc224979151"/>
      <w:bookmarkStart w:id="131" w:name="_Toc133507377"/>
      <w:bookmarkStart w:id="132" w:name="_Toc113088021"/>
      <w:bookmarkStart w:id="133" w:name="_Toc521662545"/>
      <w:bookmarkStart w:id="134" w:name="_GPOS_–_The"/>
      <w:bookmarkStart w:id="135" w:name="_Toc534817081"/>
      <w:bookmarkEnd w:id="127"/>
      <w:bookmarkEnd w:id="134"/>
      <w:r>
        <w:rPr/>
        <w:t>GPOS—The glyph positioning table</w:t>
      </w:r>
      <w:bookmarkEnd w:id="128"/>
      <w:bookmarkEnd w:id="129"/>
      <w:bookmarkEnd w:id="130"/>
      <w:bookmarkEnd w:id="131"/>
      <w:bookmarkEnd w:id="132"/>
      <w:bookmarkEnd w:id="133"/>
      <w:bookmarkEnd w:id="135"/>
      <w:r>
        <w:rPr/>
        <w:t xml:space="preserve"> </w:t>
      </w:r>
      <w:r>
        <w:rPr/>
        <w:t>[6.3.3]</w:t>
      </w:r>
    </w:p>
    <w:p>
      <w:pPr>
        <w:pStyle w:val="Normal"/>
        <w:rPr>
          <w:lang w:val="en-GB"/>
        </w:rPr>
      </w:pPr>
      <w:r>
        <w:rPr/>
      </w:r>
    </w:p>
    <w:p>
      <w:pPr>
        <w:pStyle w:val="Normal"/>
        <w:rPr>
          <w:lang w:val="en-GB"/>
        </w:rPr>
      </w:pPr>
      <w:r>
        <w:rPr>
          <w:lang w:val="en-GB"/>
        </w:rPr>
        <w:t>W</w:t>
      </w:r>
      <w:r>
        <w:rPr>
          <w:lang w:val="en-GB"/>
        </w:rPr>
        <w:t xml:space="preserve">e define version two, to allow for additional </w:t>
      </w:r>
      <w:r>
        <w:rPr>
          <w:lang w:val="en-GB"/>
        </w:rPr>
        <w:t>glyphs and to avoid overflow.</w:t>
      </w:r>
    </w:p>
    <w:p>
      <w:pPr>
        <w:pStyle w:val="NormalWeb"/>
        <w:rPr>
          <w:b/>
          <w:bCs/>
        </w:rPr>
      </w:pPr>
      <w:r>
        <w:rPr>
          <w:b/>
          <w:bCs/>
        </w:rPr>
        <w:t>Changes:</w:t>
      </w:r>
    </w:p>
    <w:p>
      <w:pPr>
        <w:pStyle w:val="NormalWeb"/>
        <w:rPr>
          <w:b w:val="false"/>
          <w:bCs w:val="false"/>
          <w:i w:val="false"/>
          <w:i w:val="false"/>
          <w:iCs w:val="false"/>
        </w:rPr>
      </w:pPr>
      <w:r>
        <w:rPr>
          <w:b w:val="false"/>
          <w:bCs w:val="false"/>
          <w:i w:val="false"/>
          <w:iCs w:val="false"/>
        </w:rPr>
        <w:t xml:space="preserve">After GPOS Header, Version 1.1, </w:t>
      </w:r>
      <w:r>
        <w:rPr>
          <w:b w:val="false"/>
          <w:bCs w:val="false"/>
          <w:i w:val="false"/>
          <w:iCs w:val="false"/>
        </w:rPr>
        <w:t xml:space="preserve">just before 6.3.3.3 GPOS lookup type descriptions </w:t>
      </w:r>
      <w:r>
        <w:rPr>
          <w:b w:val="false"/>
          <w:bCs w:val="false"/>
          <w:i w:val="false"/>
          <w:iCs w:val="false"/>
        </w:rPr>
        <w:t>add:</w:t>
      </w:r>
    </w:p>
    <w:p>
      <w:pPr>
        <w:pStyle w:val="NormalWeb"/>
        <w:spacing w:before="280" w:after="280"/>
        <w:rPr/>
      </w:pPr>
      <w:r>
        <w:rPr>
          <w:rStyle w:val="Emphasis"/>
          <w:shd w:fill="FFFF00" w:val="clear"/>
        </w:rPr>
        <w:t xml:space="preserve">GPOS Header, Version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2488"/>
        <w:gridCol w:w="51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of the GPOS table,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GPOS table,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GPOS table</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pPr>
            <w:r>
              <w:rPr/>
              <w:t>featureVariationsOffset</w:t>
            </w:r>
          </w:p>
        </w:tc>
        <w:tc>
          <w:tcPr>
            <w:tcW w:w="5134" w:type="dxa"/>
            <w:tcBorders>
              <w:left w:val="single" w:sz="6" w:space="0" w:color="000000"/>
              <w:bottom w:val="single" w:sz="6" w:space="0" w:color="000000"/>
              <w:right w:val="single" w:sz="12" w:space="0" w:color="000000"/>
            </w:tcBorders>
          </w:tcPr>
          <w:p>
            <w:pPr>
              <w:pStyle w:val="TableParagraph"/>
              <w:spacing w:before="0" w:after="227"/>
              <w:rPr/>
            </w:pPr>
            <w:r>
              <w:rPr/>
              <w:t>Offset to FeatureVariations table, from beginning of GPOS table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s</w:t>
            </w:r>
            <w:r>
              <w:rPr>
                <w:shd w:fill="FFFF00" w:val="clear"/>
              </w:rPr>
              <w:t>criptListOffset2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ScriptList table, for use when values greater than 65535 are needed.</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featureListOffset</w:t>
            </w:r>
            <w:r>
              <w:rPr>
                <w:shd w:fill="FFFF00" w:val="clear"/>
              </w:rPr>
              <w: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lookupListOffset</w:t>
            </w:r>
            <w:r>
              <w:rPr>
                <w:shd w:fill="FFFF00" w:val="clear"/>
              </w:rPr>
              <w:t>2</w:t>
            </w:r>
          </w:p>
        </w:tc>
        <w:tc>
          <w:tcPr>
            <w:tcW w:w="51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bl>
    <w:p>
      <w:pPr>
        <w:pStyle w:val="Normal"/>
        <w:rPr>
          <w:rStyle w:val="Emphasis"/>
          <w:i w:val="false"/>
          <w:i w:val="false"/>
          <w:iCs w:val="false"/>
          <w:shd w:fill="FFFF00" w:val="clear"/>
        </w:rPr>
      </w:pPr>
      <w:r>
        <w:rPr/>
      </w:r>
    </w:p>
    <w:p>
      <w:pPr>
        <w:pStyle w:val="Normal"/>
        <w:rPr/>
      </w:pPr>
      <w:r>
        <w:rPr>
          <w:rStyle w:val="Emphasis"/>
          <w:i w:val="false"/>
          <w:iCs w:val="false"/>
          <w:shd w:fill="FFFF00" w:val="clear"/>
        </w:rPr>
        <w:t>In versi</w:t>
      </w:r>
      <w:r>
        <w:rPr>
          <w:rStyle w:val="Emphasis"/>
          <w:i w:val="false"/>
          <w:iCs w:val="false"/>
          <w:shd w:fill="FFFF00" w:val="clear"/>
        </w:rPr>
        <w:t>on 1.2</w:t>
      </w:r>
      <w:r>
        <w:rPr>
          <w:rStyle w:val="Emphasis"/>
          <w:i w:val="false"/>
          <w:iCs w:val="false"/>
          <w:shd w:fill="FFFF00" w:val="clear"/>
        </w:rPr>
        <w:t xml:space="preserve">, the offsets whose names end in 2, such as </w:t>
      </w:r>
      <w:r>
        <w:rPr>
          <w:rStyle w:val="Emphasis"/>
          <w:i w:val="false"/>
          <w:iCs w:val="false"/>
          <w:shd w:fill="FFFF00" w:val="clear"/>
        </w:rPr>
        <w:t>feature</w:t>
      </w:r>
      <w:r>
        <w:rPr>
          <w:rStyle w:val="Emphasis"/>
          <w:i w:val="false"/>
          <w:iCs w:val="false"/>
          <w:shd w:fill="FFFF00" w:val="clear"/>
        </w:rPr>
        <w:t>ListOffset2, are available for use when values greater than 65535 are needed. If such an offset is non-zero, the corresponding 16-bit offset shall be ignored.</w:t>
      </w:r>
    </w:p>
    <w:p>
      <w:pPr>
        <w:pStyle w:val="NOTE2"/>
        <w:rPr/>
      </w:pPr>
      <w:r>
        <w:rPr>
          <w:i w:val="false"/>
          <w:iCs w:val="false"/>
        </w:rPr>
        <w:t>[</w:t>
      </w:r>
      <w:r>
        <w:rPr>
          <w:i w:val="false"/>
          <w:iCs w:val="false"/>
        </w:rPr>
        <w:t xml:space="preserve">Typo note: “coverageOffet” appears in </w:t>
      </w:r>
      <w:r>
        <w:rPr>
          <w:rStyle w:val="Emphasis"/>
          <w:iCs w:val="false"/>
        </w:rPr>
        <w:t>SinglePosFormat1 subtable,</w:t>
      </w:r>
      <w:r>
        <w:rPr>
          <w:rStyle w:val="Emphasis"/>
          <w:i w:val="false"/>
          <w:iCs w:val="false"/>
        </w:rPr>
        <w:t xml:space="preserve"> </w:t>
      </w:r>
      <w:r>
        <w:rPr>
          <w:rStyle w:val="Emphasis"/>
          <w:i w:val="false"/>
          <w:iCs w:val="false"/>
        </w:rPr>
        <w:t>missing an ‘s’.</w:t>
      </w:r>
      <w:r>
        <w:rPr>
          <w:rStyle w:val="Emphasis"/>
          <w:i w:val="false"/>
          <w:iCs w:val="false"/>
        </w:rPr>
        <w:t>]</w:t>
      </w:r>
    </w:p>
    <w:p>
      <w:pPr>
        <w:pStyle w:val="NOTE2"/>
        <w:rPr/>
      </w:pPr>
      <w:r>
        <w:rPr>
          <w:i w:val="false"/>
          <w:iCs w:val="false"/>
        </w:rPr>
        <w:t>At the end of 6.3.3.1</w:t>
      </w:r>
      <w:r>
        <w:rPr>
          <w:b w:val="false"/>
          <w:bCs w:val="false"/>
        </w:rPr>
        <w:t xml:space="preserve"> </w:t>
      </w:r>
      <w:r>
        <w:rPr>
          <w:rStyle w:val="Strong"/>
          <w:b w:val="false"/>
          <w:bCs w:val="false"/>
        </w:rPr>
        <w:t>Lookup Type 2: Pair adjustment positioning subtable, just before</w:t>
      </w:r>
      <w:r>
        <w:rPr>
          <w:b w:val="false"/>
          <w:bCs w:val="false"/>
        </w:rPr>
        <w:t xml:space="preserve"> </w:t>
      </w:r>
      <w:r>
        <w:rPr>
          <w:i w:val="false"/>
          <w:iCs w:val="false"/>
        </w:rPr>
        <w:t>6.3.3.3.2</w:t>
      </w:r>
      <w:r>
        <w:rPr>
          <w:b w:val="false"/>
          <w:bCs w:val="false"/>
        </w:rPr>
        <w:t xml:space="preserve"> </w:t>
      </w:r>
      <w:r>
        <w:rPr>
          <w:rStyle w:val="Strong"/>
          <w:b w:val="false"/>
          <w:bCs w:val="false"/>
        </w:rPr>
        <w:t xml:space="preserve">Lookup Type 2: Pair adjustment positioning subtable, </w:t>
      </w:r>
      <w:r>
        <w:rPr>
          <w:rStyle w:val="Strong"/>
          <w:b w:val="false"/>
          <w:bCs w:val="false"/>
        </w:rPr>
        <w:t>add:</w:t>
      </w:r>
    </w:p>
    <w:p>
      <w:pPr>
        <w:pStyle w:val="NOTE2"/>
        <w:rPr>
          <w:rStyle w:val="Strong"/>
          <w:b w:val="false"/>
          <w:bCs w:val="false"/>
        </w:rPr>
      </w:pPr>
      <w:r>
        <w:rPr/>
      </w:r>
    </w:p>
    <w:p>
      <w:pPr>
        <w:pStyle w:val="NormalWeb"/>
        <w:spacing w:before="280" w:after="280"/>
        <w:rPr/>
      </w:pPr>
      <w:r>
        <w:rPr>
          <w:rStyle w:val="Strong"/>
          <w:bCs w:val="false"/>
        </w:rPr>
        <w:t xml:space="preserve">Single Adjustment Positioning: Format </w:t>
      </w:r>
      <w:r>
        <w:rPr>
          <w:rStyle w:val="Strong"/>
          <w:bCs w:val="false"/>
        </w:rPr>
        <w:t>3</w:t>
      </w:r>
      <w:r>
        <w:rPr>
          <w:rStyle w:val="Strong"/>
          <w:bCs w:val="false"/>
        </w:rPr>
        <w:t>: Single Positioning Value</w:t>
      </w:r>
    </w:p>
    <w:p>
      <w:pPr>
        <w:pStyle w:val="NormalWeb"/>
        <w:rPr/>
      </w:pPr>
      <w:r>
        <w:rPr>
          <w:rStyle w:val="Strong"/>
          <w:b w:val="false"/>
          <w:bCs w:val="false"/>
        </w:rPr>
        <w:t>Format 3 is the same as Format 1, but uses 24 bits.</w:t>
      </w:r>
    </w:p>
    <w:p>
      <w:pPr>
        <w:pStyle w:val="NormalWeb"/>
        <w:spacing w:before="280" w:after="280"/>
        <w:rPr/>
      </w:pPr>
      <w:r>
        <w:rPr>
          <w:rStyle w:val="Emphasis"/>
        </w:rPr>
        <w:t>SinglePosFormat</w:t>
      </w:r>
      <w:r>
        <w:rPr>
          <w:rStyle w:val="Emphasis"/>
        </w:rPr>
        <w:t>3</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1487"/>
        <w:gridCol w:w="1688"/>
        <w:gridCol w:w="5525"/>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2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3</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w:t>
            </w:r>
            <w:r>
              <w:rPr/>
              <w:t>s</w:t>
            </w:r>
            <w:r>
              <w:rPr/>
              <w:t>et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w:t>
            </w:r>
          </w:p>
        </w:tc>
        <w:tc>
          <w:tcPr>
            <w:tcW w:w="552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Defines positioning value(s) – applied to all glyphs in the Coverage table.</w:t>
            </w:r>
          </w:p>
        </w:tc>
      </w:tr>
    </w:tbl>
    <w:p>
      <w:pPr>
        <w:pStyle w:val="NormalWeb"/>
        <w:spacing w:before="280" w:after="280"/>
        <w:rPr/>
      </w:pPr>
      <w:r>
        <w:rPr>
          <w:rStyle w:val="Strong"/>
          <w:bCs w:val="false"/>
        </w:rPr>
        <w:t>Single Adjustment Positioning Format 4: Array of positioning values</w:t>
      </w:r>
    </w:p>
    <w:p>
      <w:pPr>
        <w:pStyle w:val="NormalWeb"/>
        <w:rPr/>
      </w:pPr>
      <w:r>
        <w:rPr>
          <w:rStyle w:val="Strong"/>
          <w:b w:val="false"/>
          <w:bCs w:val="false"/>
        </w:rPr>
        <w:t>Format 4 is the same as Format 3, but uses 24 bits.</w:t>
      </w:r>
    </w:p>
    <w:p>
      <w:pPr>
        <w:pStyle w:val="NormalWeb"/>
        <w:spacing w:before="280" w:after="280"/>
        <w:rPr/>
      </w:pPr>
      <w:r>
        <w:rPr>
          <w:rStyle w:val="Emphasis"/>
        </w:rPr>
        <w:t>SinglePosFormat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487"/>
        <w:gridCol w:w="1688"/>
        <w:gridCol w:w="5531"/>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3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3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ValueRecords.</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valueCount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ValueRecords – must equal glyphCount in the Coverage table.</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valueRecords</w:t>
              <w:br/>
              <w:t>[valueCount]</w:t>
            </w:r>
          </w:p>
        </w:tc>
        <w:tc>
          <w:tcPr>
            <w:tcW w:w="553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ValueRecords – positioning values applied to glyphs.</w:t>
            </w:r>
          </w:p>
        </w:tc>
      </w:tr>
    </w:tbl>
    <w:p>
      <w:pPr>
        <w:pStyle w:val="Heading5"/>
        <w:spacing w:before="280" w:after="240"/>
        <w:ind w:hanging="1080" w:left="1080"/>
        <w:rPr>
          <w:rStyle w:val="Strong"/>
          <w:b/>
          <w:bCs w:val="false"/>
        </w:rPr>
      </w:pPr>
      <w:r>
        <w:rPr/>
      </w:r>
    </w:p>
    <w:p>
      <w:pPr>
        <w:pStyle w:val="NormalWeb"/>
        <w:spacing w:before="280" w:after="280"/>
        <w:rPr>
          <w:rStyle w:val="Strong"/>
          <w:b w:val="false"/>
          <w:bCs w:val="false"/>
        </w:rPr>
      </w:pPr>
      <w:r>
        <w:rPr/>
      </w:r>
    </w:p>
    <w:p>
      <w:pPr>
        <w:pStyle w:val="NormalWeb"/>
        <w:spacing w:before="280" w:after="280"/>
        <w:rPr/>
      </w:pPr>
      <w:r>
        <w:rPr>
          <w:rStyle w:val="Strong"/>
          <w:b w:val="false"/>
          <w:bCs w:val="false"/>
        </w:rPr>
        <w:t>At the end of</w:t>
      </w:r>
      <w:r>
        <w:rPr>
          <w:rStyle w:val="Strong"/>
          <w:b w:val="false"/>
          <w:bCs w:val="false"/>
        </w:rPr>
        <w:t xml:space="preserve"> section 6.3.3.3.2 Lookup Type 2: Pair adjustment positioning subtable, </w:t>
      </w:r>
      <w:r>
        <w:rPr>
          <w:rStyle w:val="Strong"/>
          <w:b w:val="false"/>
          <w:bCs w:val="false"/>
        </w:rPr>
        <w:t>just before the start of 6.3.3.3</w:t>
      </w:r>
      <w:r>
        <w:rPr>
          <w:rStyle w:val="Strong"/>
          <w:b w:val="false"/>
          <w:bCs w:val="false"/>
        </w:rPr>
        <w:t xml:space="preserve"> Lookup Type 3: Cursive attachment positioning subtable, add:</w:t>
      </w:r>
    </w:p>
    <w:p>
      <w:pPr>
        <w:pStyle w:val="NormalWeb"/>
        <w:spacing w:before="0" w:after="280"/>
        <w:rPr/>
      </w:pPr>
      <w:r>
        <w:rPr>
          <w:rStyle w:val="Strong"/>
          <w:bCs w:val="false"/>
        </w:rPr>
        <w:t xml:space="preserve">Pair Adjustment Positioning Format </w:t>
      </w:r>
      <w:r>
        <w:rPr>
          <w:rStyle w:val="Strong"/>
          <w:bCs w:val="false"/>
        </w:rPr>
        <w:t>3</w:t>
      </w:r>
      <w:r>
        <w:rPr>
          <w:rStyle w:val="Strong"/>
          <w:bCs w:val="false"/>
        </w:rPr>
        <w:t>: Adjustments for glyph pairs</w:t>
      </w:r>
    </w:p>
    <w:p>
      <w:pPr>
        <w:pStyle w:val="NormalWeb"/>
        <w:spacing w:before="0" w:after="280"/>
        <w:rPr/>
      </w:pPr>
      <w:r>
        <w:rPr/>
        <w:t xml:space="preserve">Format 3 is the same as Format 1, </w:t>
      </w:r>
      <w:r>
        <w:rPr>
          <w:shd w:fill="00FFFF" w:val="clear"/>
        </w:rPr>
        <w:t xml:space="preserve">but </w:t>
      </w:r>
      <w:r>
        <w:rPr>
          <w:shd w:fill="00FFFF" w:val="clear"/>
        </w:rPr>
        <w:t>allows for larger values</w:t>
      </w:r>
      <w:r>
        <w:rPr/>
        <w:t>:</w:t>
      </w:r>
    </w:p>
    <w:p>
      <w:pPr>
        <w:pStyle w:val="NormalWeb"/>
        <w:spacing w:before="280" w:after="280"/>
        <w:rPr/>
      </w:pPr>
      <w:r>
        <w:rPr>
          <w:rStyle w:val="Emphasis"/>
        </w:rPr>
        <w:t>PairPosFormat</w:t>
      </w:r>
      <w:r>
        <w:rPr>
          <w:rStyle w:val="Emphasis"/>
        </w:rPr>
        <w:t>3</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subtable-only the first glyph in each pair.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ValueRecord1 – for the first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ValueRecord2 – for the second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pairSetCount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PairSet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pairSetOffsets</w:t>
              <w:br/>
              <w:t>[pairSetCount]</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PairSet</w:t>
            </w:r>
            <w:r>
              <w:rPr>
                <w:shd w:fill="FFFF00" w:val="clear"/>
              </w:rPr>
              <w:t>2</w:t>
            </w:r>
            <w:r>
              <w:rPr/>
              <w:t xml:space="preserve"> tables. Offsets are from </w:t>
            </w:r>
            <w:r>
              <w:rPr/>
              <w:t>the</w:t>
            </w:r>
            <w:r>
              <w:rPr/>
              <w:t xml:space="preserve"> beginning of PairPos subtable, ordered by Coverage Index.</w:t>
            </w:r>
          </w:p>
        </w:tc>
      </w:tr>
    </w:tbl>
    <w:p>
      <w:pPr>
        <w:pStyle w:val="Normal"/>
        <w:spacing w:before="280" w:after="240"/>
        <w:rPr>
          <w:lang w:val="en-GB"/>
        </w:rPr>
      </w:pPr>
      <w:r>
        <w:rPr>
          <w:lang w:val="en-GB"/>
        </w:rPr>
        <w:t xml:space="preserve">A </w:t>
      </w:r>
      <w:r>
        <w:rPr>
          <w:shd w:fill="FFFF00" w:val="clear"/>
          <w:lang w:val="en-GB"/>
        </w:rPr>
        <w:t>PairSet</w:t>
      </w:r>
      <w:r>
        <w:rPr>
          <w:shd w:fill="FFFF00" w:val="clear"/>
          <w:lang w:val="en-GB"/>
        </w:rPr>
        <w:t>2</w:t>
      </w:r>
      <w:r>
        <w:rPr>
          <w:lang w:val="en-GB"/>
        </w:rPr>
        <w:t xml:space="preserve"> table enumerates all the glyph pairs that begin with a covered glyph. An array of PairValueRecords (PairValueRecord) contains one record for each pair and lists the records sorted by the glyph ID of the second glyph in each pair. The pairValueCount field specifies the number of PairValueRecords in the set.</w:t>
      </w:r>
    </w:p>
    <w:p>
      <w:pPr>
        <w:pStyle w:val="Normal"/>
        <w:spacing w:before="280" w:after="240"/>
        <w:rPr>
          <w:shd w:fill="FFFF00" w:val="clear"/>
          <w:lang w:val="en-GB"/>
        </w:rPr>
      </w:pPr>
      <w:r>
        <w:rPr>
          <w:shd w:fill="FFFF00" w:val="clear"/>
          <w:lang w:val="en-GB"/>
        </w:rPr>
        <w:t>In Format 3, the PairSet</w:t>
      </w:r>
      <w:r>
        <w:rPr>
          <w:shd w:fill="FFFF00" w:val="clear"/>
          <w:lang w:val="en-GB"/>
        </w:rPr>
        <w:t>2</w:t>
      </w:r>
      <w:r>
        <w:rPr>
          <w:shd w:fill="FFFF00" w:val="clear"/>
          <w:lang w:val="en-GB"/>
        </w:rPr>
        <w:t xml:space="preserve"> table uses 24 bits for the number of pairs, to avoid overflow.</w:t>
      </w:r>
    </w:p>
    <w:p>
      <w:pPr>
        <w:pStyle w:val="NormalWeb"/>
        <w:spacing w:before="280" w:after="280"/>
        <w:rPr/>
      </w:pPr>
      <w:r>
        <w:rPr>
          <w:rStyle w:val="Emphasis"/>
        </w:rPr>
        <w:t>PairSet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1"/>
        <w:gridCol w:w="1964"/>
        <w:gridCol w:w="4871"/>
      </w:tblGrid>
      <w:tr>
        <w:trPr/>
        <w:tc>
          <w:tcPr>
            <w:tcW w:w="1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9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pairValueCount</w:t>
            </w:r>
          </w:p>
        </w:tc>
        <w:tc>
          <w:tcPr>
            <w:tcW w:w="487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PairValueRecords</w:t>
            </w:r>
          </w:p>
        </w:tc>
      </w:tr>
      <w:tr>
        <w:trPr/>
        <w:tc>
          <w:tcPr>
            <w:tcW w:w="187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PairValueRecord</w:t>
            </w:r>
          </w:p>
        </w:tc>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pairValueRecords</w:t>
              <w:br/>
              <w:t>[pairValueCount]</w:t>
            </w:r>
          </w:p>
        </w:tc>
        <w:tc>
          <w:tcPr>
            <w:tcW w:w="487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PairValueRecords, ordered by glyph ID of the second glyph.</w:t>
            </w:r>
          </w:p>
        </w:tc>
      </w:tr>
    </w:tbl>
    <w:p>
      <w:pPr>
        <w:pStyle w:val="Normal"/>
        <w:spacing w:before="280" w:after="240"/>
        <w:rPr>
          <w:lang w:val="en-GB"/>
        </w:rPr>
      </w:pPr>
      <w:r>
        <w:rPr/>
      </w:r>
    </w:p>
    <w:p>
      <w:pPr>
        <w:pStyle w:val="NormalWeb"/>
        <w:spacing w:before="0" w:after="280"/>
        <w:rPr/>
      </w:pPr>
      <w:r>
        <w:rPr>
          <w:rStyle w:val="Strong"/>
          <w:bCs w:val="false"/>
          <w:lang w:val="en-GB"/>
        </w:rPr>
        <w:t xml:space="preserve">Pair Adjustment Positioning Format </w:t>
      </w:r>
      <w:r>
        <w:rPr>
          <w:rStyle w:val="Strong"/>
          <w:bCs w:val="false"/>
          <w:lang w:val="en-GB"/>
        </w:rPr>
        <w:t>4</w:t>
      </w:r>
      <w:r>
        <w:rPr>
          <w:rStyle w:val="Strong"/>
          <w:bCs w:val="false"/>
          <w:lang w:val="en-GB"/>
        </w:rPr>
        <w:t xml:space="preserve">: </w:t>
      </w:r>
      <w:r>
        <w:rPr>
          <w:rStyle w:val="Strong"/>
          <w:bCs w:val="false"/>
          <w:lang w:val="en-GB"/>
        </w:rPr>
        <w:t>Class pair adjustment</w:t>
      </w:r>
    </w:p>
    <w:p>
      <w:pPr>
        <w:pStyle w:val="NormalWeb"/>
        <w:spacing w:before="0" w:after="280"/>
        <w:rPr/>
      </w:pPr>
      <w:r>
        <w:rPr>
          <w:rStyle w:val="Strong"/>
          <w:b w:val="false"/>
          <w:bCs w:val="false"/>
          <w:lang w:val="en-GB"/>
        </w:rPr>
        <w:t>Format 4 is the same as Format 2 except for using 24 bits instead of 16 where needed.</w:t>
      </w:r>
    </w:p>
    <w:p>
      <w:pPr>
        <w:pStyle w:val="NormalWeb"/>
        <w:spacing w:before="280" w:after="280"/>
        <w:rPr/>
      </w:pPr>
      <w:r>
        <w:rPr>
          <w:rStyle w:val="Emphasis"/>
        </w:rPr>
        <w:t>PairPosFormat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560"/>
        <w:gridCol w:w="1736"/>
        <w:gridCol w:w="5410"/>
      </w:tblGrid>
      <w:tr>
        <w:trPr/>
        <w:tc>
          <w:tcPr>
            <w:tcW w:w="15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6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4</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first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second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classDef1Offset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first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classDef2Offset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second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class1Count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ClassDef1 table – includes Class0</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class2Count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ClassDef2 table – includes Class0</w:t>
            </w:r>
          </w:p>
        </w:tc>
      </w:tr>
      <w:tr>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Class1Record</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class1Record</w:t>
              <w:br/>
              <w:t>[class1Count]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Class1 records, ordered by classes in classDef1</w:t>
            </w:r>
          </w:p>
        </w:tc>
      </w:tr>
    </w:tbl>
    <w:p>
      <w:pPr>
        <w:pStyle w:val="Normal"/>
        <w:spacing w:before="280" w:after="240"/>
        <w:rPr>
          <w:lang w:val="en-GB"/>
        </w:rPr>
      </w:pPr>
      <w:r>
        <w:rPr/>
      </w:r>
    </w:p>
    <w:p>
      <w:pPr>
        <w:pStyle w:val="Normal"/>
        <w:spacing w:before="280" w:after="240"/>
        <w:rPr>
          <w:lang w:val="en-GB"/>
        </w:rPr>
      </w:pPr>
      <w:r>
        <w:rPr/>
        <w:t xml:space="preserve">At the end of 6.3.3.3.3 </w:t>
      </w:r>
      <w:r>
        <w:rPr>
          <w:b w:val="false"/>
          <w:bCs w:val="false"/>
          <w:i w:val="false"/>
          <w:iCs w:val="false"/>
        </w:rPr>
        <w:t>Lookup Type 3: Cursive attachment positioning subtable, add:</w:t>
      </w:r>
    </w:p>
    <w:p>
      <w:pPr>
        <w:pStyle w:val="NormalWeb"/>
        <w:spacing w:before="280" w:after="280"/>
        <w:rPr/>
      </w:pPr>
      <w:r>
        <w:rPr>
          <w:rStyle w:val="Strong"/>
        </w:rPr>
        <w:t>Cursive attachment positioning Format</w:t>
      </w:r>
      <w:r>
        <w:rPr>
          <w:rStyle w:val="Strong"/>
        </w:rPr>
        <w:t>2</w:t>
      </w:r>
      <w:r>
        <w:rPr>
          <w:rStyle w:val="Strong"/>
        </w:rPr>
        <w:t>: Cursive attachment</w:t>
      </w:r>
    </w:p>
    <w:p>
      <w:pPr>
        <w:pStyle w:val="NormalWeb"/>
        <w:spacing w:before="280" w:after="280"/>
        <w:rPr/>
      </w:pPr>
      <w:r>
        <w:rPr>
          <w:rStyle w:val="Strong"/>
          <w:b w:val="false"/>
          <w:bCs w:val="false"/>
        </w:rPr>
        <w:t>Format 2 is the same as Format 2, except for using 24-bit numbers where needed.</w:t>
      </w:r>
    </w:p>
    <w:p>
      <w:pPr>
        <w:pStyle w:val="NormalWeb"/>
        <w:keepNext w:val="true"/>
        <w:spacing w:before="280" w:after="280"/>
        <w:rPr/>
      </w:pPr>
      <w:r>
        <w:rPr>
          <w:rStyle w:val="Emphasis"/>
        </w:rPr>
        <w:t>CursivePosFormat</w:t>
      </w:r>
      <w:r>
        <w:rPr>
          <w:rStyle w:val="Emphasis"/>
        </w:rPr>
        <w:t>2</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2038"/>
        <w:gridCol w:w="3350"/>
        <w:gridCol w:w="3312"/>
      </w:tblGrid>
      <w:tr>
        <w:trPr/>
        <w:tc>
          <w:tcPr>
            <w:tcW w:w="203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3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3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5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33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CursivePos subtable.</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entryExitCount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EntryExit</w:t>
            </w:r>
            <w:r>
              <w:rPr/>
              <w:t>2</w:t>
            </w:r>
            <w:r>
              <w:rPr/>
              <w:t xml:space="preserve"> records.</w:t>
            </w:r>
          </w:p>
        </w:tc>
      </w:tr>
      <w:tr>
        <w:trPr/>
        <w:tc>
          <w:tcPr>
            <w:tcW w:w="203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EntryExitRecord</w:t>
            </w:r>
            <w:r>
              <w:rPr>
                <w:shd w:fill="FFFF00" w:val="clear"/>
              </w:rPr>
              <w:t>24</w:t>
            </w:r>
          </w:p>
        </w:tc>
        <w:tc>
          <w:tcPr>
            <w:tcW w:w="335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entryExitRecord[entryExitCount]</w:t>
            </w:r>
          </w:p>
        </w:tc>
        <w:tc>
          <w:tcPr>
            <w:tcW w:w="33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EntryExit</w:t>
            </w:r>
            <w:r>
              <w:rPr/>
              <w:t>2</w:t>
            </w:r>
            <w:r>
              <w:rPr/>
              <w:t xml:space="preserve"> records, in Coverage Index order.</w:t>
            </w:r>
          </w:p>
        </w:tc>
      </w:tr>
    </w:tbl>
    <w:p>
      <w:pPr>
        <w:pStyle w:val="NormalWeb"/>
        <w:spacing w:before="280" w:after="280"/>
        <w:rPr/>
      </w:pPr>
      <w:r>
        <w:rPr>
          <w:rStyle w:val="Emphasis"/>
          <w:i w:val="false"/>
          <w:iCs w:val="false"/>
        </w:rPr>
        <w:t xml:space="preserve">The EntryExit </w:t>
      </w:r>
      <w:r>
        <w:rPr>
          <w:rStyle w:val="Emphasis"/>
          <w:i w:val="false"/>
          <w:iCs w:val="false"/>
        </w:rPr>
        <w:t xml:space="preserve">2 </w:t>
      </w:r>
      <w:r>
        <w:rPr>
          <w:rStyle w:val="Emphasis"/>
          <w:i w:val="false"/>
          <w:iCs w:val="false"/>
        </w:rPr>
        <w:t>Records are also in a slightly different format, again using 24-bit numbers to avoid overflow in large fonts:</w:t>
      </w:r>
    </w:p>
    <w:p>
      <w:pPr>
        <w:pStyle w:val="NormalWeb"/>
        <w:spacing w:before="280" w:after="280"/>
        <w:rPr/>
      </w:pPr>
      <w:r>
        <w:rPr>
          <w:rStyle w:val="Emphasis"/>
        </w:rPr>
        <w:t>EntryExitRecord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35"/>
        <w:gridCol w:w="558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entryAnchorOffset</w:t>
            </w:r>
          </w:p>
        </w:tc>
        <w:tc>
          <w:tcPr>
            <w:tcW w:w="558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Offset to EntryAnchor table, from beginning of CursivePos subtable (may be NULL).</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exitAnchorOffset</w:t>
            </w:r>
          </w:p>
        </w:tc>
        <w:tc>
          <w:tcPr>
            <w:tcW w:w="558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ExitAnchor table, from beginning of CursivePos subtable (may be NULL).</w:t>
            </w:r>
          </w:p>
        </w:tc>
      </w:tr>
    </w:tbl>
    <w:p>
      <w:pPr>
        <w:pStyle w:val="Normal"/>
        <w:rPr/>
      </w:pPr>
      <w:r>
        <w:rPr/>
      </w:r>
    </w:p>
    <w:p>
      <w:pPr>
        <w:pStyle w:val="NormalWeb"/>
        <w:rPr/>
      </w:pPr>
      <w:r>
        <w:rPr/>
        <w:t>At the end of 6.3.</w:t>
      </w:r>
      <w:r>
        <w:rPr/>
        <w:t>3.</w:t>
      </w:r>
      <w:r>
        <w:rPr/>
        <w:t>3.4 Lookup Type 4: Mark-to-Base attachment positioning subtable, just before 6.3.3.5 Lookup Type 5: Mark-to-Ligature attachment positioning subtable, insert:</w:t>
      </w:r>
    </w:p>
    <w:p>
      <w:pPr>
        <w:pStyle w:val="Normal"/>
        <w:rPr/>
      </w:pPr>
      <w:r>
        <w:rPr/>
      </w:r>
    </w:p>
    <w:p>
      <w:pPr>
        <w:pStyle w:val="NormalWeb"/>
        <w:spacing w:before="120" w:after="280"/>
        <w:rPr/>
      </w:pPr>
      <w:r>
        <w:rPr>
          <w:rStyle w:val="Emphasis"/>
        </w:rPr>
        <w:t>MarkBasePosFormat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12"/>
        <w:gridCol w:w="541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baseCoverageOffset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defined for marks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MarkArray</w:t>
            </w:r>
            <w:r>
              <w:rPr/>
              <w:t>2</w:t>
            </w:r>
            <w:r>
              <w:rPr/>
              <w:t xml:space="preserve"> table, from </w:t>
            </w:r>
            <w:r>
              <w:rPr/>
              <w:t xml:space="preserve">the </w:t>
            </w:r>
            <w:r>
              <w:rPr/>
              <w:t xml:space="preserve">beginning of </w:t>
            </w:r>
            <w:r>
              <w:rPr/>
              <w:t>the</w:t>
            </w:r>
            <w:r>
              <w:rPr/>
              <w:t xml:space="preserve"> MarkBasePos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baseArrayOffset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BaseArray</w:t>
            </w:r>
            <w:r>
              <w:rPr/>
              <w:t>2</w:t>
            </w:r>
            <w:r>
              <w:rPr/>
              <w:t xml:space="preserve"> table, from </w:t>
            </w:r>
            <w:r>
              <w:rPr/>
              <w:t xml:space="preserve">the </w:t>
            </w:r>
            <w:r>
              <w:rPr/>
              <w:t xml:space="preserve">beginning of </w:t>
            </w:r>
            <w:r>
              <w:rPr/>
              <w:t>the</w:t>
            </w:r>
            <w:r>
              <w:rPr/>
              <w:t xml:space="preserve"> MarkBasePos subtable</w:t>
            </w:r>
          </w:p>
        </w:tc>
      </w:tr>
    </w:tbl>
    <w:p>
      <w:pPr>
        <w:pStyle w:val="Normal"/>
        <w:spacing w:before="280" w:after="240"/>
        <w:rPr>
          <w:lang w:val="en-GB"/>
        </w:rPr>
      </w:pPr>
      <w:r>
        <w:rPr>
          <w:lang w:val="en-GB"/>
        </w:rPr>
        <w:t xml:space="preserve">The BaseArray table </w:t>
      </w:r>
      <w:r>
        <w:rPr>
          <w:lang w:val="en-GB"/>
        </w:rPr>
        <w:t>is similarly updated to use 24-bit numbers in Format 2:</w:t>
      </w:r>
    </w:p>
    <w:p>
      <w:pPr>
        <w:pStyle w:val="NormalWeb"/>
        <w:spacing w:before="0" w:after="280"/>
        <w:rPr/>
      </w:pPr>
      <w:r>
        <w:rPr>
          <w:rStyle w:val="Emphasis"/>
        </w:rPr>
        <w:t>BaseArray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588"/>
        <w:gridCol w:w="2775"/>
        <w:gridCol w:w="4343"/>
      </w:tblGrid>
      <w:tr>
        <w:trPr/>
        <w:tc>
          <w:tcPr>
            <w:tcW w:w="15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77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baseCount</w:t>
            </w:r>
          </w:p>
        </w:tc>
        <w:tc>
          <w:tcPr>
            <w:tcW w:w="4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BaseRecord</w:t>
            </w:r>
            <w:r>
              <w:rPr>
                <w:shd w:fill="FFFF00" w:val="clear"/>
              </w:rPr>
              <w:t>2</w:t>
            </w:r>
            <w:r>
              <w:rPr/>
              <w:t xml:space="preserve"> records</w:t>
            </w:r>
          </w:p>
        </w:tc>
      </w:tr>
      <w:tr>
        <w:trPr/>
        <w:tc>
          <w:tcPr>
            <w:tcW w:w="158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BaseRecord</w:t>
            </w:r>
            <w:r>
              <w:rPr>
                <w:shd w:fill="FFFF00" w:val="clear"/>
              </w:rPr>
              <w:t>2</w:t>
            </w:r>
          </w:p>
        </w:tc>
        <w:tc>
          <w:tcPr>
            <w:tcW w:w="277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baseRecords[baseCount]</w:t>
            </w:r>
          </w:p>
        </w:tc>
        <w:tc>
          <w:tcPr>
            <w:tcW w:w="4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BaseRecord</w:t>
            </w:r>
            <w:r>
              <w:rPr>
                <w:shd w:fill="FFFF00" w:val="clear"/>
              </w:rPr>
              <w:t>2</w:t>
            </w:r>
            <w:r>
              <w:rPr/>
              <w:t xml:space="preserve"> records</w:t>
            </w:r>
            <w:r>
              <w:rPr/>
              <w:t xml:space="preserve"> in order of baseCoverage Index</w:t>
            </w:r>
          </w:p>
        </w:tc>
      </w:tr>
    </w:tbl>
    <w:p>
      <w:pPr>
        <w:pStyle w:val="Normal"/>
        <w:spacing w:before="280" w:after="240"/>
        <w:rPr>
          <w:lang w:val="en-GB"/>
        </w:rPr>
      </w:pPr>
      <w:r>
        <w:rPr>
          <w:lang w:val="en-GB"/>
        </w:rPr>
        <w:t>T</w:t>
      </w:r>
      <w:r>
        <w:rPr>
          <w:lang w:val="en-GB"/>
        </w:rPr>
        <w:t>he Base Record itself must use 24-bit offsets:</w:t>
      </w:r>
    </w:p>
    <w:p>
      <w:pPr>
        <w:pStyle w:val="NormalWeb"/>
        <w:spacing w:before="280" w:after="280"/>
        <w:rPr/>
      </w:pPr>
      <w:r>
        <w:rPr>
          <w:rStyle w:val="Emphasis"/>
        </w:rPr>
        <w:t>BaseRecord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3647"/>
        <w:gridCol w:w="39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6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647"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baseAnchorOffset[markClassCount]</w:t>
            </w:r>
          </w:p>
        </w:tc>
        <w:tc>
          <w:tcPr>
            <w:tcW w:w="3975"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(one per mark class) to Anchor tables. Offsets are from </w:t>
            </w:r>
            <w:r>
              <w:rPr/>
              <w:t>the</w:t>
            </w:r>
            <w:r>
              <w:rPr/>
              <w:t xml:space="preserve"> beginning of </w:t>
            </w:r>
            <w:r>
              <w:rPr/>
              <w:t xml:space="preserve">the </w:t>
            </w:r>
            <w:r>
              <w:rPr/>
              <w:t>BaseArray</w:t>
            </w:r>
            <w:r>
              <w:rPr/>
              <w:t>2</w:t>
            </w:r>
            <w:r>
              <w:rPr/>
              <w:t xml:space="preserve"> table, ordered by class.</w:t>
            </w:r>
          </w:p>
        </w:tc>
      </w:tr>
    </w:tbl>
    <w:p>
      <w:pPr>
        <w:pStyle w:val="NormalWeb"/>
        <w:rPr/>
      </w:pPr>
      <w:r>
        <w:rPr/>
        <w:t>A MarkArray</w:t>
      </w:r>
      <w:r>
        <w:rPr/>
        <w:t>2</w:t>
      </w:r>
      <w:r>
        <w:rPr/>
        <w:t xml:space="preserve"> table is defined for use in 24-bit contexts:</w:t>
      </w:r>
    </w:p>
    <w:p>
      <w:pPr>
        <w:pStyle w:val="NormalWeb"/>
        <w:spacing w:before="280" w:after="280"/>
        <w:rPr/>
      </w:pPr>
      <w:r>
        <w:rPr>
          <w:rStyle w:val="Emphasis"/>
        </w:rPr>
        <w:t>MarkArray</w:t>
      </w:r>
      <w:r>
        <w:rPr>
          <w:rStyle w:val="Emphasis"/>
        </w:rPr>
        <w:t>2</w:t>
      </w:r>
      <w:r>
        <w:rPr>
          <w:rStyle w:val="Emphasis"/>
        </w:rPr>
        <w:t xml:space="preserve"> table </w:t>
      </w:r>
    </w:p>
    <w:tbl>
      <w:tblPr>
        <w:tblW w:w="8700" w:type="dxa"/>
        <w:jc w:val="left"/>
        <w:tblInd w:w="0" w:type="dxa"/>
        <w:tblLayout w:type="fixed"/>
        <w:tblCellMar>
          <w:top w:w="0" w:type="dxa"/>
          <w:left w:w="108" w:type="dxa"/>
          <w:bottom w:w="0" w:type="dxa"/>
          <w:right w:w="108" w:type="dxa"/>
        </w:tblCellMar>
      </w:tblPr>
      <w:tblGrid>
        <w:gridCol w:w="1525"/>
        <w:gridCol w:w="1477"/>
        <w:gridCol w:w="5698"/>
      </w:tblGrid>
      <w:tr>
        <w:trPr/>
        <w:tc>
          <w:tcPr>
            <w:tcW w:w="1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2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markCount</w:t>
            </w:r>
          </w:p>
        </w:tc>
        <w:tc>
          <w:tcPr>
            <w:tcW w:w="56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MarkRecord</w:t>
            </w:r>
            <w:r>
              <w:rPr/>
              <w:t>2 record</w:t>
            </w:r>
            <w:r>
              <w:rPr/>
              <w:t>s</w:t>
            </w:r>
          </w:p>
        </w:tc>
      </w:tr>
      <w:tr>
        <w:trPr/>
        <w:tc>
          <w:tcPr>
            <w:tcW w:w="152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MarkRecord</w:t>
            </w:r>
            <w:r>
              <w:rPr>
                <w:shd w:fill="FFFF00" w:val="clear"/>
              </w:rPr>
              <w:t>2</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markRecords</w:t>
              <w:br/>
              <w:t>[markCount]</w:t>
            </w:r>
          </w:p>
        </w:tc>
        <w:tc>
          <w:tcPr>
            <w:tcW w:w="56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MarkRecord</w:t>
            </w:r>
            <w:r>
              <w:rPr/>
              <w:t>2 record</w:t>
            </w:r>
            <w:r>
              <w:rPr/>
              <w:t>s, ordered by corresponding glyphs in the associated mark Coverage order</w:t>
            </w:r>
          </w:p>
        </w:tc>
      </w:tr>
    </w:tbl>
    <w:p>
      <w:pPr>
        <w:pStyle w:val="NormalWeb"/>
        <w:spacing w:before="280" w:after="280"/>
        <w:rPr/>
      </w:pPr>
      <w:r>
        <w:rPr>
          <w:rStyle w:val="Emphasis"/>
        </w:rPr>
        <w:t>MarkRecord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25"/>
        <w:gridCol w:w="559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markClass</w:t>
            </w:r>
          </w:p>
        </w:tc>
        <w:tc>
          <w:tcPr>
            <w:tcW w:w="55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Class defined for the associated mark</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markAnchorOffset</w:t>
            </w:r>
          </w:p>
        </w:tc>
        <w:tc>
          <w:tcPr>
            <w:tcW w:w="55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Anchor table, from beginning of </w:t>
            </w:r>
            <w:r>
              <w:rPr>
                <w:shd w:fill="FFFF00" w:val="clear"/>
              </w:rPr>
              <w:t>MarkArray</w:t>
            </w:r>
            <w:r>
              <w:rPr>
                <w:shd w:fill="FFFF00" w:val="clear"/>
              </w:rPr>
              <w:t>2</w:t>
            </w:r>
            <w:r>
              <w:rPr/>
              <w:t xml:space="preserve"> table</w:t>
            </w:r>
          </w:p>
        </w:tc>
      </w:tr>
    </w:tbl>
    <w:p>
      <w:pPr>
        <w:pStyle w:val="Heading4"/>
        <w:spacing w:before="280" w:after="240"/>
        <w:ind w:hanging="1080" w:left="1080"/>
        <w:rPr/>
      </w:pPr>
      <w:r>
        <w:rPr/>
      </w:r>
    </w:p>
    <w:p>
      <w:pPr>
        <w:pStyle w:val="NormalWeb"/>
        <w:rPr/>
      </w:pPr>
      <w:r>
        <w:rPr/>
      </w:r>
    </w:p>
    <w:p>
      <w:pPr>
        <w:pStyle w:val="Normal"/>
        <w:spacing w:before="280" w:after="240"/>
        <w:ind w:hanging="1080" w:left="1080"/>
        <w:rPr>
          <w:rStyle w:val="Strong"/>
          <w:b/>
          <w:lang w:val="en-GB"/>
        </w:rPr>
      </w:pPr>
      <w:r>
        <w:rPr/>
      </w:r>
    </w:p>
    <w:p>
      <w:pPr>
        <w:pStyle w:val="Normal"/>
        <w:rPr/>
      </w:pPr>
      <w:r>
        <w:rPr/>
        <w:t>At the end of subsection 6.3.3.3.5 Lookup Type 5: Mark-to-Ligature attachment positioning subtable, just before 6.3.3.</w:t>
      </w:r>
      <w:r>
        <w:rPr/>
        <w:t>3.</w:t>
      </w:r>
      <w:r>
        <w:rPr/>
        <w:t>6 Lookup Type 6 Mark-to-Mark attachment positioning subtable, insert:</w:t>
      </w:r>
    </w:p>
    <w:p>
      <w:pPr>
        <w:pStyle w:val="Normal"/>
        <w:rPr/>
      </w:pPr>
      <w:r>
        <w:rPr/>
      </w:r>
    </w:p>
    <w:p>
      <w:pPr>
        <w:pStyle w:val="NormalWeb"/>
        <w:spacing w:before="280" w:after="280"/>
        <w:rPr/>
      </w:pPr>
      <w:r>
        <w:rPr>
          <w:rStyle w:val="Strong"/>
        </w:rPr>
        <w:t>Mark-to-Ligature attachment positioning Format</w:t>
      </w:r>
      <w:r>
        <w:rPr>
          <w:rStyle w:val="Strong"/>
        </w:rPr>
        <w:t>2</w:t>
      </w:r>
      <w:r>
        <w:rPr>
          <w:rStyle w:val="Strong"/>
        </w:rPr>
        <w:t>: Mark-to-Ligature Attachment</w:t>
      </w:r>
    </w:p>
    <w:p>
      <w:pPr>
        <w:pStyle w:val="NormalWeb"/>
        <w:keepNext w:val="true"/>
        <w:spacing w:before="280" w:after="280"/>
        <w:rPr/>
      </w:pPr>
      <w:r>
        <w:rPr>
          <w:rStyle w:val="Emphasis"/>
          <w:i w:val="false"/>
          <w:iCs w:val="false"/>
        </w:rPr>
        <w:t>Format 2 is the same as Format 1 except that it uses 24-bit numbers where needed.</w:t>
      </w:r>
    </w:p>
    <w:p>
      <w:pPr>
        <w:pStyle w:val="NOTE2"/>
        <w:rPr/>
      </w:pPr>
      <w:r>
        <w:rPr>
          <w:rStyle w:val="Emphasis"/>
          <w:i w:val="false"/>
          <w:iCs w:val="false"/>
        </w:rPr>
        <w:t>NOTE:</w:t>
        <w:tab/>
        <w:t>The number of classes remains 16-bit.</w:t>
      </w:r>
    </w:p>
    <w:p>
      <w:pPr>
        <w:pStyle w:val="NormalWeb"/>
        <w:spacing w:before="280" w:after="280"/>
        <w:rPr/>
      </w:pPr>
      <w:r>
        <w:rPr>
          <w:rStyle w:val="Emphasis"/>
        </w:rPr>
        <w:t>MarkLigPosFormat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447"/>
        <w:gridCol w:w="51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1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markCoverage table, from </w:t>
            </w:r>
            <w:r>
              <w:rPr/>
              <w:t>the</w:t>
            </w:r>
            <w:r>
              <w:rPr/>
              <w:t xml:space="preserve"> 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the</w:t>
            </w:r>
            <w:r>
              <w:rPr/>
              <w:t xml:space="preserve"> ligatureCoverage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defined mark classes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 xml:space="preserve">the </w:t>
            </w:r>
            <w:r>
              <w:rPr/>
              <w:t xml:space="preserve">MarkArray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ligatureArrayOffset</w:t>
            </w:r>
          </w:p>
        </w:tc>
        <w:tc>
          <w:tcPr>
            <w:tcW w:w="51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t>the</w:t>
            </w:r>
            <w:r>
              <w:rPr/>
              <w:t xml:space="preserve"> </w:t>
            </w:r>
            <w:r>
              <w:rPr>
                <w:color w:val="000000"/>
                <w:shd w:fill="FFFF00" w:val="clear"/>
              </w:rPr>
              <w:t>LigatureArray</w:t>
            </w:r>
            <w:r>
              <w:rPr>
                <w:color w:val="000000"/>
                <w:shd w:fill="FFFF00" w:val="clear"/>
              </w:rPr>
              <w:t>2</w:t>
            </w:r>
            <w:r>
              <w:rPr/>
              <w:t xml:space="preserve"> table, from </w:t>
            </w:r>
            <w:r>
              <w:rPr/>
              <w:t xml:space="preserve">the </w:t>
            </w:r>
            <w:r>
              <w:rPr/>
              <w:t xml:space="preserve">beginning of </w:t>
            </w:r>
            <w:r>
              <w:rPr/>
              <w:t xml:space="preserve">the </w:t>
            </w:r>
            <w:r>
              <w:rPr/>
              <w:t>MarkLigPos subtable</w:t>
            </w:r>
          </w:p>
        </w:tc>
      </w:tr>
    </w:tbl>
    <w:p>
      <w:pPr>
        <w:pStyle w:val="Normal"/>
        <w:spacing w:before="280" w:after="240"/>
        <w:rPr>
          <w:b w:val="false"/>
          <w:bCs w:val="false"/>
        </w:rPr>
      </w:pPr>
      <w:r>
        <w:rPr>
          <w:b w:val="false"/>
          <w:bCs w:val="false"/>
        </w:rPr>
        <w:t>The LigatureArray table is also updated:</w:t>
      </w:r>
    </w:p>
    <w:p>
      <w:pPr>
        <w:pStyle w:val="NormalWeb"/>
        <w:spacing w:before="280" w:after="280"/>
        <w:rPr/>
      </w:pPr>
      <w:r>
        <w:rPr>
          <w:rStyle w:val="Emphasis"/>
        </w:rPr>
        <w:t>LigatureArray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9"/>
        <w:gridCol w:w="534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LigatureAttach table offsets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Offset24</w:t>
            </w:r>
          </w:p>
        </w:tc>
        <w:tc>
          <w:tcPr>
            <w:tcW w:w="22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ligatureAttachOffsets</w:t>
              <w:br/>
              <w:t>[ligatureCount]</w:t>
            </w:r>
          </w:p>
        </w:tc>
        <w:tc>
          <w:tcPr>
            <w:tcW w:w="5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LigatureAttach tables. Offsets are from </w:t>
            </w:r>
            <w:r>
              <w:rPr/>
              <w:t xml:space="preserve">the </w:t>
            </w:r>
            <w:r>
              <w:rPr/>
              <w:t xml:space="preserve">beginning of </w:t>
            </w:r>
            <w:r>
              <w:rPr/>
              <w:t xml:space="preserve">the </w:t>
            </w:r>
            <w:r>
              <w:rPr/>
              <w:t>LigatureArray table, ordered by ligatureCoverage Index</w:t>
            </w:r>
          </w:p>
        </w:tc>
      </w:tr>
    </w:tbl>
    <w:p>
      <w:pPr>
        <w:pStyle w:val="Normal"/>
        <w:spacing w:before="280" w:after="240"/>
        <w:rPr>
          <w:lang w:val="en-GB"/>
        </w:rPr>
      </w:pPr>
      <w:r>
        <w:rPr>
          <w:lang w:val="en-GB"/>
        </w:rPr>
        <w:t>The LigatureAttach table is unchanged from Format 1, imposing a limit of 655</w:t>
      </w:r>
      <w:r>
        <w:rPr>
          <w:lang w:val="en-GB"/>
        </w:rPr>
        <w:t>3</w:t>
      </w:r>
      <w:r>
        <w:rPr>
          <w:lang w:val="en-GB"/>
        </w:rPr>
        <w:t xml:space="preserve">5 component records in a single ligature.  </w:t>
      </w:r>
      <w:r>
        <w:rPr>
          <w:lang w:val="en-GB"/>
        </w:rPr>
        <w:t xml:space="preserve">However, the Component Record in Format 2 uses 24-bit numbers to avoid overflow. Note that the markClassCount </w:t>
      </w:r>
      <w:r>
        <w:rPr>
          <w:lang w:val="en-GB"/>
        </w:rPr>
        <w:t xml:space="preserve">field in the </w:t>
      </w:r>
      <w:r>
        <w:rPr>
          <w:rStyle w:val="Emphasis"/>
          <w:lang w:val="en-GB"/>
        </w:rPr>
        <w:t>MarkLigPosFormat</w:t>
      </w:r>
      <w:r>
        <w:rPr>
          <w:rStyle w:val="Emphasis"/>
          <w:lang w:val="en-GB"/>
        </w:rPr>
        <w:t xml:space="preserve">2 </w:t>
      </w:r>
      <w:r>
        <w:rPr>
          <w:rStyle w:val="Emphasis"/>
          <w:i w:val="false"/>
          <w:iCs w:val="false"/>
          <w:lang w:val="en-GB"/>
        </w:rPr>
        <w:t>table</w:t>
      </w:r>
      <w:r>
        <w:rPr>
          <w:rStyle w:val="Emphasis"/>
          <w:lang w:val="en-GB"/>
        </w:rPr>
        <w:t xml:space="preserve"> </w:t>
      </w:r>
      <w:r>
        <w:rPr>
          <w:lang w:val="en-GB"/>
        </w:rPr>
        <w:t>remains 16-bit:</w:t>
      </w:r>
    </w:p>
    <w:p>
      <w:pPr>
        <w:pStyle w:val="NormalWeb"/>
        <w:keepNext w:val="true"/>
        <w:spacing w:before="280" w:after="280"/>
        <w:rPr/>
      </w:pPr>
      <w:r>
        <w:rPr>
          <w:rStyle w:val="Emphasis"/>
        </w:rPr>
        <w:t>ComponentRecord</w:t>
      </w:r>
      <w:r>
        <w:rPr>
          <w:rStyle w:val="Emphasis"/>
        </w:rPr>
        <w:t>2</w:t>
      </w:r>
    </w:p>
    <w:tbl>
      <w:tblPr>
        <w:tblW w:w="8706" w:type="dxa"/>
        <w:jc w:val="left"/>
        <w:tblInd w:w="0" w:type="dxa"/>
        <w:tblLayout w:type="fixed"/>
        <w:tblCellMar>
          <w:top w:w="0" w:type="dxa"/>
          <w:left w:w="108" w:type="dxa"/>
          <w:bottom w:w="0" w:type="dxa"/>
          <w:right w:w="108" w:type="dxa"/>
        </w:tblCellMar>
      </w:tblPr>
      <w:tblGrid>
        <w:gridCol w:w="1084"/>
        <w:gridCol w:w="2353"/>
        <w:gridCol w:w="526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35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ligatureAnchorOffsets</w:t>
              <w:br/>
              <w:t>[markClassCount]</w:t>
            </w:r>
          </w:p>
        </w:tc>
        <w:tc>
          <w:tcPr>
            <w:tcW w:w="5269"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LigatureAttach table, ordered by class (may be NULL)</w:t>
            </w:r>
          </w:p>
        </w:tc>
      </w:tr>
    </w:tbl>
    <w:p>
      <w:pPr>
        <w:pStyle w:val="NormalWeb"/>
        <w:rPr>
          <w:rStyle w:val="Strong"/>
          <w:b w:val="false"/>
          <w:bCs w:val="false"/>
        </w:rPr>
      </w:pPr>
      <w:r>
        <w:rPr/>
      </w:r>
    </w:p>
    <w:p>
      <w:pPr>
        <w:pStyle w:val="NormalWeb"/>
        <w:rPr>
          <w:rStyle w:val="Strong"/>
          <w:b w:val="false"/>
          <w:bCs w:val="false"/>
        </w:rPr>
      </w:pPr>
      <w:r>
        <w:rPr/>
      </w:r>
    </w:p>
    <w:p>
      <w:pPr>
        <w:pStyle w:val="NormalWeb"/>
        <w:rPr/>
      </w:pPr>
      <w:r>
        <w:rPr>
          <w:rStyle w:val="Strong"/>
          <w:b w:val="false"/>
          <w:bCs w:val="false"/>
        </w:rPr>
        <w:t xml:space="preserve">At the end of 6.3.3.6 </w:t>
      </w:r>
      <w:r>
        <w:rPr>
          <w:rStyle w:val="Strong"/>
          <w:b w:val="false"/>
          <w:bCs w:val="false"/>
        </w:rPr>
        <w:t>Lookup Type 6: Mark-to-Mark attachment positioning subtable, just before Lookup Type 7: Contextual positioning subtables, insert the following:</w:t>
      </w:r>
    </w:p>
    <w:p>
      <w:pPr>
        <w:pStyle w:val="NormalWeb"/>
        <w:spacing w:before="280" w:after="280"/>
        <w:rPr>
          <w:rStyle w:val="Strong"/>
          <w:bCs w:val="false"/>
        </w:rPr>
      </w:pPr>
      <w:r>
        <w:rPr/>
      </w:r>
    </w:p>
    <w:p>
      <w:pPr>
        <w:pStyle w:val="NormalWeb"/>
        <w:spacing w:before="280" w:after="280"/>
        <w:rPr/>
      </w:pPr>
      <w:r>
        <w:rPr>
          <w:rStyle w:val="Strong"/>
          <w:bCs w:val="false"/>
        </w:rPr>
        <w:t>Mark-to-Mark attachment positioning Format</w:t>
      </w:r>
      <w:r>
        <w:rPr>
          <w:rStyle w:val="Strong"/>
          <w:bCs w:val="false"/>
        </w:rPr>
        <w:t>2</w:t>
      </w:r>
      <w:r>
        <w:rPr>
          <w:rStyle w:val="Strong"/>
          <w:bCs w:val="false"/>
        </w:rPr>
        <w:t>: Mark-to-Mark attachment</w:t>
      </w:r>
    </w:p>
    <w:p>
      <w:pPr>
        <w:pStyle w:val="NormalWeb"/>
        <w:rPr/>
      </w:pPr>
      <w:r>
        <w:rPr>
          <w:rStyle w:val="Strong"/>
          <w:b w:val="false"/>
          <w:bCs w:val="false"/>
        </w:rPr>
        <w:t xml:space="preserve">The MarkMarkPosFormat2 subtable is based on Format 1, but </w:t>
      </w:r>
      <w:r>
        <w:rPr>
          <w:rStyle w:val="Strong"/>
          <w:b w:val="false"/>
          <w:bCs w:val="false"/>
        </w:rPr>
        <w:t>allows for larger offsets</w:t>
      </w:r>
      <w:r>
        <w:rPr>
          <w:rStyle w:val="Strong"/>
          <w:b w:val="false"/>
          <w:bCs w:val="false"/>
        </w:rPr>
        <w:t>:</w:t>
      </w:r>
    </w:p>
    <w:p>
      <w:pPr>
        <w:pStyle w:val="NormalWeb"/>
        <w:spacing w:before="280" w:after="280"/>
        <w:rPr/>
      </w:pPr>
      <w:r>
        <w:rPr>
          <w:rStyle w:val="Emphasis"/>
        </w:rPr>
        <w:t>MarkMarkPosFormat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333"/>
        <w:gridCol w:w="528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28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Combining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mark2CoverageOffset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Combining Mark classes defined </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mark1ArrayOffset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shd w:fill="FFFF00" w:val="clear"/>
              </w:rPr>
              <w:t>MarkArray</w:t>
            </w:r>
            <w:r>
              <w:rPr>
                <w:shd w:fill="FFFF00" w:val="clear"/>
              </w:rPr>
              <w:t>2</w:t>
            </w:r>
            <w:r>
              <w:rPr/>
              <w:t xml:space="preserve"> table for Mark1, from </w:t>
            </w:r>
            <w:r>
              <w:rPr/>
              <w:t xml:space="preserve">the </w:t>
            </w:r>
            <w:r>
              <w:rPr/>
              <w:t xml:space="preserve">beginning of </w:t>
            </w:r>
            <w:r>
              <w:rPr/>
              <w:t xml:space="preserve">the </w:t>
            </w:r>
            <w:r>
              <w:rPr/>
              <w:t>MarkMarkPos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mark2ArrayOffset</w:t>
            </w:r>
          </w:p>
        </w:tc>
        <w:tc>
          <w:tcPr>
            <w:tcW w:w="528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shd w:fill="FFFF00" w:val="clear"/>
              </w:rPr>
              <w:t>Mark2Array</w:t>
            </w:r>
            <w:r>
              <w:rPr>
                <w:shd w:fill="FFFF00" w:val="clear"/>
              </w:rPr>
              <w:t>2</w:t>
            </w:r>
            <w:r>
              <w:rPr/>
              <w:t xml:space="preserve"> table for Mark2, from </w:t>
            </w:r>
            <w:r>
              <w:rPr/>
              <w:t>the</w:t>
            </w:r>
            <w:r>
              <w:rPr/>
              <w:t xml:space="preserve"> beginning of </w:t>
            </w:r>
            <w:r>
              <w:rPr/>
              <w:t xml:space="preserve">the </w:t>
            </w:r>
            <w:r>
              <w:rPr/>
              <w:t>MarkMarkPos subtable</w:t>
            </w:r>
          </w:p>
        </w:tc>
      </w:tr>
    </w:tbl>
    <w:p>
      <w:pPr>
        <w:pStyle w:val="Normal"/>
        <w:spacing w:before="280" w:after="240"/>
        <w:rPr>
          <w:lang w:val="en-GB"/>
        </w:rPr>
      </w:pPr>
      <w:r>
        <w:rPr>
          <w:lang w:val="en-GB"/>
        </w:rPr>
        <w:t xml:space="preserve">The </w:t>
      </w:r>
      <w:r>
        <w:rPr>
          <w:shd w:fill="FFFF00" w:val="clear"/>
          <w:lang w:val="en-GB"/>
        </w:rPr>
        <w:t>Mark2Array</w:t>
      </w:r>
      <w:r>
        <w:rPr>
          <w:shd w:fill="FFFF00" w:val="clear"/>
          <w:lang w:val="en-GB"/>
        </w:rPr>
        <w:t>2</w:t>
      </w:r>
      <w:r>
        <w:rPr>
          <w:lang w:val="en-GB"/>
        </w:rPr>
        <w:t xml:space="preserve"> table contains one </w:t>
      </w:r>
      <w:r>
        <w:rPr>
          <w:shd w:fill="FFFF00" w:val="clear"/>
          <w:lang w:val="en-GB"/>
        </w:rPr>
        <w:t>Mark2Record</w:t>
      </w:r>
      <w:r>
        <w:rPr>
          <w:shd w:fill="FFFF00" w:val="clear"/>
          <w:lang w:val="en-GB"/>
        </w:rPr>
        <w:t>2</w:t>
      </w:r>
      <w:r>
        <w:rPr>
          <w:lang w:val="en-GB"/>
        </w:rPr>
        <w:t xml:space="preserve"> </w:t>
      </w:r>
      <w:r>
        <w:rPr>
          <w:lang w:val="en-GB"/>
        </w:rPr>
        <w:t>for each mark2Coverage table. It stores the records in the same order as the mark2Coverage Index.</w:t>
      </w:r>
    </w:p>
    <w:p>
      <w:pPr>
        <w:pStyle w:val="NOTE2"/>
        <w:rPr>
          <w:shd w:fill="FFFF00" w:val="clear"/>
        </w:rPr>
      </w:pPr>
      <w:r>
        <w:rPr>
          <w:shd w:fill="FFFF00" w:val="clear"/>
          <w:lang w:val="en-GB"/>
        </w:rPr>
        <w:t>N</w:t>
      </w:r>
      <w:r>
        <w:rPr>
          <w:shd w:fill="FFFF00" w:val="clear"/>
          <w:lang w:val="en-GB"/>
        </w:rPr>
        <w:t>OTE:</w:t>
        <w:tab/>
        <w:t xml:space="preserve">The </w:t>
      </w:r>
      <w:r>
        <w:rPr>
          <w:shd w:fill="FFFF00" w:val="clear"/>
          <w:lang w:val="en-GB"/>
        </w:rPr>
        <w:t xml:space="preserve">2 in MarkArray2 is for version 2 of the MarkArray table; the first 2 in Mark2Array2 denotes the storage of Mark2, and the trailing 2 denotes version 2 of the table. </w:t>
      </w:r>
      <w:r>
        <w:rPr>
          <w:shd w:fill="FFFF00" w:val="clear"/>
          <w:lang w:val="en-GB"/>
        </w:rPr>
        <w:t xml:space="preserve">The MarkArray table itself is defined in subsection </w:t>
      </w:r>
      <w:hyperlink w:anchor="6.3.3.4.Shared_tables%3A_Value_record,_A">
        <w:r>
          <w:rPr>
            <w:rStyle w:val="Hyperlink"/>
            <w:shd w:fill="FFFF00" w:val="clear"/>
            <w:lang w:val="en-GB"/>
          </w:rPr>
          <w:t xml:space="preserve">6.3.3.4. </w:t>
        </w:r>
        <w:r>
          <w:rPr>
            <w:rStyle w:val="Hyperlink"/>
            <w:i/>
            <w:iCs/>
            <w:shd w:fill="FFFF00" w:val="clear"/>
            <w:lang w:val="en-GB"/>
          </w:rPr>
          <w:t>Shared tables: Value record, Anchor table and MarkArray table</w:t>
        </w:r>
      </w:hyperlink>
      <w:r>
        <w:rPr>
          <w:shd w:fill="FFFF00" w:val="clear"/>
          <w:lang w:val="en-GB"/>
        </w:rPr>
        <w:t>.</w:t>
      </w:r>
    </w:p>
    <w:p>
      <w:pPr>
        <w:pStyle w:val="NormalWeb"/>
        <w:spacing w:before="280" w:after="280"/>
        <w:rPr/>
      </w:pPr>
      <w:r>
        <w:rPr>
          <w:rStyle w:val="Emphasis"/>
        </w:rPr>
        <w:t>Mark2Array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5"/>
        <w:gridCol w:w="1863"/>
        <w:gridCol w:w="4968"/>
      </w:tblGrid>
      <w:tr>
        <w:trPr/>
        <w:tc>
          <w:tcPr>
            <w:tcW w:w="1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mark2Count</w:t>
            </w:r>
          </w:p>
        </w:tc>
        <w:tc>
          <w:tcPr>
            <w:tcW w:w="49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Mark2 records</w:t>
            </w:r>
          </w:p>
        </w:tc>
      </w:tr>
      <w:tr>
        <w:trPr/>
        <w:tc>
          <w:tcPr>
            <w:tcW w:w="187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Mark2Record</w:t>
            </w:r>
            <w:r>
              <w:rPr>
                <w:shd w:fill="FFFF00" w:val="clear"/>
              </w:rPr>
              <w:t>2</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mark2Records</w:t>
              <w:br/>
              <w:t>[mark2Count]</w:t>
            </w:r>
          </w:p>
        </w:tc>
        <w:tc>
          <w:tcPr>
            <w:tcW w:w="49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24-bit</w:t>
            </w:r>
            <w:r>
              <w:rPr/>
              <w:t xml:space="preserve"> </w:t>
            </w:r>
            <w:r>
              <w:rPr/>
              <w:t>Mark2Records, in Coverage order.</w:t>
            </w:r>
          </w:p>
        </w:tc>
      </w:tr>
    </w:tbl>
    <w:p>
      <w:pPr>
        <w:pStyle w:val="Normal"/>
        <w:spacing w:before="280" w:after="240"/>
        <w:rPr>
          <w:lang w:val="en-GB"/>
        </w:rPr>
      </w:pPr>
      <w:r>
        <w:rPr>
          <w:rStyle w:val="Strong"/>
          <w:b w:val="false"/>
          <w:bCs w:val="false"/>
        </w:rPr>
        <w:t>The individual Mark2Record</w:t>
      </w:r>
      <w:r>
        <w:rPr>
          <w:rStyle w:val="Strong"/>
          <w:b w:val="false"/>
          <w:bCs w:val="false"/>
        </w:rPr>
        <w:t>2</w:t>
      </w:r>
      <w:r>
        <w:rPr>
          <w:rStyle w:val="Strong"/>
          <w:b w:val="false"/>
          <w:bCs w:val="false"/>
        </w:rPr>
        <w:t xml:space="preserve"> entries in Format 2 use a 24-bit offset to avoid po</w:t>
      </w:r>
      <w:r>
        <w:rPr>
          <w:rStyle w:val="Strong"/>
          <w:b w:val="false"/>
          <w:bCs w:val="false"/>
        </w:rPr>
        <w:t>t</w:t>
      </w:r>
      <w:r>
        <w:rPr>
          <w:rStyle w:val="Strong"/>
          <w:b w:val="false"/>
          <w:bCs w:val="false"/>
        </w:rPr>
        <w:t>ential overflow:</w:t>
      </w:r>
    </w:p>
    <w:p>
      <w:pPr>
        <w:pStyle w:val="NormalWeb"/>
        <w:spacing w:before="280" w:after="280"/>
        <w:rPr/>
      </w:pPr>
      <w:r>
        <w:rPr>
          <w:rStyle w:val="Emphasis"/>
        </w:rPr>
        <w:t>Mark2Record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241"/>
        <w:gridCol w:w="538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1"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mark2AnchorOffsets</w:t>
              <w:br/>
              <w:t>[markClassCount]</w:t>
            </w:r>
          </w:p>
        </w:tc>
        <w:tc>
          <w:tcPr>
            <w:tcW w:w="5381"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Mark2Array</w:t>
            </w:r>
            <w:r>
              <w:rPr/>
              <w:t>2</w:t>
            </w:r>
            <w:r>
              <w:rPr/>
              <w:t xml:space="preserve"> table, in class order</w:t>
            </w:r>
          </w:p>
        </w:tc>
      </w:tr>
    </w:tbl>
    <w:p>
      <w:pPr>
        <w:pStyle w:val="NormalWeb"/>
        <w:rPr>
          <w:rStyle w:val="Strong"/>
          <w:b w:val="false"/>
          <w:bCs w:val="false"/>
        </w:rPr>
      </w:pPr>
      <w:r>
        <w:rPr/>
      </w:r>
    </w:p>
    <w:p>
      <w:pPr>
        <w:pStyle w:val="NormalWeb"/>
        <w:rPr/>
      </w:pPr>
      <w:r>
        <w:rPr>
          <w:rStyle w:val="Strong"/>
          <w:b w:val="false"/>
          <w:bCs w:val="false"/>
        </w:rPr>
        <w:t>At the very end of section 6.3.</w:t>
      </w:r>
      <w:r>
        <w:rPr>
          <w:rStyle w:val="Strong"/>
          <w:b w:val="false"/>
          <w:bCs w:val="false"/>
        </w:rPr>
        <w:t>3.</w:t>
      </w:r>
      <w:r>
        <w:rPr>
          <w:rStyle w:val="Strong"/>
          <w:b w:val="false"/>
          <w:bCs w:val="false"/>
        </w:rPr>
        <w:t>3.7 Lookup Type 7, Contextual positioning subtables, just before 6.3.3.</w:t>
      </w:r>
      <w:r>
        <w:rPr>
          <w:rStyle w:val="Strong"/>
          <w:b w:val="false"/>
          <w:bCs w:val="false"/>
        </w:rPr>
        <w:t>3</w:t>
      </w:r>
      <w:r>
        <w:rPr>
          <w:rStyle w:val="Strong"/>
          <w:b w:val="false"/>
          <w:bCs w:val="false"/>
        </w:rPr>
        <w:t xml:space="preserve">.8 </w:t>
      </w:r>
      <w:r>
        <w:rPr>
          <w:rStyle w:val="Strong"/>
          <w:b w:val="false"/>
          <w:bCs w:val="false"/>
        </w:rPr>
        <w:t>LookupType 8: Chaining contextual positioning subtable] please insert the following:</w:t>
      </w:r>
    </w:p>
    <w:p>
      <w:pPr>
        <w:pStyle w:val="NormalWeb"/>
        <w:rPr>
          <w:rStyle w:val="Strong"/>
          <w:b w:val="false"/>
          <w:bCs w:val="false"/>
        </w:rPr>
      </w:pPr>
      <w:r>
        <w:rPr/>
      </w:r>
    </w:p>
    <w:p>
      <w:pPr>
        <w:pStyle w:val="NormalWeb"/>
        <w:spacing w:before="280" w:after="280"/>
        <w:rPr/>
      </w:pPr>
      <w:r>
        <w:rPr>
          <w:rStyle w:val="Strong"/>
          <w:bCs w:val="false"/>
        </w:rPr>
        <w:t xml:space="preserve">Context Positioning Subtable Format </w:t>
      </w:r>
      <w:r>
        <w:rPr>
          <w:rStyle w:val="Strong"/>
          <w:bCs w:val="false"/>
        </w:rPr>
        <w:t>4</w:t>
      </w:r>
      <w:r>
        <w:rPr>
          <w:rStyle w:val="Strong"/>
          <w:bCs w:val="false"/>
        </w:rPr>
        <w:t>: Simple Glyph Contexts</w:t>
      </w:r>
    </w:p>
    <w:p>
      <w:pPr>
        <w:pStyle w:val="NormalWeb"/>
        <w:rPr/>
      </w:pPr>
      <w:r>
        <w:rPr>
          <w:rStyle w:val="Strong"/>
          <w:b w:val="false"/>
          <w:bCs w:val="false"/>
        </w:rPr>
        <w:t xml:space="preserve">Format 4 is </w:t>
      </w:r>
      <w:r>
        <w:rPr>
          <w:rStyle w:val="Strong"/>
          <w:b w:val="false"/>
          <w:bCs w:val="false"/>
        </w:rPr>
        <w:t xml:space="preserve">the same as Format 1 but with 24-bit </w:t>
      </w:r>
      <w:r>
        <w:rPr>
          <w:rStyle w:val="Strong"/>
          <w:b w:val="false"/>
          <w:bCs w:val="false"/>
        </w:rPr>
        <w:t>offsets.</w:t>
      </w:r>
      <w:r>
        <w:rPr>
          <w:rStyle w:val="Strong"/>
          <w:b w:val="false"/>
          <w:bCs w:val="false"/>
        </w:rPr>
        <w:t xml:space="preserve"> </w:t>
      </w:r>
      <w:r>
        <w:rPr>
          <w:rStyle w:val="Strong"/>
          <w:b w:val="false"/>
          <w:bCs w:val="false"/>
        </w:rPr>
        <w:t xml:space="preserve">As with Format 1, Format 4 </w:t>
      </w:r>
      <w:r>
        <w:rPr>
          <w:rStyle w:val="Strong"/>
          <w:b w:val="false"/>
          <w:bCs w:val="false"/>
          <w:lang w:val="en-GB"/>
        </w:rPr>
        <w:t>defines the context for a glyph positioning operation as a particular sequence of glyphs.</w:t>
      </w:r>
    </w:p>
    <w:p>
      <w:pPr>
        <w:pStyle w:val="NormalWeb"/>
        <w:spacing w:before="280" w:after="280"/>
        <w:rPr/>
      </w:pPr>
      <w:r>
        <w:rPr>
          <w:rStyle w:val="Emphasis"/>
        </w:rPr>
        <w:t>ContextPosFormat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2"/>
        <w:gridCol w:w="557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posRuleSetCount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color w:val="000000"/>
                <w:shd w:fill="FFFF00" w:val="clear"/>
              </w:rPr>
              <w:t>PosRuleSet</w:t>
            </w:r>
            <w:r>
              <w:rPr>
                <w:color w:val="000000"/>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posRuleSetOffsets</w:t>
              <w:br/>
              <w:t>[posRuleSetCount]</w:t>
            </w:r>
          </w:p>
        </w:tc>
        <w:tc>
          <w:tcPr>
            <w:tcW w:w="55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color w:val="000000"/>
                <w:shd w:fill="FFFF00" w:val="clear"/>
              </w:rPr>
              <w:t>PosRuleSet</w:t>
            </w:r>
            <w:r>
              <w:rPr>
                <w:color w:val="000000"/>
                <w:shd w:fill="FFFF00" w:val="clear"/>
              </w:rPr>
              <w:t>2</w:t>
            </w:r>
            <w:r>
              <w:rPr/>
              <w:t xml:space="preserve"> tables. Offsets are from beginning of ContextPos subtable, ordered by Coverage Index</w:t>
            </w:r>
          </w:p>
        </w:tc>
      </w:tr>
    </w:tbl>
    <w:p>
      <w:pPr>
        <w:pStyle w:val="Normal"/>
        <w:spacing w:before="280" w:after="240"/>
        <w:rPr>
          <w:lang w:val="en-GB"/>
        </w:rPr>
      </w:pPr>
      <w:r>
        <w:rPr>
          <w:lang w:val="en-GB"/>
        </w:rPr>
        <w:t xml:space="preserve">There is one </w:t>
      </w:r>
      <w:r>
        <w:rPr>
          <w:shd w:fill="FFFF00" w:val="clear"/>
          <w:lang w:val="en-GB"/>
        </w:rPr>
        <w:t>PosRuleSet</w:t>
      </w:r>
      <w:r>
        <w:rPr>
          <w:shd w:fill="FFFF00" w:val="clear"/>
          <w:lang w:val="en-GB"/>
        </w:rPr>
        <w:t>2</w:t>
      </w:r>
      <w:r>
        <w:rPr>
          <w:lang w:val="en-GB"/>
        </w:rPr>
        <w:t xml:space="preserve"> table for each glyph in the Coverage table. Each </w:t>
      </w:r>
      <w:r>
        <w:rPr>
          <w:shd w:fill="FFFF00" w:val="clear"/>
          <w:lang w:val="en-GB"/>
        </w:rPr>
        <w:t>PosRuleSet</w:t>
      </w:r>
      <w:r>
        <w:rPr>
          <w:shd w:fill="FFFF00" w:val="clear"/>
          <w:lang w:val="en-GB"/>
        </w:rPr>
        <w:t>2</w:t>
      </w:r>
      <w:r>
        <w:rPr>
          <w:lang w:val="en-GB"/>
        </w:rPr>
        <w:t xml:space="preserve"> table corresponds to a given glyph in the Coverage table, and describes all of the contexts that begin with that glyph.</w:t>
      </w:r>
    </w:p>
    <w:p>
      <w:pPr>
        <w:pStyle w:val="Normal"/>
        <w:rPr>
          <w:lang w:val="en-GB"/>
        </w:rPr>
      </w:pPr>
      <w:r>
        <w:rPr>
          <w:rStyle w:val="Strong"/>
          <w:b w:val="false"/>
          <w:bCs w:val="false"/>
          <w:lang w:val="en-GB"/>
        </w:rPr>
        <w:t xml:space="preserve">A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consists of an array of offsets to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(posRuleOffsets), ordered by preference, and a count of the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defined in the set (posRuleCount). </w:t>
      </w:r>
      <w:r>
        <w:rPr>
          <w:rStyle w:val="Strong"/>
          <w:b w:val="false"/>
          <w:bCs w:val="false"/>
          <w:lang w:val="en-GB"/>
        </w:rPr>
        <w:t xml:space="preserve">The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is the same as for Format 1, </w:t>
      </w:r>
      <w:r>
        <w:rPr>
          <w:rStyle w:val="Strong"/>
          <w:b w:val="false"/>
          <w:bCs w:val="false"/>
          <w:lang w:val="en-GB"/>
        </w:rPr>
        <w:t xml:space="preserve">but refers to </w:t>
      </w:r>
      <w:r>
        <w:rPr>
          <w:rStyle w:val="Strong"/>
          <w:b w:val="false"/>
          <w:bCs w:val="false"/>
          <w:shd w:fill="FFFF00" w:val="clear"/>
          <w:lang w:val="en-GB"/>
        </w:rPr>
        <w:t>PosRule2</w:t>
      </w:r>
      <w:r>
        <w:rPr>
          <w:rStyle w:val="Strong"/>
          <w:b w:val="false"/>
          <w:bCs w:val="false"/>
          <w:lang w:val="en-GB"/>
        </w:rPr>
        <w:t xml:space="preserve"> subtables.</w:t>
      </w:r>
    </w:p>
    <w:p>
      <w:pPr>
        <w:pStyle w:val="NormalWeb"/>
        <w:spacing w:before="280" w:after="280"/>
        <w:rPr/>
      </w:pPr>
      <w:r>
        <w:rPr>
          <w:rStyle w:val="Emphasis"/>
        </w:rPr>
        <w:t>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1761"/>
        <w:gridCol w:w="586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6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posRuleCount</w:t>
            </w:r>
          </w:p>
        </w:tc>
        <w:tc>
          <w:tcPr>
            <w:tcW w:w="58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176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posRuleOffsets</w:t>
              <w:br/>
              <w:t>[posRuleCount]</w:t>
            </w:r>
          </w:p>
        </w:tc>
        <w:tc>
          <w:tcPr>
            <w:tcW w:w="58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PosRule tables. Offsets are from the beginning of </w:t>
            </w:r>
            <w:r>
              <w:rPr>
                <w:shd w:fill="FFFF00" w:val="clear"/>
              </w:rPr>
              <w:t>PosRuleSet</w:t>
            </w:r>
            <w:r>
              <w:rPr>
                <w:shd w:fill="FFFF00" w:val="clear"/>
              </w:rPr>
              <w:t>2</w:t>
            </w:r>
            <w:r>
              <w:rPr/>
              <w:t>, ordered by preference.</w:t>
            </w:r>
          </w:p>
        </w:tc>
      </w:tr>
    </w:tbl>
    <w:p>
      <w:pPr>
        <w:pStyle w:val="Normal"/>
        <w:spacing w:before="280" w:after="240"/>
        <w:rPr>
          <w:lang w:val="en-GB"/>
        </w:rPr>
      </w:pPr>
      <w:r>
        <w:rPr>
          <w:rStyle w:val="Strong"/>
          <w:b w:val="false"/>
          <w:bCs w:val="false"/>
          <w:lang w:val="en-GB"/>
        </w:rPr>
        <w:t>The PosRule Table itself is extended to accommodate 24-bit glyph IDs:</w:t>
      </w:r>
    </w:p>
    <w:p>
      <w:pPr>
        <w:pStyle w:val="NormalWeb"/>
        <w:keepNext w:val="true"/>
        <w:spacing w:before="280" w:after="280"/>
        <w:rPr/>
      </w:pPr>
      <w:r>
        <w:rPr>
          <w:rStyle w:val="Emphasis"/>
        </w:rPr>
        <w:t>PosRule</w:t>
      </w:r>
      <w:r>
        <w:rPr>
          <w:rStyle w:val="Emphasis"/>
        </w:rPr>
        <w:t xml:space="preserve">2 </w:t>
      </w:r>
      <w:r>
        <w:rPr>
          <w:rStyle w:val="Emphasis"/>
        </w:rPr>
        <w:t xml:space="preserve">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glyph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w:t>
            </w:r>
            <w:r>
              <w:rPr>
                <w:shd w:fill="FFFF00" w:val="clear"/>
              </w:rPr>
              <w:t>nt24</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starting with the second glyph</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spacing w:before="280" w:after="280"/>
        <w:rPr/>
      </w:pPr>
      <w:r>
        <w:rPr>
          <w:rStyle w:val="Strong"/>
          <w:bCs w:val="false"/>
          <w:lang w:val="en-GB"/>
        </w:rPr>
        <w:t xml:space="preserve">Context positioning subtable </w:t>
      </w:r>
      <w:r>
        <w:rPr>
          <w:rStyle w:val="Strong"/>
          <w:bCs w:val="false"/>
          <w:lang w:val="en-GB"/>
        </w:rPr>
        <w:t xml:space="preserve">Format 5: </w:t>
      </w:r>
      <w:r>
        <w:rPr>
          <w:rStyle w:val="Strong"/>
          <w:bCs w:val="false"/>
          <w:lang w:val="en-GB"/>
        </w:rPr>
        <w:t>Using</w:t>
      </w:r>
      <w:r>
        <w:rPr>
          <w:rStyle w:val="Strong"/>
          <w:bCs w:val="false"/>
          <w:lang w:val="en-GB"/>
        </w:rPr>
        <w:t xml:space="preserve"> Class-based Glyph Contexts</w:t>
      </w:r>
    </w:p>
    <w:p>
      <w:pPr>
        <w:pStyle w:val="NormalWeb"/>
        <w:rPr/>
      </w:pPr>
      <w:r>
        <w:rPr/>
        <w:t xml:space="preserve">Format 5 is the same as Format 2, but uses </w:t>
      </w:r>
      <w:r>
        <w:rPr/>
        <w:t>larger</w:t>
      </w:r>
      <w:r>
        <w:rPr/>
        <w:t xml:space="preserve"> offsets to avoid possible overflow.</w:t>
      </w:r>
    </w:p>
    <w:p>
      <w:pPr>
        <w:pStyle w:val="NormalWeb"/>
        <w:keepNext w:val="true"/>
        <w:spacing w:before="280" w:after="280"/>
        <w:rPr/>
      </w:pPr>
      <w:r>
        <w:rPr>
          <w:rStyle w:val="Emphasis"/>
        </w:rPr>
        <w:t>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106"/>
        <w:gridCol w:w="551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posClassSetCount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posClassSetOffsets</w:t>
              <w:br/>
              <w:t>[posClassSetCount]</w:t>
            </w:r>
          </w:p>
        </w:tc>
        <w:tc>
          <w:tcPr>
            <w:tcW w:w="55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PosClassSet</w:t>
            </w:r>
            <w:r>
              <w:rPr>
                <w:shd w:fill="FFFF00" w:val="clear"/>
              </w:rPr>
              <w:t>2</w:t>
            </w:r>
            <w:r>
              <w:rPr/>
              <w:t xml:space="preserve"> tables. Offsets are from </w:t>
            </w:r>
            <w:r>
              <w:rPr>
                <w:shd w:fill="FFFF00" w:val="clear"/>
              </w:rPr>
              <w:t>the</w:t>
            </w:r>
            <w:r>
              <w:rPr/>
              <w:t xml:space="preserve"> </w:t>
            </w:r>
            <w:r>
              <w:rPr/>
              <w:t>beginning of ContextPos subtable, ordered by class (may be NULL)</w:t>
            </w:r>
          </w:p>
        </w:tc>
      </w:tr>
    </w:tbl>
    <w:p>
      <w:pPr>
        <w:pStyle w:val="Normal"/>
        <w:spacing w:before="280" w:after="240"/>
        <w:rPr>
          <w:lang w:val="en-GB"/>
        </w:rPr>
      </w:pPr>
      <w:r>
        <w:rPr/>
      </w:r>
    </w:p>
    <w:p>
      <w:pPr>
        <w:pStyle w:val="NormalWeb"/>
        <w:keepNext w:val="true"/>
        <w:spacing w:before="280" w:after="280"/>
        <w:rPr/>
      </w:pPr>
      <w:r>
        <w:rPr>
          <w:rStyle w:val="Emphasis"/>
        </w:rPr>
        <w:t>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4128"/>
        <w:gridCol w:w="349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412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4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412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posClassRuleCount</w:t>
            </w:r>
          </w:p>
        </w:tc>
        <w:tc>
          <w:tcPr>
            <w:tcW w:w="349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PosClassRule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412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posClassRuleOffsets[posClassRuleCount]</w:t>
            </w:r>
          </w:p>
        </w:tc>
        <w:tc>
          <w:tcPr>
            <w:tcW w:w="349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PosClassRule tables. Offsets are from beginning of PosClassSet, ordered by preference.</w:t>
            </w:r>
          </w:p>
        </w:tc>
      </w:tr>
    </w:tbl>
    <w:p>
      <w:pPr>
        <w:pStyle w:val="Normal"/>
        <w:spacing w:before="280" w:after="240"/>
        <w:rPr>
          <w:lang w:val="en-GB"/>
        </w:rPr>
      </w:pPr>
      <w:r>
        <w:rPr>
          <w:lang w:val="en-GB"/>
        </w:rPr>
        <w:t xml:space="preserve">The PosClassRule subtable is unchanged </w:t>
      </w:r>
      <w:r>
        <w:rPr>
          <w:lang w:val="en-GB"/>
        </w:rPr>
        <w:t>from Format 2:</w:t>
      </w:r>
    </w:p>
    <w:p>
      <w:pPr>
        <w:pStyle w:val="NormalWeb"/>
        <w:keepNext w:val="true"/>
        <w:spacing w:before="280" w:after="280"/>
        <w:rPr/>
      </w:pPr>
      <w:r>
        <w:rPr>
          <w:rStyle w:val="Emphasis"/>
        </w:rPr>
        <w:t xml:space="preserve">PosClassRule 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to be matched</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classes</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PosLookupRecords-in design order</w:t>
            </w:r>
          </w:p>
        </w:tc>
      </w:tr>
    </w:tbl>
    <w:p>
      <w:pPr>
        <w:pStyle w:val="NormalWeb"/>
        <w:spacing w:before="280" w:after="280"/>
        <w:rPr/>
      </w:pPr>
      <w:r>
        <w:rPr>
          <w:rStyle w:val="Strong"/>
          <w:bCs w:val="false"/>
          <w:lang w:val="en-GB"/>
        </w:rPr>
        <w:t xml:space="preserve">Context positioning subtable Format </w:t>
      </w:r>
      <w:r>
        <w:rPr>
          <w:rStyle w:val="Strong"/>
          <w:bCs w:val="false"/>
          <w:lang w:val="en-GB"/>
        </w:rPr>
        <w:t>6</w:t>
      </w:r>
      <w:r>
        <w:rPr>
          <w:rStyle w:val="Strong"/>
          <w:bCs w:val="false"/>
          <w:lang w:val="en-GB"/>
        </w:rPr>
        <w:t>: Coverage-based glyph contexts</w:t>
      </w:r>
    </w:p>
    <w:p>
      <w:pPr>
        <w:pStyle w:val="NormalWeb"/>
        <w:spacing w:before="280" w:after="280"/>
        <w:rPr/>
      </w:pPr>
      <w:r>
        <w:rPr>
          <w:rStyle w:val="Strong"/>
          <w:b w:val="false"/>
          <w:bCs w:val="false"/>
          <w:lang w:val="en-GB"/>
        </w:rPr>
        <w:t xml:space="preserve">Format </w:t>
      </w:r>
      <w:r>
        <w:rPr>
          <w:rStyle w:val="Strong"/>
          <w:b w:val="false"/>
          <w:bCs w:val="false"/>
          <w:lang w:val="en-GB"/>
        </w:rPr>
        <w:t>6</w:t>
      </w:r>
      <w:r>
        <w:rPr>
          <w:rStyle w:val="Strong"/>
          <w:b w:val="false"/>
          <w:bCs w:val="false"/>
          <w:lang w:val="en-GB"/>
        </w:rPr>
        <w:t xml:space="preserve"> is the same as Format 3, but using 24-bit numbers.</w:t>
      </w:r>
    </w:p>
    <w:p>
      <w:pPr>
        <w:pStyle w:val="NormalWeb"/>
        <w:spacing w:before="280" w:after="280"/>
        <w:rPr/>
      </w:pPr>
      <w:r>
        <w:rPr>
          <w:rStyle w:val="Emphasis"/>
        </w:rPr>
        <w:t>ContextPosFormat</w:t>
      </w:r>
      <w:r>
        <w:rPr>
          <w:rStyle w:val="Emphasis"/>
        </w:rPr>
        <w:t>6</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2005"/>
        <w:gridCol w:w="2099"/>
        <w:gridCol w:w="4602"/>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0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460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6</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coverageOffsets</w:t>
              <w:b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offsets to Coverage tables, from </w:t>
            </w:r>
            <w:r>
              <w:rPr>
                <w:shd w:fill="FFFF00" w:val="clear"/>
              </w:rPr>
              <w:t>the</w:t>
            </w:r>
            <w:r>
              <w:rPr/>
              <w:t xml:space="preserve"> </w:t>
            </w:r>
            <w:r>
              <w:rPr/>
              <w:t>beginning of ContextPos subtable</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0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60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rPr/>
      </w:pPr>
      <w:r>
        <w:rPr/>
      </w:r>
    </w:p>
    <w:p>
      <w:pPr>
        <w:pStyle w:val="NormalWeb"/>
        <w:rPr/>
      </w:pPr>
      <w:r>
        <w:rPr/>
        <w:t>At the end of subsection 6.3.3.3.8 Lookup Type 8: Chaining contextual positioning subtable, and just before 6.3.3.3.9 Lookup Type 9, Extension Positioning, insert:</w:t>
      </w:r>
    </w:p>
    <w:p>
      <w:pPr>
        <w:pStyle w:val="NormalWeb"/>
        <w:rPr/>
      </w:pPr>
      <w:r>
        <w:rPr/>
      </w:r>
    </w:p>
    <w:p>
      <w:pPr>
        <w:pStyle w:val="Normal"/>
        <w:spacing w:before="0" w:after="280"/>
        <w:rPr/>
      </w:pPr>
      <w:r>
        <w:rPr>
          <w:rStyle w:val="Strong"/>
        </w:rPr>
        <w:t xml:space="preserve">Chaining context positioning Format </w:t>
      </w:r>
      <w:r>
        <w:rPr>
          <w:rStyle w:val="Strong"/>
        </w:rPr>
        <w:t>4</w:t>
      </w:r>
      <w:r>
        <w:rPr>
          <w:rStyle w:val="Strong"/>
        </w:rPr>
        <w:t>: Simple glyph contexts</w:t>
      </w:r>
    </w:p>
    <w:p>
      <w:pPr>
        <w:pStyle w:val="Normal"/>
        <w:rPr>
          <w:shd w:fill="auto" w:val="clear"/>
          <w:lang w:val="en-GB"/>
        </w:rPr>
      </w:pPr>
      <w:r>
        <w:rPr>
          <w:shd w:fill="auto" w:val="clear"/>
          <w:lang w:val="en-GB"/>
        </w:rPr>
        <w:t xml:space="preserve">Format 4 is based on Format 1 but  </w:t>
      </w:r>
      <w:r>
        <w:rPr>
          <w:shd w:fill="00FFFF" w:val="clear"/>
          <w:lang w:val="en-GB"/>
        </w:rPr>
        <w:t>allows for larger values:</w:t>
      </w:r>
    </w:p>
    <w:p>
      <w:pPr>
        <w:pStyle w:val="NormalWeb"/>
        <w:spacing w:before="280" w:after="280"/>
        <w:rPr/>
      </w:pPr>
      <w:r>
        <w:rPr>
          <w:rStyle w:val="Emphasis"/>
        </w:rPr>
        <w:t>ChainContextPosFormat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564"/>
        <w:gridCol w:w="505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5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chainPosRuleSetCount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chainPosRuleSetOffsets</w:t>
              <w:br/>
              <w:t>[chainPosRuleSetCount]</w:t>
            </w:r>
          </w:p>
        </w:tc>
        <w:tc>
          <w:tcPr>
            <w:tcW w:w="505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ChainPosRuleSet</w:t>
            </w:r>
            <w:r>
              <w:rPr>
                <w:shd w:fill="FFFF00" w:val="clear"/>
              </w:rPr>
              <w:t>2</w:t>
            </w:r>
            <w:r>
              <w:rPr/>
              <w:t xml:space="preserve"> tables. Offsets are from </w:t>
            </w:r>
            <w:r>
              <w:rPr>
                <w:shd w:fill="FFFF00" w:val="clear"/>
              </w:rPr>
              <w:t>the</w:t>
            </w:r>
            <w:r>
              <w:rPr/>
              <w:t xml:space="preserve"> beginning of </w:t>
            </w:r>
            <w:r>
              <w:rPr>
                <w:shd w:fill="FFFF00" w:val="clear"/>
              </w:rPr>
              <w:t>the</w:t>
            </w:r>
            <w:r>
              <w:rPr/>
              <w:t xml:space="preserve"> </w:t>
            </w:r>
            <w:r>
              <w:rPr/>
              <w:t>ChainContextPos subtable, ordered by Coverage Index</w:t>
            </w:r>
          </w:p>
        </w:tc>
      </w:tr>
    </w:tbl>
    <w:p>
      <w:pPr>
        <w:pStyle w:val="NormalWeb"/>
        <w:spacing w:before="280" w:after="280"/>
        <w:rPr/>
      </w:pPr>
      <w:r>
        <w:rPr>
          <w:rStyle w:val="Emphasis"/>
        </w:rPr>
        <w:t>ChainPosRuleSet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3"/>
        <w:gridCol w:w="534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chainPosRuleCount</w:t>
            </w:r>
          </w:p>
        </w:tc>
        <w:tc>
          <w:tcPr>
            <w:tcW w:w="534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7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chainPosRuleOffsets</w:t>
              <w:br/>
              <w:t>[chainPosRuleCount]</w:t>
            </w:r>
          </w:p>
        </w:tc>
        <w:tc>
          <w:tcPr>
            <w:tcW w:w="534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w:t>
            </w:r>
            <w:r>
              <w:rPr>
                <w:shd w:fill="FFFF00" w:val="clear"/>
              </w:rPr>
              <w:t>2</w:t>
            </w:r>
            <w:r>
              <w:rPr/>
              <w:t xml:space="preserve"> tables. Offsets are from </w:t>
            </w:r>
            <w:r>
              <w:rPr>
                <w:shd w:fill="FFFF00" w:val="clear"/>
              </w:rPr>
              <w:t>the</w:t>
            </w:r>
            <w:r>
              <w:rPr/>
              <w:t xml:space="preserve"> </w:t>
            </w:r>
            <w:r>
              <w:rPr/>
              <w:t xml:space="preserve">beginning of </w:t>
            </w:r>
            <w:r>
              <w:rPr>
                <w:shd w:fill="FFFF00" w:val="clear"/>
              </w:rPr>
              <w:t>the</w:t>
            </w:r>
            <w:r>
              <w:rPr/>
              <w:t xml:space="preserve"> </w:t>
            </w:r>
            <w:r>
              <w:rPr>
                <w:shd w:fill="FFFF00" w:val="clear"/>
              </w:rPr>
              <w:t>ChainPosRuleSet</w:t>
            </w:r>
            <w:r>
              <w:rPr>
                <w:shd w:fill="FFFF00" w:val="clear"/>
              </w:rPr>
              <w:t>2</w:t>
            </w:r>
            <w:r>
              <w:rPr/>
              <w:t>, ordered by preference</w:t>
            </w:r>
          </w:p>
        </w:tc>
      </w:tr>
    </w:tbl>
    <w:p>
      <w:pPr>
        <w:pStyle w:val="NormalWeb"/>
        <w:spacing w:before="280" w:after="280"/>
        <w:rPr/>
      </w:pPr>
      <w:r>
        <w:rPr>
          <w:rStyle w:val="Emphasis"/>
        </w:rPr>
        <w:t>ChainPosRule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starts with second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 ahead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pPr>
      <w:r>
        <w:rPr>
          <w:rStyle w:val="Strong"/>
          <w:lang w:val="en-GB"/>
        </w:rPr>
        <w:t xml:space="preserve">Chaining context positioning </w:t>
      </w:r>
      <w:r>
        <w:rPr>
          <w:rStyle w:val="Strong"/>
          <w:lang w:val="en-GB"/>
        </w:rPr>
        <w:t>Format 5</w:t>
      </w:r>
      <w:r>
        <w:rPr>
          <w:rStyle w:val="Strong"/>
          <w:lang w:val="en-GB"/>
        </w:rPr>
        <w:t>: Class-based glyph contexts</w:t>
      </w:r>
    </w:p>
    <w:p>
      <w:pPr>
        <w:pStyle w:val="NormalWeb"/>
        <w:spacing w:before="280" w:after="280"/>
        <w:rPr/>
      </w:pPr>
      <w:r>
        <w:rPr>
          <w:rStyle w:val="Emphasis"/>
          <w:i w:val="false"/>
          <w:iCs w:val="false"/>
          <w:shd w:fill="FFFF00" w:val="clear"/>
        </w:rPr>
        <w:t>Format 5 is based on Format 2, but uses 24-bit offsets.</w:t>
      </w:r>
    </w:p>
    <w:p>
      <w:pPr>
        <w:pStyle w:val="NormalWeb"/>
        <w:spacing w:before="280" w:after="280"/>
        <w:rPr/>
      </w:pPr>
      <w:r>
        <w:rPr>
          <w:rStyle w:val="Emphasis"/>
        </w:rPr>
        <w:t>ChainContextPosFormat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616"/>
        <w:gridCol w:w="500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0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backtrack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input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lookahead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chainPosClassSetCnt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1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chainPosClassSetOffsets</w:t>
              <w:br/>
              <w:t>[chainPosClassSetCnt]</w:t>
            </w:r>
          </w:p>
        </w:tc>
        <w:tc>
          <w:tcPr>
            <w:tcW w:w="500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ChainPosClassSet</w:t>
            </w:r>
            <w:r>
              <w:rPr>
                <w:shd w:fill="FFFF00" w:val="clear"/>
              </w:rPr>
              <w:t>2</w:t>
            </w:r>
            <w:r>
              <w:rPr/>
              <w:t xml:space="preserve"> tables. Offsets are from the</w:t>
            </w:r>
            <w:r>
              <w:rPr/>
              <w:t xml:space="preserve"> </w:t>
            </w:r>
            <w:r>
              <w:rPr/>
              <w:t>beginning of the</w:t>
            </w:r>
            <w:r>
              <w:rPr/>
              <w:t xml:space="preserve"> </w:t>
            </w:r>
            <w:r>
              <w:rPr/>
              <w:t>ChainContextPos subtable, ordered by input class (may be NULL)</w:t>
            </w:r>
          </w:p>
        </w:tc>
      </w:tr>
    </w:tbl>
    <w:p>
      <w:pPr>
        <w:pStyle w:val="Normal"/>
        <w:spacing w:before="280" w:after="240"/>
        <w:rPr>
          <w:lang w:val="en-GB"/>
        </w:rPr>
      </w:pPr>
      <w:r>
        <w:rPr>
          <w:lang w:val="en-GB"/>
        </w:rPr>
        <w:t>All the ChainPosClassRules that define contexts beginning with the same class are grouped together and defined in a ChainPosClassSet</w:t>
      </w:r>
      <w:r>
        <w:rPr>
          <w:lang w:val="en-GB"/>
        </w:rPr>
        <w:t>2</w:t>
      </w:r>
      <w:r>
        <w:rPr>
          <w:lang w:val="en-GB"/>
        </w:rPr>
        <w:t xml:space="preserve"> table. Consequently, the ChainPosClassSet</w:t>
      </w:r>
      <w:r>
        <w:rPr>
          <w:lang w:val="en-GB"/>
        </w:rPr>
        <w:t>2</w:t>
      </w:r>
      <w:r>
        <w:rPr>
          <w:lang w:val="en-GB"/>
        </w:rPr>
        <w:t xml:space="preserve"> table identifies the class of a context's first component.</w:t>
      </w:r>
    </w:p>
    <w:p>
      <w:pPr>
        <w:pStyle w:val="NormalWeb"/>
        <w:spacing w:before="280" w:after="280"/>
        <w:rPr/>
      </w:pPr>
      <w:r>
        <w:rPr>
          <w:rStyle w:val="Emphasis"/>
        </w:rPr>
        <w:t>ChainPosClassSet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3442"/>
        <w:gridCol w:w="418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4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44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chainPosClassRuleCount</w:t>
            </w:r>
          </w:p>
        </w:tc>
        <w:tc>
          <w:tcPr>
            <w:tcW w:w="418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44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chainPosClassRuleOffsets</w:t>
              <w:br/>
              <w:t>[chainPosClassRuleCount]</w:t>
            </w:r>
          </w:p>
        </w:tc>
        <w:tc>
          <w:tcPr>
            <w:tcW w:w="418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ChainPosClassRule</w:t>
            </w:r>
            <w:r>
              <w:rPr>
                <w:shd w:fill="FFFF00" w:val="clear"/>
              </w:rPr>
              <w:t>2</w:t>
            </w:r>
            <w:r>
              <w:rPr/>
              <w:t xml:space="preserve"> tables. Offsets are from beginning of </w:t>
            </w:r>
            <w:r>
              <w:rPr>
                <w:shd w:fill="FFFF00" w:val="clear"/>
              </w:rPr>
              <w:t>the</w:t>
            </w:r>
            <w:r>
              <w:rPr/>
              <w:t xml:space="preserve"> </w:t>
            </w:r>
            <w:r>
              <w:rPr>
                <w:shd w:fill="FFFF00" w:val="clear"/>
              </w:rPr>
              <w:t>ChainPosClassSet</w:t>
            </w:r>
            <w:r>
              <w:rPr>
                <w:shd w:fill="FFFF00" w:val="clear"/>
              </w:rPr>
              <w:t>2</w:t>
            </w:r>
            <w:r>
              <w:rPr/>
              <w:t xml:space="preserve"> </w:t>
            </w:r>
            <w:r>
              <w:rPr>
                <w:shd w:fill="FFFF00" w:val="clear"/>
              </w:rPr>
              <w:t>subtable</w:t>
            </w:r>
            <w:r>
              <w:rPr/>
              <w:t>, ordered by preference</w:t>
            </w:r>
          </w:p>
        </w:tc>
      </w:tr>
    </w:tbl>
    <w:p>
      <w:pPr>
        <w:pStyle w:val="NormalWeb"/>
        <w:spacing w:before="240" w:after="280"/>
        <w:rPr/>
      </w:pPr>
      <w:r>
        <w:rPr>
          <w:rStyle w:val="Emphasis"/>
          <w:i w:val="false"/>
          <w:iCs w:val="false"/>
        </w:rPr>
        <w:t>The ChainPosClassRule subtable is unchanged from Format 2:</w:t>
      </w:r>
    </w:p>
    <w:p>
      <w:pPr>
        <w:pStyle w:val="NormalWeb"/>
        <w:spacing w:before="240" w:after="280"/>
        <w:rPr/>
      </w:pPr>
      <w:r>
        <w:rPr>
          <w:rStyle w:val="Emphasis"/>
        </w:rPr>
        <w:t>ChainPosClassRule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classes to be matched to the input glyph sequence, beginning with the second glyph position</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Total number of classes in the look ahead sequence </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rStyle w:val="Strong"/>
          <w:i w:val="false"/>
          <w:i w:val="false"/>
          <w:iCs w:val="false"/>
          <w:lang w:val="en-GB"/>
        </w:rPr>
      </w:pPr>
      <w:r>
        <w:rPr/>
      </w:r>
    </w:p>
    <w:p>
      <w:pPr>
        <w:pStyle w:val="NormalWeb"/>
        <w:spacing w:before="280" w:after="280"/>
        <w:rPr>
          <w:rStyle w:val="Strong"/>
          <w:i w:val="false"/>
          <w:i w:val="false"/>
          <w:iCs w:val="false"/>
        </w:rPr>
      </w:pPr>
      <w:r>
        <w:rPr/>
      </w:r>
    </w:p>
    <w:p>
      <w:pPr>
        <w:pStyle w:val="Heading1"/>
        <w:numPr>
          <w:ilvl w:val="0"/>
          <w:numId w:val="0"/>
        </w:numPr>
        <w:ind w:hanging="0" w:left="0"/>
        <w:rPr/>
      </w:pPr>
      <w:bookmarkStart w:id="136" w:name="__RefHeading___Toc117721_1712311476"/>
      <w:bookmarkStart w:id="137" w:name="_Toc518658300"/>
      <w:bookmarkStart w:id="138" w:name="_Toc521662546"/>
      <w:bookmarkStart w:id="139" w:name="_GSUB_–_The"/>
      <w:bookmarkStart w:id="140" w:name="_Toc534817082"/>
      <w:bookmarkStart w:id="141" w:name="_Toc224979152"/>
      <w:bookmarkStart w:id="142" w:name="_Toc113088022"/>
      <w:bookmarkStart w:id="143" w:name="_Toc133507378"/>
      <w:bookmarkStart w:id="144" w:name="_Toc113348426"/>
      <w:bookmarkEnd w:id="136"/>
      <w:bookmarkEnd w:id="139"/>
      <w:r>
        <w:rPr/>
        <w:t>GSUB—The glyph substitution table</w:t>
      </w:r>
      <w:bookmarkEnd w:id="137"/>
      <w:bookmarkEnd w:id="138"/>
      <w:bookmarkEnd w:id="140"/>
      <w:bookmarkEnd w:id="141"/>
      <w:bookmarkEnd w:id="142"/>
      <w:bookmarkEnd w:id="143"/>
      <w:bookmarkEnd w:id="144"/>
      <w:r>
        <w:rPr/>
        <w:t xml:space="preserve"> </w:t>
      </w:r>
      <w:r>
        <w:rPr/>
        <w:t>[6.3.4]</w:t>
      </w:r>
    </w:p>
    <w:p>
      <w:pPr>
        <w:pStyle w:val="NormalWeb"/>
        <w:spacing w:before="280" w:after="280"/>
        <w:rPr/>
      </w:pPr>
      <w:r>
        <w:rPr>
          <w:rStyle w:val="Emphasis"/>
          <w:i w:val="false"/>
          <w:iCs w:val="false"/>
        </w:rPr>
        <w:t>After GSUB Header, Version 1.1 (just before 6.3.4.</w:t>
      </w:r>
      <w:r>
        <w:rPr>
          <w:rStyle w:val="Emphasis"/>
          <w:i w:val="false"/>
          <w:iCs w:val="false"/>
        </w:rPr>
        <w:t>3</w:t>
      </w:r>
      <w:r>
        <w:rPr>
          <w:rStyle w:val="Emphasis"/>
          <w:i w:val="false"/>
          <w:iCs w:val="false"/>
        </w:rPr>
        <w:t xml:space="preserve"> GSUB lookup type descriptions) add:</w:t>
      </w:r>
    </w:p>
    <w:p>
      <w:pPr>
        <w:pStyle w:val="NormalWeb"/>
        <w:spacing w:before="280" w:after="280"/>
        <w:rPr/>
      </w:pPr>
      <w:r>
        <w:rPr>
          <w:rStyle w:val="Emphasis"/>
        </w:rPr>
        <w:t>GSUB Header, Version</w:t>
      </w:r>
      <w:r>
        <w:rPr>
          <w:rStyle w:val="Emphasis"/>
          <w:shd w:fill="FFFF00" w:val="clear"/>
        </w:rPr>
        <w:t xml:space="preserve">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1934"/>
        <w:gridCol w:w="56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6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GSUB table, = </w:t>
            </w:r>
            <w: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GSUB table, =</w:t>
            </w:r>
            <w:r>
              <w:rPr>
                <w:color w:val="000000"/>
                <w:shd w:fill="FFFF00" w:val="clear"/>
              </w:rPr>
              <w:t xml:space="preserve"> </w:t>
            </w:r>
            <w:r>
              <w:rPr>
                <w:color w:val="000000"/>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GSUB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19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featureVariations</w:t>
            </w:r>
          </w:p>
        </w:tc>
        <w:tc>
          <w:tcPr>
            <w:tcW w:w="56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FeatureVariations table, from beginning of GSUB table (may be NULL)</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scriptList2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ffset to ScriptList t</w:t>
            </w:r>
            <w:r>
              <w:rPr>
                <w:shd w:fill="FFFF00" w:val="clear"/>
              </w:rPr>
              <w: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featureList2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FeatureList </w:t>
            </w:r>
            <w:r>
              <w:rPr>
                <w:shd w:fill="FFFF00" w:val="clear"/>
              </w:rPr>
              <w:t>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LookupList </w:t>
            </w:r>
            <w:r>
              <w:rPr>
                <w:shd w:fill="FFFF00" w:val="clear"/>
              </w:rPr>
              <w:t>t</w:t>
            </w:r>
            <w:r>
              <w:rPr>
                <w:shd w:fill="FFFF00" w:val="clear"/>
              </w:rPr>
              <w:t>able for use when offsets larger than 65535 are needed.</w:t>
            </w:r>
          </w:p>
        </w:tc>
      </w:tr>
    </w:tbl>
    <w:p>
      <w:pPr>
        <w:pStyle w:val="BodyText"/>
        <w:spacing w:before="1" w:after="283"/>
        <w:rPr>
          <w:shd w:fill="FFFF00" w:val="clear"/>
        </w:rPr>
      </w:pPr>
      <w:r>
        <w:rPr/>
      </w:r>
    </w:p>
    <w:p>
      <w:pPr>
        <w:pStyle w:val="Normal"/>
        <w:rPr>
          <w:shd w:fill="FFFF00" w:val="clear"/>
        </w:rPr>
      </w:pPr>
      <w:bookmarkStart w:id="145" w:name="docs-internal-guid-7ed6dd7e-7fff-f158-da"/>
      <w:bookmarkEnd w:id="145"/>
      <w:r>
        <w:rPr>
          <w:shd w:fill="FFFF00" w:val="clear"/>
        </w:rPr>
        <w:t xml:space="preserve">When minorVersion is 2, the offsets whose names end in 2, such as </w:t>
      </w:r>
      <w:r>
        <w:rPr>
          <w:shd w:fill="FFFF00" w:val="clear"/>
        </w:rPr>
        <w:t>feature</w:t>
      </w:r>
      <w:r>
        <w:rPr>
          <w:shd w:fill="FFFF00" w:val="clear"/>
        </w:rPr>
        <w:t>List2, are available for use when values greater than 65535 are needed. If such an offset is non-zero, the corresponding 16-bit offset shall be ignored.</w:t>
      </w:r>
    </w:p>
    <w:p>
      <w:pPr>
        <w:pStyle w:val="NormalWeb"/>
        <w:rPr/>
      </w:pPr>
      <w:r>
        <w:rPr/>
      </w:r>
    </w:p>
    <w:p>
      <w:pPr>
        <w:pStyle w:val="NOTE2"/>
        <w:rPr/>
      </w:pPr>
      <w:r>
        <w:rPr/>
        <w:t xml:space="preserve">After SingleSubstFormat2 subtable, and just before 6.3.3.3.2 LookupType 2, </w:t>
      </w:r>
      <w:r>
        <w:rPr>
          <w:rStyle w:val="Strong"/>
          <w:b w:val="false"/>
          <w:bCs w:val="false"/>
        </w:rPr>
        <w:t xml:space="preserve">Multiple substitution subtable, </w:t>
      </w:r>
      <w:r>
        <w:rPr>
          <w:rStyle w:val="Strong"/>
          <w:b w:val="false"/>
          <w:bCs w:val="false"/>
        </w:rPr>
        <w:t>a</w:t>
      </w:r>
      <w:r>
        <w:rPr/>
        <w:t>dd:</w:t>
      </w:r>
    </w:p>
    <w:p>
      <w:pPr>
        <w:pStyle w:val="NormalWeb"/>
        <w:spacing w:before="280" w:after="280"/>
        <w:rPr/>
      </w:pPr>
      <w:r>
        <w:rPr>
          <w:rStyle w:val="Strong"/>
          <w:shd w:fill="FFFF00" w:val="clear"/>
        </w:rPr>
        <w:t xml:space="preserve">Single substitution Format </w:t>
      </w:r>
      <w:r>
        <w:rPr>
          <w:rStyle w:val="Strong"/>
          <w:shd w:fill="FFFF00" w:val="clear"/>
        </w:rPr>
        <w:t>3</w:t>
      </w:r>
    </w:p>
    <w:p>
      <w:pPr>
        <w:pStyle w:val="NormalWeb"/>
        <w:rPr>
          <w:shd w:fill="FFFF00" w:val="clear"/>
        </w:rPr>
      </w:pPr>
      <w:r>
        <w:rPr>
          <w:shd w:fill="FFFF00" w:val="clear"/>
        </w:rPr>
        <w:t xml:space="preserve">Format 3 is based on Format 1. </w:t>
      </w:r>
      <w:r>
        <w:rPr>
          <w:shd w:fill="FFFF00" w:val="clear"/>
        </w:rPr>
        <w:t xml:space="preserve">In Format 1, the delta addition process affects only the lowest 16 bits of the glyph identifier. </w:t>
      </w:r>
      <w:r>
        <w:rPr>
          <w:shd w:fill="FFFF00" w:val="clear"/>
        </w:rPr>
        <w:t>In Format 3, the lower 24-bits are affected.</w:t>
      </w:r>
    </w:p>
    <w:p>
      <w:pPr>
        <w:pStyle w:val="NormalWeb"/>
        <w:spacing w:before="280" w:after="280"/>
        <w:rPr/>
      </w:pPr>
      <w:r>
        <w:rPr>
          <w:rStyle w:val="Emphasis"/>
          <w:shd w:fill="auto" w:val="clear"/>
        </w:rPr>
        <w:t>SingleSubstFormat</w:t>
      </w:r>
      <w:r>
        <w:rPr>
          <w:rStyle w:val="Emphasis"/>
          <w:shd w:fill="auto" w:val="clear"/>
        </w:rPr>
        <w:t>3</w:t>
      </w:r>
      <w:r>
        <w:rPr>
          <w:rStyle w:val="Emphasis"/>
          <w:shd w:fill="auto" w:val="clear"/>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int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deltaGlyphID</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Add to original glyph ID to get substitute glyph ID</w:t>
            </w:r>
          </w:p>
        </w:tc>
      </w:tr>
    </w:tbl>
    <w:p>
      <w:pPr>
        <w:pStyle w:val="NormalWeb"/>
        <w:spacing w:before="280" w:after="280"/>
        <w:rPr/>
      </w:pPr>
      <w:r>
        <w:rPr>
          <w:rStyle w:val="Strong"/>
          <w:shd w:fill="auto" w:val="clear"/>
        </w:rPr>
        <w:t xml:space="preserve">Single substitution Format </w:t>
      </w:r>
      <w:r>
        <w:rPr>
          <w:rStyle w:val="Strong"/>
          <w:shd w:fill="auto" w:val="clear"/>
        </w:rPr>
        <w:t>4</w:t>
      </w:r>
    </w:p>
    <w:p>
      <w:pPr>
        <w:pStyle w:val="NormalWeb"/>
        <w:rPr/>
      </w:pPr>
      <w:r>
        <w:rPr>
          <w:rStyle w:val="Strong"/>
          <w:b w:val="false"/>
          <w:bCs w:val="false"/>
          <w:shd w:fill="FFFF00" w:val="clear"/>
        </w:rPr>
        <w:t xml:space="preserve">Format </w:t>
      </w:r>
      <w:r>
        <w:rPr>
          <w:rStyle w:val="Strong"/>
          <w:b w:val="false"/>
          <w:bCs w:val="false"/>
          <w:shd w:fill="FFFF00" w:val="clear"/>
        </w:rPr>
        <w:t>4</w:t>
      </w:r>
      <w:r>
        <w:rPr>
          <w:rStyle w:val="Strong"/>
          <w:b w:val="false"/>
          <w:bCs w:val="false"/>
          <w:shd w:fill="FFFF00" w:val="clear"/>
        </w:rPr>
        <w:t xml:space="preserve"> is based on Format </w:t>
      </w:r>
      <w:r>
        <w:rPr>
          <w:rStyle w:val="Strong"/>
          <w:b w:val="false"/>
          <w:bCs w:val="false"/>
          <w:shd w:fill="FFFF00" w:val="clear"/>
        </w:rPr>
        <w:t>2</w:t>
      </w:r>
      <w:r>
        <w:rPr>
          <w:rStyle w:val="Strong"/>
          <w:b w:val="false"/>
          <w:bCs w:val="false"/>
          <w:shd w:fill="FFFF00" w:val="clear"/>
        </w:rPr>
        <w:t xml:space="preserve">. </w:t>
      </w:r>
      <w:r>
        <w:rPr>
          <w:rStyle w:val="Strong"/>
          <w:b w:val="false"/>
          <w:bCs w:val="false"/>
          <w:shd w:fill="FFFF00" w:val="clear"/>
        </w:rPr>
        <w:t xml:space="preserve">In Format </w:t>
      </w:r>
      <w:r>
        <w:rPr>
          <w:rStyle w:val="Strong"/>
          <w:b w:val="false"/>
          <w:bCs w:val="false"/>
          <w:shd w:fill="FFFF00" w:val="clear"/>
        </w:rPr>
        <w:t>2</w:t>
      </w:r>
      <w:r>
        <w:rPr>
          <w:rStyle w:val="Strong"/>
          <w:b w:val="false"/>
          <w:bCs w:val="false"/>
          <w:shd w:fill="FFFF00" w:val="clear"/>
        </w:rPr>
        <w:t xml:space="preserve">, the delta addition process affects only the lowest 16 bits of the glyph identifier. </w:t>
      </w:r>
      <w:r>
        <w:rPr>
          <w:rStyle w:val="Strong"/>
          <w:b w:val="false"/>
          <w:bCs w:val="false"/>
          <w:shd w:fill="FFFF00" w:val="clear"/>
        </w:rPr>
        <w:t xml:space="preserve">In Format </w:t>
      </w:r>
      <w:r>
        <w:rPr>
          <w:rStyle w:val="Strong"/>
          <w:b w:val="false"/>
          <w:bCs w:val="false"/>
          <w:shd w:fill="FFFF00" w:val="clear"/>
        </w:rPr>
        <w:t>4</w:t>
      </w:r>
      <w:r>
        <w:rPr>
          <w:rStyle w:val="Strong"/>
          <w:b w:val="false"/>
          <w:bCs w:val="false"/>
          <w:shd w:fill="FFFF00" w:val="clear"/>
        </w:rPr>
        <w:t>, the lower 24-bits are affected.</w:t>
      </w:r>
    </w:p>
    <w:p>
      <w:pPr>
        <w:pStyle w:val="NormalWeb"/>
        <w:spacing w:before="120" w:after="280"/>
        <w:rPr/>
      </w:pPr>
      <w:r>
        <w:rPr>
          <w:rStyle w:val="Emphasis"/>
          <w:shd w:fill="auto" w:val="clear"/>
        </w:rPr>
        <w:t>SingleSubstFormat</w:t>
      </w:r>
      <w:r>
        <w:rPr>
          <w:rStyle w:val="Emphasis"/>
          <w:shd w:fill="auto" w:val="clear"/>
        </w:rPr>
        <w:t>4</w:t>
      </w:r>
      <w:r>
        <w:rPr>
          <w:rStyle w:val="Emphasis"/>
          <w:shd w:fill="auto" w:val="clear"/>
        </w:rPr>
        <w:t xml:space="preserve"> subtable: Specified output glyph indices </w:t>
      </w:r>
    </w:p>
    <w:tbl>
      <w:tblPr>
        <w:tblW w:w="8706" w:type="dxa"/>
        <w:jc w:val="left"/>
        <w:tblInd w:w="0" w:type="dxa"/>
        <w:tblLayout w:type="fixed"/>
        <w:tblCellMar>
          <w:top w:w="0" w:type="dxa"/>
          <w:left w:w="108" w:type="dxa"/>
          <w:bottom w:w="0" w:type="dxa"/>
          <w:right w:w="108" w:type="dxa"/>
        </w:tblCellMar>
      </w:tblPr>
      <w:tblGrid>
        <w:gridCol w:w="1084"/>
        <w:gridCol w:w="2093"/>
        <w:gridCol w:w="552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5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0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5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5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Array of substitute glyph IDs – ordered by Coverage index</w:t>
            </w:r>
          </w:p>
        </w:tc>
      </w:tr>
    </w:tbl>
    <w:p>
      <w:pPr>
        <w:pStyle w:val="Heading5"/>
        <w:spacing w:before="280" w:after="240"/>
        <w:ind w:hanging="1080" w:left="1080"/>
        <w:rPr>
          <w:shd w:fill="auto" w:val="clear"/>
        </w:rPr>
      </w:pPr>
      <w:r>
        <w:rPr>
          <w:shd w:fill="auto" w:val="clear"/>
        </w:rPr>
      </w:r>
    </w:p>
    <w:p>
      <w:pPr>
        <w:pStyle w:val="Normal"/>
        <w:spacing w:before="280" w:after="240"/>
        <w:ind w:hanging="1080" w:left="1080"/>
        <w:rPr>
          <w:shd w:fill="auto" w:val="clear"/>
        </w:rPr>
      </w:pPr>
      <w:r>
        <w:rPr>
          <w:shd w:fill="auto" w:val="clear"/>
        </w:rPr>
        <w:t>At the end of subsection 6.3.4.3.2</w:t>
      </w:r>
      <w:r>
        <w:rPr>
          <w:b w:val="false"/>
          <w:bCs w:val="false"/>
          <w:shd w:fill="auto" w:val="clear"/>
        </w:rPr>
        <w:t xml:space="preserve"> </w:t>
      </w:r>
      <w:r>
        <w:rPr>
          <w:rStyle w:val="Strong"/>
          <w:b w:val="false"/>
          <w:bCs w:val="false"/>
          <w:shd w:fill="auto" w:val="clear"/>
        </w:rPr>
        <w:t>LookupType 2: Multiple substitution subtable, just before 6.3.4.3.3 LookupType 3, add:</w:t>
      </w:r>
    </w:p>
    <w:p>
      <w:pPr>
        <w:pStyle w:val="Normal"/>
        <w:spacing w:before="280" w:after="240"/>
        <w:ind w:hanging="1080" w:left="1080"/>
        <w:rPr>
          <w:rStyle w:val="Strong"/>
          <w:b w:val="false"/>
          <w:bCs w:val="false"/>
        </w:rPr>
      </w:pPr>
      <w:r>
        <w:rPr>
          <w:shd w:fill="auto" w:val="clear"/>
        </w:rPr>
      </w:r>
    </w:p>
    <w:p>
      <w:pPr>
        <w:pStyle w:val="NormalWeb"/>
        <w:spacing w:before="280" w:after="280"/>
        <w:rPr/>
      </w:pPr>
      <w:r>
        <w:rPr>
          <w:rStyle w:val="Strong"/>
          <w:shd w:fill="auto" w:val="clear"/>
        </w:rPr>
        <w:t>Multiple Substitution Format</w:t>
      </w:r>
      <w:r>
        <w:rPr>
          <w:rStyle w:val="Strong"/>
          <w:shd w:fill="auto" w:val="clear"/>
        </w:rPr>
        <w:t>2</w:t>
      </w:r>
      <w:r>
        <w:rPr>
          <w:rStyle w:val="Strong"/>
          <w:shd w:fill="auto" w:val="clear"/>
        </w:rPr>
        <w:t>: Multiple output glyphs</w:t>
      </w:r>
    </w:p>
    <w:p>
      <w:pPr>
        <w:pStyle w:val="Normal"/>
        <w:rPr>
          <w:shd w:fill="FFFF00" w:val="clear"/>
        </w:rPr>
      </w:pPr>
      <w:r>
        <w:rPr>
          <w:shd w:fill="auto" w:val="clear"/>
          <w:lang w:val="en-GB"/>
        </w:rPr>
        <w:t>The Multiple Substitution Format</w:t>
      </w:r>
      <w:r>
        <w:rPr>
          <w:shd w:fill="auto" w:val="clear"/>
          <w:lang w:val="en-GB"/>
        </w:rPr>
        <w:t>2</w:t>
      </w:r>
      <w:r>
        <w:rPr>
          <w:shd w:fill="auto" w:val="clear"/>
          <w:lang w:val="en-GB"/>
        </w:rPr>
        <w:t xml:space="preserve"> subtable specifies a format identifier (substFormat), an offset to a Coverage table that defines the input glyph indices, a count of offsets in the sequenceOffsets array (sequenceCount), and an array of offsets to Sequence tables that define the output glyph indices (sequenceOffsets). The Sequence table offsets are ordered by the Coverage index of the input glyphs.</w:t>
      </w:r>
    </w:p>
    <w:p>
      <w:pPr>
        <w:pStyle w:val="Normal"/>
        <w:rPr>
          <w:shd w:fill="FFFF00" w:val="clear"/>
        </w:rPr>
      </w:pPr>
      <w:r>
        <w:rPr>
          <w:shd w:fill="FFFF00" w:val="clear"/>
          <w:lang w:val="en-GB"/>
        </w:rPr>
        <w:t xml:space="preserve"> </w:t>
      </w:r>
      <w:r>
        <w:rPr>
          <w:shd w:fill="FFFF00" w:val="clear"/>
          <w:lang w:val="en-GB"/>
        </w:rPr>
        <w:t xml:space="preserve">Format 2 is identical to Format 1, except that 24-bit glyph IDs are </w:t>
      </w:r>
      <w:r>
        <w:rPr>
          <w:shd w:fill="FFFF00" w:val="clear"/>
          <w:lang w:val="en-GB"/>
        </w:rPr>
        <w:t>used</w:t>
      </w:r>
      <w:r>
        <w:rPr>
          <w:shd w:fill="FFFF00" w:val="clear"/>
          <w:lang w:val="en-GB"/>
        </w:rPr>
        <w:t>.</w:t>
      </w:r>
    </w:p>
    <w:p>
      <w:pPr>
        <w:pStyle w:val="NormalWeb"/>
        <w:spacing w:before="280" w:after="280"/>
        <w:rPr/>
      </w:pPr>
      <w:r>
        <w:rPr>
          <w:rStyle w:val="Emphasis"/>
          <w:shd w:fill="auto" w:val="clear"/>
        </w:rPr>
        <w:t>MultipleSubstFormat</w:t>
      </w:r>
      <w:r>
        <w:rPr>
          <w:rStyle w:val="Emphasis"/>
          <w:shd w:fill="auto" w:val="clear"/>
        </w:rPr>
        <w:t>2</w:t>
      </w:r>
      <w:r>
        <w:rPr>
          <w:rStyle w:val="Emphasis"/>
          <w:shd w:fill="auto" w:val="clear"/>
        </w:rPr>
        <w:t xml:space="preserve"> subtable:</w:t>
      </w:r>
    </w:p>
    <w:tbl>
      <w:tblPr>
        <w:tblW w:w="9125" w:type="dxa"/>
        <w:jc w:val="left"/>
        <w:tblInd w:w="0" w:type="dxa"/>
        <w:tblLayout w:type="fixed"/>
        <w:tblCellMar>
          <w:top w:w="0" w:type="dxa"/>
          <w:left w:w="108" w:type="dxa"/>
          <w:bottom w:w="0" w:type="dxa"/>
          <w:right w:w="108" w:type="dxa"/>
        </w:tblCellMar>
      </w:tblPr>
      <w:tblGrid>
        <w:gridCol w:w="1085"/>
        <w:gridCol w:w="1880"/>
        <w:gridCol w:w="6160"/>
      </w:tblGrid>
      <w:tr>
        <w:trPr/>
        <w:tc>
          <w:tcPr>
            <w:tcW w:w="10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8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61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8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616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2</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sequenceCount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Number of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 offsets in the sequenceOffsets array</w:t>
            </w:r>
          </w:p>
        </w:tc>
      </w:tr>
      <w:tr>
        <w:trPr/>
        <w:tc>
          <w:tcPr>
            <w:tcW w:w="10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sequenceOffsets</w:t>
              <w:br/>
              <w:t>[sequenceCount]</w:t>
            </w:r>
          </w:p>
        </w:tc>
        <w:tc>
          <w:tcPr>
            <w:tcW w:w="616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 xml:space="preserve">Array of offsets to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tables. Offsets are from beginning of substitution subtable, ordered by Coverage index</w:t>
            </w:r>
          </w:p>
        </w:tc>
      </w:tr>
    </w:tbl>
    <w:p>
      <w:pPr>
        <w:pStyle w:val="NormalWeb"/>
        <w:spacing w:before="0" w:after="280"/>
        <w:rPr/>
      </w:pPr>
      <w:r>
        <w:rPr>
          <w:rFonts w:cs="Arial" w:ascii="Arial" w:hAnsi="Arial"/>
          <w:shd w:fill="auto" w:val="clear"/>
          <w:lang w:val="en-GB"/>
        </w:rPr>
        <w:br/>
      </w:r>
      <w:r>
        <w:rPr>
          <w:rStyle w:val="Emphasis"/>
          <w:shd w:fill="auto" w:val="clear"/>
        </w:rPr>
        <w:t>Sequence</w:t>
      </w:r>
      <w:r>
        <w:rPr>
          <w:rStyle w:val="Emphasis"/>
          <w:shd w:fill="auto" w:val="clear"/>
        </w:rPr>
        <w:t>2</w:t>
      </w:r>
      <w:r>
        <w:rPr>
          <w:rStyle w:val="Emphasis"/>
          <w:shd w:fill="auto" w:val="clear"/>
        </w:rPr>
        <w:t xml:space="preserve"> table </w:t>
      </w:r>
    </w:p>
    <w:tbl>
      <w:tblPr>
        <w:tblW w:w="8897" w:type="dxa"/>
        <w:jc w:val="left"/>
        <w:tblInd w:w="0" w:type="dxa"/>
        <w:tblLayout w:type="fixed"/>
        <w:tblCellMar>
          <w:top w:w="0" w:type="dxa"/>
          <w:left w:w="108" w:type="dxa"/>
          <w:bottom w:w="0" w:type="dxa"/>
          <w:right w:w="108" w:type="dxa"/>
        </w:tblCellMar>
      </w:tblPr>
      <w:tblGrid>
        <w:gridCol w:w="911"/>
        <w:gridCol w:w="2094"/>
        <w:gridCol w:w="5892"/>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8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16</w:t>
            </w:r>
          </w:p>
        </w:tc>
        <w:tc>
          <w:tcPr>
            <w:tcW w:w="209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89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 This shall always be greater than 0.</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uint24</w:t>
            </w:r>
          </w:p>
        </w:tc>
        <w:tc>
          <w:tcPr>
            <w:tcW w:w="209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89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String of glyph IDs to substitute</w:t>
            </w:r>
          </w:p>
        </w:tc>
      </w:tr>
    </w:tbl>
    <w:p>
      <w:pPr>
        <w:pStyle w:val="NormalWeb"/>
        <w:rPr>
          <w:rStyle w:val="Strong"/>
          <w:b/>
          <w:bCs w:val="false"/>
          <w:shd w:fill="auto" w:val="clear"/>
          <w:lang w:val="en-GB"/>
        </w:rPr>
      </w:pPr>
      <w:r>
        <w:rPr/>
      </w:r>
    </w:p>
    <w:p>
      <w:pPr>
        <w:pStyle w:val="NormalWeb"/>
        <w:rPr>
          <w:lang w:val="en-GB"/>
        </w:rPr>
      </w:pPr>
      <w:r>
        <w:rPr>
          <w:lang w:val="en-GB"/>
        </w:rPr>
        <w:t xml:space="preserve">In section 6.3.4.3.3 LookupType 3 </w:t>
      </w:r>
      <w:r>
        <w:rPr>
          <w:rStyle w:val="Strong"/>
          <w:b w:val="false"/>
          <w:bCs w:val="false"/>
          <w:lang w:val="en-GB"/>
        </w:rPr>
        <w:t xml:space="preserve">Alternate substitution subtable </w:t>
      </w:r>
      <w:r>
        <w:rPr>
          <w:lang w:val="en-GB"/>
        </w:rPr>
        <w:t>ju</w:t>
      </w:r>
      <w:r>
        <w:rPr>
          <w:lang w:val="en-GB"/>
        </w:rPr>
        <w:t>st before the end (LookupType 4: Ligature substitution subtable is next), insert after the AlternateSet table:</w:t>
      </w:r>
    </w:p>
    <w:p>
      <w:pPr>
        <w:pStyle w:val="NormalWeb"/>
        <w:spacing w:before="280" w:after="280"/>
        <w:rPr/>
      </w:pPr>
      <w:r>
        <w:rPr>
          <w:rStyle w:val="Strong"/>
        </w:rPr>
        <w:t>Alternate Substitution Format</w:t>
      </w:r>
      <w:r>
        <w:rPr>
          <w:rStyle w:val="Strong"/>
        </w:rPr>
        <w:t>2</w:t>
      </w:r>
      <w:r>
        <w:rPr>
          <w:rStyle w:val="Strong"/>
        </w:rPr>
        <w:t>: Alternative output glyphs</w:t>
      </w:r>
    </w:p>
    <w:p>
      <w:pPr>
        <w:pStyle w:val="Normal"/>
        <w:rPr>
          <w:lang w:val="en-GB"/>
        </w:rPr>
      </w:pPr>
      <w:r>
        <w:rPr>
          <w:lang w:val="en-GB"/>
        </w:rPr>
        <w:t xml:space="preserve">The </w:t>
      </w:r>
      <w:r>
        <w:rPr>
          <w:iCs/>
          <w:lang w:val="en-GB"/>
        </w:rPr>
        <w:t>Alternate Substitution Format</w:t>
      </w:r>
      <w:r>
        <w:rPr>
          <w:iCs/>
          <w:lang w:val="en-GB"/>
        </w:rPr>
        <w:t>2</w:t>
      </w:r>
      <w:r>
        <w:rPr>
          <w:b/>
          <w:i/>
          <w:iCs/>
          <w:lang w:val="en-GB"/>
        </w:rPr>
        <w:t xml:space="preserve"> </w:t>
      </w:r>
      <w:r>
        <w:rPr>
          <w:lang w:val="en-GB"/>
        </w:rPr>
        <w:t xml:space="preserve">subtable contains a format identifier (substFormat), an offset to a Coverage table containing the indices of glyphs with alternative forms (coverageOffset), a count of offsets to AlternateSet tables (alternateSetCount), and an array of offsets to AlternateSet tables (alternateSetOffets). </w:t>
      </w:r>
      <w:r>
        <w:rPr>
          <w:lang w:val="en-GB"/>
        </w:rPr>
        <w:t>It is identical to the Format1 subtable, except for using 24-bit numbers.</w:t>
      </w:r>
    </w:p>
    <w:p>
      <w:pPr>
        <w:pStyle w:val="NormalWeb"/>
        <w:spacing w:before="280" w:after="280"/>
        <w:rPr/>
      </w:pPr>
      <w:r>
        <w:rPr>
          <w:rStyle w:val="Emphasis"/>
        </w:rPr>
        <w:t>AlternateSubstFormat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45"/>
        <w:gridCol w:w="547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4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alternateSetCount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AlternateSet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alternateSetOffsets</w:t>
              <w:br/>
              <w:t>[alternateSetCount]</w:t>
            </w:r>
          </w:p>
        </w:tc>
        <w:tc>
          <w:tcPr>
            <w:tcW w:w="54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AlternateSet</w:t>
            </w:r>
            <w:r>
              <w:rPr>
                <w:shd w:fill="FFFF00" w:val="clear"/>
              </w:rPr>
              <w:t>2</w:t>
            </w:r>
            <w:r>
              <w:rPr/>
              <w:t xml:space="preserve"> tables. Offsets are from beginning of substitution table, ordered by Coverage index</w:t>
            </w:r>
          </w:p>
        </w:tc>
      </w:tr>
    </w:tbl>
    <w:p>
      <w:pPr>
        <w:pStyle w:val="NormalWeb"/>
        <w:spacing w:before="280" w:after="280"/>
        <w:rPr/>
      </w:pPr>
      <w:r>
        <w:rPr>
          <w:rStyle w:val="Emphasis"/>
        </w:rPr>
        <w:t>AlternateSet</w:t>
      </w:r>
      <w:r>
        <w:rPr>
          <w:rStyle w:val="Emphasis"/>
        </w:rPr>
        <w:t>2</w:t>
      </w:r>
      <w:r>
        <w:rPr>
          <w:rStyle w:val="Emphasis"/>
        </w:rPr>
        <w:t xml:space="preserve"> </w:t>
      </w:r>
      <w:r>
        <w:rPr>
          <w:rStyle w:val="Emphasis"/>
        </w:rPr>
        <w:t>T</w:t>
      </w:r>
      <w:r>
        <w:rPr>
          <w:rStyle w:val="Emphasis"/>
        </w:rPr>
        <w:t xml:space="preserve">able </w:t>
      </w:r>
    </w:p>
    <w:tbl>
      <w:tblPr>
        <w:tblW w:w="8706" w:type="dxa"/>
        <w:jc w:val="left"/>
        <w:tblInd w:w="0" w:type="dxa"/>
        <w:tblLayout w:type="fixed"/>
        <w:tblCellMar>
          <w:top w:w="0" w:type="dxa"/>
          <w:left w:w="108" w:type="dxa"/>
          <w:bottom w:w="0" w:type="dxa"/>
          <w:right w:w="108" w:type="dxa"/>
        </w:tblCellMar>
      </w:tblPr>
      <w:tblGrid>
        <w:gridCol w:w="912"/>
        <w:gridCol w:w="3237"/>
        <w:gridCol w:w="455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3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55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alternateGlyphIDs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23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alternateGlyphIDs[glyphCount]</w:t>
            </w:r>
          </w:p>
        </w:tc>
        <w:tc>
          <w:tcPr>
            <w:tcW w:w="455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alternate glyph IDs, in arbitrary order</w:t>
            </w:r>
          </w:p>
        </w:tc>
      </w:tr>
    </w:tbl>
    <w:p>
      <w:pPr>
        <w:pStyle w:val="NormalWeb"/>
        <w:rPr>
          <w:rStyle w:val="Strong"/>
        </w:rPr>
      </w:pPr>
      <w:r>
        <w:rPr/>
      </w:r>
    </w:p>
    <w:p>
      <w:pPr>
        <w:pStyle w:val="NormalWeb"/>
        <w:rPr/>
      </w:pPr>
      <w:r>
        <w:rPr>
          <w:rStyle w:val="Strong"/>
          <w:b w:val="false"/>
          <w:bCs w:val="false"/>
          <w:lang w:val="en-GB"/>
        </w:rPr>
        <w:t>At the end of subsection 6.3.4.3.4 L</w:t>
      </w:r>
      <w:r>
        <w:rPr>
          <w:rStyle w:val="Strong"/>
          <w:b w:val="false"/>
          <w:bCs w:val="false"/>
          <w:lang w:val="en-GB"/>
        </w:rPr>
        <w:t xml:space="preserve">ookupType 4: Ligature substitution subtable, </w:t>
      </w:r>
      <w:r>
        <w:rPr>
          <w:rStyle w:val="Strong"/>
          <w:b w:val="false"/>
          <w:bCs w:val="false"/>
          <w:lang w:val="en-GB"/>
        </w:rPr>
        <w:t xml:space="preserve">just before section 6.3.4.3.5 Substitution Lookup Record, </w:t>
      </w:r>
      <w:r>
        <w:rPr>
          <w:rStyle w:val="Strong"/>
          <w:b w:val="false"/>
          <w:bCs w:val="false"/>
          <w:shd w:fill="00FFFF" w:val="clear"/>
          <w:lang w:val="en-GB"/>
        </w:rPr>
        <w:t>in LigatureSet table fix LigatureSet to have ligatureOffsets and not ligatureSetOffsets</w:t>
      </w:r>
    </w:p>
    <w:p>
      <w:pPr>
        <w:pStyle w:val="NormalWeb"/>
        <w:rPr/>
      </w:pPr>
      <w:r>
        <w:rPr>
          <w:rStyle w:val="Strong"/>
          <w:b w:val="false"/>
          <w:bCs w:val="false"/>
          <w:lang w:val="en-GB"/>
        </w:rPr>
        <w:t xml:space="preserve">add </w:t>
      </w:r>
      <w:r>
        <w:rPr>
          <w:rStyle w:val="Strong"/>
          <w:b w:val="false"/>
          <w:bCs w:val="false"/>
          <w:lang w:val="en-GB"/>
        </w:rPr>
        <w:t>then add:</w:t>
      </w:r>
    </w:p>
    <w:p>
      <w:pPr>
        <w:pStyle w:val="NormalWeb"/>
        <w:spacing w:before="280" w:after="280"/>
        <w:rPr/>
      </w:pPr>
      <w:r>
        <w:rPr>
          <w:rStyle w:val="Strong"/>
        </w:rPr>
        <w:t>Ligature Substitution Format</w:t>
      </w:r>
      <w:r>
        <w:rPr>
          <w:rStyle w:val="Strong"/>
        </w:rPr>
        <w:t>2</w:t>
      </w:r>
      <w:r>
        <w:rPr>
          <w:rStyle w:val="Strong"/>
        </w:rPr>
        <w:t>: All ligature substitutions in a script</w:t>
      </w:r>
    </w:p>
    <w:p>
      <w:pPr>
        <w:pStyle w:val="Normal"/>
        <w:rPr>
          <w:lang w:val="en-GB"/>
        </w:rPr>
      </w:pPr>
      <w:r>
        <w:rPr>
          <w:lang w:val="en-GB"/>
        </w:rPr>
        <w:t>The Ligature Substitution Format2 subtable</w:t>
      </w:r>
      <w:r>
        <w:rPr>
          <w:lang w:val="en-GB"/>
        </w:rPr>
        <w:t xml:space="preserve"> contains a format identifier (substFormat), a Coverage table offset (coverageOffset), a count of the ligature sets defined in this table (ligatureSetCount), and an array of offsets to LigatureSet tables (ligatureSetOffsets). The Coverage table specifies only the index of the first glyph component of each ligature set. </w:t>
      </w:r>
      <w:r>
        <w:rPr>
          <w:lang w:val="en-GB"/>
        </w:rPr>
        <w:t>The Format2 version is identical to the Format1 version except for supporting 24-bit instead of 16-bit numbers.</w:t>
      </w:r>
    </w:p>
    <w:p>
      <w:pPr>
        <w:pStyle w:val="NormalWeb"/>
        <w:spacing w:before="120" w:after="280"/>
        <w:rPr/>
      </w:pPr>
      <w:r>
        <w:rPr>
          <w:rStyle w:val="Emphasis"/>
        </w:rPr>
        <w:t>LigatureSubstFormat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24"/>
        <w:gridCol w:w="559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ligatureSetCount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LigatureSet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ligatureSetOffsets</w:t>
              <w:br/>
              <w:t>[ligatureSetCount]</w:t>
            </w:r>
          </w:p>
        </w:tc>
        <w:tc>
          <w:tcPr>
            <w:tcW w:w="55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LigatureSet</w:t>
            </w:r>
            <w:r>
              <w:rPr>
                <w:shd w:fill="FFFF00" w:val="clear"/>
              </w:rPr>
              <w:t>2</w:t>
            </w:r>
            <w:r>
              <w:rPr/>
              <w:t xml:space="preserve"> tables. Offsets are from </w:t>
            </w:r>
            <w:r>
              <w:rPr/>
              <w:t xml:space="preserve">the </w:t>
            </w:r>
            <w:r>
              <w:rPr/>
              <w:t xml:space="preserve">beginning of </w:t>
            </w:r>
            <w:r>
              <w:rPr/>
              <w:t xml:space="preserve">the </w:t>
            </w:r>
            <w:r>
              <w:rPr/>
              <w:t>substitution subtable, ordered by Coverage index</w:t>
            </w:r>
          </w:p>
        </w:tc>
      </w:tr>
    </w:tbl>
    <w:p>
      <w:pPr>
        <w:pStyle w:val="Normal"/>
        <w:spacing w:before="280" w:after="240"/>
        <w:rPr>
          <w:lang w:val="en-GB"/>
        </w:rPr>
      </w:pPr>
      <w:r>
        <w:rPr>
          <w:lang w:val="en-GB"/>
        </w:rPr>
        <w:t xml:space="preserve">A </w:t>
      </w:r>
      <w:r>
        <w:rPr>
          <w:shd w:fill="FFFF00" w:val="clear"/>
          <w:lang w:val="en-GB"/>
        </w:rPr>
        <w:t>LigatureSet</w:t>
      </w:r>
      <w:r>
        <w:rPr>
          <w:shd w:fill="FFFF00" w:val="clear"/>
          <w:lang w:val="en-GB"/>
        </w:rPr>
        <w:t>2</w:t>
      </w:r>
      <w:r>
        <w:rPr>
          <w:lang w:val="en-GB"/>
        </w:rPr>
        <w:t xml:space="preserve"> table, one for each covered glyph, specifies all the ligature strings that begin with the covered glyph. For example, if the Coverage table lists the glyph index for a lowercase "f", then a LigatureSet table will define the "ffl", "fl", "ffi", "fi", and "ff" ligatures. If the Coverage table also lists the glyph index for a lowercase "e", then a different </w:t>
      </w:r>
      <w:r>
        <w:rPr>
          <w:shd w:fill="FFFF00" w:val="clear"/>
          <w:lang w:val="en-GB"/>
        </w:rPr>
        <w:t>LigatureSet</w:t>
      </w:r>
      <w:r>
        <w:rPr>
          <w:shd w:fill="FFFF00" w:val="clear"/>
          <w:lang w:val="en-GB"/>
        </w:rPr>
        <w:t>2</w:t>
      </w:r>
      <w:r>
        <w:rPr>
          <w:lang w:val="en-GB"/>
        </w:rPr>
        <w:t xml:space="preserve"> table will define the "etc" ligature.</w:t>
      </w:r>
    </w:p>
    <w:p>
      <w:pPr>
        <w:pStyle w:val="Normal"/>
        <w:rPr>
          <w:lang w:val="en-GB"/>
        </w:rPr>
      </w:pPr>
      <w:r>
        <w:rPr>
          <w:lang w:val="en-GB"/>
        </w:rPr>
        <w:t xml:space="preserve">A </w:t>
      </w:r>
      <w:r>
        <w:rPr>
          <w:shd w:fill="FFFF00" w:val="clear"/>
          <w:lang w:val="en-GB"/>
        </w:rPr>
        <w:t>LigatureSet</w:t>
      </w:r>
      <w:r>
        <w:rPr>
          <w:shd w:fill="FFFF00" w:val="clear"/>
          <w:lang w:val="en-GB"/>
        </w:rPr>
        <w:t>2</w:t>
      </w:r>
      <w:r>
        <w:rPr>
          <w:lang w:val="en-GB"/>
        </w:rPr>
        <w:t xml:space="preserve"> table consists of a count of the ligatures that begin with the covered glyph (ligatureCount) and an array of offsets (ligatureSetOffsets) to Ligature tables, which define the glyphs in each ligature. The order in the Ligature offset array defines the preference for using the ligatures. For example, if the "ffl" ligature is preferable to the "ff" ligature, then the Ligature array would list the offset to the "ffl" Ligature table before the offset to the "ff" Ligature table.</w:t>
      </w:r>
    </w:p>
    <w:p>
      <w:pPr>
        <w:pStyle w:val="NormalWeb"/>
        <w:spacing w:before="120" w:after="280"/>
        <w:rPr/>
      </w:pPr>
      <w:r>
        <w:rPr>
          <w:rStyle w:val="Emphasis"/>
        </w:rPr>
        <w:t>LigatureSet</w:t>
      </w:r>
      <w:r>
        <w:rPr>
          <w:rStyle w:val="Emphasis"/>
        </w:rPr>
        <w:t>2</w:t>
      </w:r>
      <w:r>
        <w:rPr>
          <w:rStyle w:val="Emphasis"/>
        </w:rPr>
        <w:t xml:space="preserve"> table: All ligatures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958"/>
        <w:gridCol w:w="566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5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66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shd w:fill="00FFFF" w:val="clear"/>
              </w:rPr>
              <w:t>ligatureOffsets</w:t>
            </w:r>
            <w:r>
              <w:rPr/>
              <w:br/>
              <w:t>[ligatureCount]</w:t>
            </w:r>
          </w:p>
        </w:tc>
        <w:tc>
          <w:tcPr>
            <w:tcW w:w="566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24-bit</w:t>
            </w:r>
            <w:r>
              <w:rPr/>
              <w:t xml:space="preserve"> </w:t>
            </w:r>
            <w:r>
              <w:rPr/>
              <w:t xml:space="preserve">Ligature tables. Offsets are from </w:t>
            </w:r>
            <w:r>
              <w:rPr/>
              <w:t xml:space="preserve">the </w:t>
            </w:r>
            <w:r>
              <w:rPr/>
              <w:t xml:space="preserve">beginning of </w:t>
            </w:r>
            <w:r>
              <w:rPr/>
              <w:t xml:space="preserve">the </w:t>
            </w:r>
            <w:r>
              <w:rPr/>
              <w:t xml:space="preserve"> </w:t>
            </w:r>
            <w:r>
              <w:rPr>
                <w:shd w:fill="FFFF00" w:val="clear"/>
              </w:rPr>
              <w:t>LigatureSet</w:t>
            </w:r>
            <w:r>
              <w:rPr>
                <w:shd w:fill="FFFF00" w:val="clear"/>
              </w:rPr>
              <w:t>2</w:t>
            </w:r>
            <w:r>
              <w:rPr/>
              <w:t xml:space="preserve"> table, ordered by preference</w:t>
            </w:r>
          </w:p>
        </w:tc>
      </w:tr>
    </w:tbl>
    <w:p>
      <w:pPr>
        <w:pStyle w:val="Normal"/>
        <w:spacing w:before="280" w:after="240"/>
        <w:rPr>
          <w:lang w:val="en-GB"/>
        </w:rPr>
      </w:pPr>
      <w:r>
        <w:rPr>
          <w:lang w:val="en-GB"/>
        </w:rPr>
        <w:t>For each ligature in the set, a Ligature table specifies the glyph ID of the output ligature glyph (ligatureGlyph); a count of the total number of component glyphs in the ligature, including the first component (componentCount); and an array of glyph IDs for the components (componentGlyphIDs). The array starts with the second component glyph in the ligature (glyph sequnce index = 1, componentGlyphIDs array index = 0) because the first component glyph is specified in the Coverage table.</w:t>
      </w:r>
    </w:p>
    <w:p>
      <w:pPr>
        <w:pStyle w:val="NOTE2"/>
        <w:spacing w:before="280" w:after="280"/>
        <w:rPr/>
      </w:pPr>
      <w:r>
        <w:rPr/>
        <w:t>NOTE</w:t>
      </w:r>
      <w:r>
        <w:rPr>
          <w:i/>
        </w:rPr>
        <w:tab/>
      </w:r>
      <w:r>
        <w:rPr/>
        <w:t>The componentGlyphIDs array lists glyph IDs according to the writing direction – that is, the logical order – of the text. For text written right to left, the right-most glyph will be first. Conversely, for text written left to right, the left-most glyph will be first.</w:t>
      </w:r>
    </w:p>
    <w:p>
      <w:pPr>
        <w:pStyle w:val="Normal"/>
        <w:rPr>
          <w:lang w:val="en-GB"/>
        </w:rPr>
      </w:pPr>
      <w:r>
        <w:rPr>
          <w:lang w:val="en-GB"/>
        </w:rPr>
        <w:t>Example 6 at the end of this clause shows how to replace a string of glyphs with a single ligature.</w:t>
      </w:r>
    </w:p>
    <w:p>
      <w:pPr>
        <w:pStyle w:val="NormalWeb"/>
        <w:spacing w:before="120" w:after="280"/>
        <w:rPr/>
      </w:pPr>
      <w:r>
        <w:rPr>
          <w:rStyle w:val="Emphasis"/>
        </w:rPr>
        <w:t xml:space="preserve">Ligature table </w:t>
      </w:r>
      <w:r>
        <w:rPr>
          <w:rStyle w:val="Emphasis"/>
        </w:rPr>
        <w:t>(24-bit)</w:t>
      </w:r>
      <w:r>
        <w:rPr>
          <w:rStyle w:val="Emphasis"/>
        </w:rPr>
        <w:t xml:space="preserve">: Glyph components for one ligature </w:t>
      </w:r>
    </w:p>
    <w:tbl>
      <w:tblPr>
        <w:tblW w:w="8706" w:type="dxa"/>
        <w:jc w:val="left"/>
        <w:tblInd w:w="0" w:type="dxa"/>
        <w:tblLayout w:type="fixed"/>
        <w:tblCellMar>
          <w:top w:w="0" w:type="dxa"/>
          <w:left w:w="108" w:type="dxa"/>
          <w:bottom w:w="0" w:type="dxa"/>
          <w:right w:w="108" w:type="dxa"/>
        </w:tblCellMar>
      </w:tblPr>
      <w:tblGrid>
        <w:gridCol w:w="912"/>
        <w:gridCol w:w="2357"/>
        <w:gridCol w:w="543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ligatureGlyph</w:t>
            </w:r>
          </w:p>
        </w:tc>
        <w:tc>
          <w:tcPr>
            <w:tcW w:w="543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ID of ligature to substitute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componentCount</w:t>
            </w:r>
          </w:p>
        </w:tc>
        <w:tc>
          <w:tcPr>
            <w:tcW w:w="543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components in the ligature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componentGlyphIDs</w:t>
              <w:br/>
              <w:t>[componentCount - 1]</w:t>
            </w:r>
          </w:p>
        </w:tc>
        <w:tc>
          <w:tcPr>
            <w:tcW w:w="543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component glyph IDs – start with the second component, ordered in writing direction</w:t>
            </w:r>
          </w:p>
        </w:tc>
      </w:tr>
    </w:tbl>
    <w:p>
      <w:pPr>
        <w:pStyle w:val="NormalWeb"/>
        <w:rPr>
          <w:rStyle w:val="Strong"/>
        </w:rPr>
      </w:pPr>
      <w:r>
        <w:rPr/>
      </w:r>
    </w:p>
    <w:p>
      <w:pPr>
        <w:pStyle w:val="NormalWeb"/>
        <w:rPr/>
      </w:pPr>
      <w:r>
        <w:rPr/>
        <w:t xml:space="preserve">At the end of 6.3.4.3.6, just before </w:t>
      </w:r>
      <w:r>
        <w:rPr/>
        <w:t xml:space="preserve">6.3.4.3.7 </w:t>
      </w:r>
      <w:r>
        <w:rPr/>
        <w:t xml:space="preserve">LookupType 6: Chaining contextual substitution subtable, insert </w:t>
      </w:r>
      <w:r>
        <w:rPr/>
        <w:t>the following two subsections:</w:t>
      </w:r>
    </w:p>
    <w:p>
      <w:pPr>
        <w:pStyle w:val="NormalWeb"/>
        <w:spacing w:before="120" w:after="280"/>
        <w:rPr/>
      </w:pPr>
      <w:r>
        <w:rPr>
          <w:rStyle w:val="Strong"/>
        </w:rPr>
        <w:t xml:space="preserve">Context substitution Format </w:t>
      </w:r>
      <w:r>
        <w:rPr>
          <w:rStyle w:val="Strong"/>
        </w:rPr>
        <w:t>4</w:t>
      </w:r>
      <w:r>
        <w:rPr>
          <w:rStyle w:val="Strong"/>
        </w:rPr>
        <w:t>: Simple Glyph Contexts</w:t>
      </w:r>
    </w:p>
    <w:p>
      <w:pPr>
        <w:pStyle w:val="Normal"/>
        <w:rPr>
          <w:lang w:val="en-GB"/>
        </w:rPr>
      </w:pPr>
      <w:r>
        <w:rPr>
          <w:lang w:val="en-GB"/>
        </w:rPr>
        <w:t xml:space="preserve">Format </w:t>
      </w:r>
      <w:r>
        <w:rPr>
          <w:lang w:val="en-GB"/>
        </w:rPr>
        <w:t>4</w:t>
      </w:r>
      <w:r>
        <w:rPr>
          <w:lang w:val="en-GB"/>
        </w:rPr>
        <w:t xml:space="preserve"> defines the context for a glyph substitution as a particular sequence of glyphs. </w:t>
      </w:r>
      <w:r>
        <w:rPr>
          <w:lang w:val="en-GB"/>
        </w:rPr>
        <w:t>Format 4 is based on Format 1, but uses 24-bit instead of 16-bit integers.</w:t>
      </w:r>
    </w:p>
    <w:p>
      <w:pPr>
        <w:pStyle w:val="NormalWeb"/>
        <w:spacing w:before="120" w:after="280"/>
        <w:rPr/>
      </w:pPr>
      <w:r>
        <w:rPr>
          <w:rStyle w:val="Emphasis"/>
        </w:rPr>
        <w:t>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5"/>
        <w:gridCol w:w="556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6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6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subRuleSetCount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subRuleSetOffsets</w:t>
              <w:br/>
              <w:t>[subRuleSetCount]</w:t>
            </w:r>
          </w:p>
        </w:tc>
        <w:tc>
          <w:tcPr>
            <w:tcW w:w="556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lang w:val="en-GB"/>
        </w:rPr>
      </w:pPr>
      <w:r>
        <w:rPr/>
      </w:r>
    </w:p>
    <w:p>
      <w:pPr>
        <w:pStyle w:val="NormalWeb"/>
        <w:spacing w:before="120" w:after="280"/>
        <w:rPr/>
      </w:pPr>
      <w:r>
        <w:rPr>
          <w:rStyle w:val="Emphasis"/>
        </w:rPr>
        <w:t>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763"/>
        <w:gridCol w:w="585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7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subRuleCount</w:t>
            </w:r>
          </w:p>
        </w:tc>
        <w:tc>
          <w:tcPr>
            <w:tcW w:w="585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SubRule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7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subRuleOffsets</w:t>
              <w:br/>
              <w:t>[subRuleCount]</w:t>
            </w:r>
          </w:p>
        </w:tc>
        <w:tc>
          <w:tcPr>
            <w:tcW w:w="585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SubRule tables. Offsets are from beginning of SubRuleSet table, ordered by preference</w:t>
            </w:r>
          </w:p>
        </w:tc>
      </w:tr>
    </w:tbl>
    <w:p>
      <w:pPr>
        <w:pStyle w:val="NormalWeb"/>
        <w:spacing w:before="120" w:after="280"/>
        <w:rPr>
          <w:rStyle w:val="Emphasis"/>
        </w:rPr>
      </w:pPr>
      <w:r>
        <w:rPr/>
      </w:r>
    </w:p>
    <w:p>
      <w:pPr>
        <w:pStyle w:val="NormalWeb"/>
        <w:spacing w:before="120" w:after="280"/>
        <w:rPr/>
      </w:pPr>
      <w:r>
        <w:rPr>
          <w:rStyle w:val="Emphasis"/>
        </w:rPr>
        <w:t>SubRule</w:t>
      </w:r>
      <w:r>
        <w:rPr>
          <w:rStyle w:val="Emphasis"/>
        </w:rPr>
        <w:t>2</w:t>
      </w:r>
      <w:r>
        <w:rPr>
          <w:rStyle w:val="Emphasis"/>
        </w:rPr>
        <w:t xml:space="preserve"> table: One simple context definition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input glyph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lang w:val="en-GB"/>
        </w:rPr>
      </w:pPr>
      <w:r>
        <w:rPr/>
      </w:r>
    </w:p>
    <w:p>
      <w:pPr>
        <w:pStyle w:val="NormalWeb"/>
        <w:spacing w:before="280" w:after="280"/>
        <w:rPr/>
      </w:pP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 is based on Context substitution format 2, which is</w:t>
      </w:r>
      <w:r>
        <w:rPr>
          <w:lang w:val="en-GB"/>
        </w:rPr>
        <w:t xml:space="preserve"> a more flexible format than Format 1. </w:t>
      </w:r>
      <w:r>
        <w:rPr>
          <w:lang w:val="en-GB"/>
        </w:rPr>
        <w:t>In Format 5, 24-bit numbers are used instead of 16-bit numbers, for glyph IDs and offsets, where needed.</w:t>
      </w:r>
    </w:p>
    <w:p>
      <w:pPr>
        <w:pStyle w:val="Normal"/>
        <w:rPr/>
      </w:pP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10"/>
        <w:gridCol w:w="551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1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subClassSetCount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subClassSetOffsets</w:t>
              <w:br/>
              <w:t>[subClassSetCount]</w:t>
            </w:r>
          </w:p>
        </w:tc>
        <w:tc>
          <w:tcPr>
            <w:tcW w:w="55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SubClassSet</w:t>
            </w:r>
            <w:r>
              <w:rPr>
                <w:shd w:fill="FFFF00" w:val="clear"/>
              </w:rPr>
              <w:t>2</w:t>
            </w:r>
            <w:r>
              <w:rPr/>
              <w:t xml:space="preserve"> tables. Offsets are from beginning of substitution subtable, ordered by class (may be NULL)</w:t>
            </w:r>
          </w:p>
        </w:tc>
      </w:tr>
    </w:tbl>
    <w:p>
      <w:pPr>
        <w:pStyle w:val="Normal"/>
        <w:spacing w:before="280" w:after="240"/>
        <w:rPr>
          <w:lang w:val="en-GB"/>
        </w:rPr>
      </w:pPr>
      <w:r>
        <w:rPr>
          <w:lang w:val="en-GB"/>
        </w:rPr>
        <w:t xml:space="preserve">Each context is defined in a SubClassRule table, and all SubClassRules that specify contexts beginning with the same class value are grouped in a </w:t>
      </w:r>
      <w:r>
        <w:rPr>
          <w:shd w:fill="FFFF00" w:val="clear"/>
          <w:lang w:val="en-GB"/>
        </w:rPr>
        <w:t>SubClassSet</w:t>
      </w:r>
      <w:r>
        <w:rPr>
          <w:shd w:fill="FFFF00" w:val="clear"/>
          <w:lang w:val="en-GB"/>
        </w:rPr>
        <w:t>2</w:t>
      </w:r>
      <w:r>
        <w:rPr>
          <w:lang w:val="en-GB"/>
        </w:rPr>
        <w:t xml:space="preserve"> table. Consequently, the SubClassSet containing a context identifies a context's first class component.</w:t>
      </w:r>
    </w:p>
    <w:p>
      <w:pPr>
        <w:pStyle w:val="Normal"/>
        <w:rPr>
          <w:lang w:val="en-GB"/>
        </w:rPr>
      </w:pPr>
      <w:r>
        <w:rPr>
          <w:lang w:val="en-GB"/>
        </w:rPr>
        <w:t>Each SubClassSet table consists of a count of the SubClassRule tables defined in the SubClassSet (subClassRuleCount) and an array of offsets to SubClassRule tables (subClassRuleOffsets). The SubClassRule tables are ordered by preference in the SubClassRule array of the SubClassSet.</w:t>
      </w:r>
    </w:p>
    <w:p>
      <w:pPr>
        <w:pStyle w:val="NormalWeb"/>
        <w:keepNext w:val="true"/>
        <w:spacing w:before="280" w:after="280"/>
        <w:rPr/>
      </w:pPr>
      <w:r>
        <w:rPr>
          <w:rStyle w:val="Emphasis"/>
        </w:rPr>
        <w:t>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44"/>
        <w:gridCol w:w="537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subClassRuleCount</w:t>
            </w:r>
          </w:p>
        </w:tc>
        <w:tc>
          <w:tcPr>
            <w:tcW w:w="537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subClassRuleOffsets</w:t>
              <w:br/>
              <w:t>[subClassRuleCount]</w:t>
            </w:r>
          </w:p>
        </w:tc>
        <w:tc>
          <w:tcPr>
            <w:tcW w:w="537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SubClassRule</w:t>
            </w:r>
            <w:r>
              <w:rPr>
                <w:shd w:fill="FFFF00" w:val="clear"/>
              </w:rPr>
              <w:t>2</w:t>
            </w:r>
            <w:r>
              <w:rPr/>
              <w:t xml:space="preserve"> tables. Offsets are from beginning of </w:t>
            </w:r>
            <w:r>
              <w:rPr>
                <w:shd w:fill="FFFF00" w:val="clear"/>
              </w:rPr>
              <w:t>SubClassSet</w:t>
            </w:r>
            <w:r>
              <w:rPr>
                <w:shd w:fill="FFFF00" w:val="clear"/>
              </w:rPr>
              <w:t>2</w:t>
            </w:r>
            <w:r>
              <w:rPr/>
              <w:t>, ordered by preference</w:t>
            </w:r>
          </w:p>
        </w:tc>
      </w:tr>
    </w:tbl>
    <w:p>
      <w:pPr>
        <w:pStyle w:val="NormalWeb"/>
        <w:spacing w:before="280" w:after="280"/>
        <w:rPr/>
      </w:pPr>
      <w:r>
        <w:rPr>
          <w:rStyle w:val="Emphasis"/>
        </w:rPr>
        <w:t>SubClassRule</w:t>
      </w:r>
      <w:r>
        <w:rPr>
          <w:rStyle w:val="Emphasis"/>
        </w:rPr>
        <w:t>2</w:t>
      </w:r>
      <w:r>
        <w:rPr>
          <w:rStyle w:val="Emphasis"/>
        </w:rPr>
        <w:t xml:space="preserve"> table: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classes specified for the context in the rule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Substitution lookups, in design order</w:t>
            </w:r>
          </w:p>
        </w:tc>
      </w:tr>
    </w:tbl>
    <w:p>
      <w:pPr>
        <w:pStyle w:val="NormalWeb"/>
        <w:spacing w:before="280" w:after="280"/>
        <w:rPr>
          <w:rStyle w:val="Strong"/>
          <w:lang w:val="en-GB"/>
        </w:rPr>
      </w:pPr>
      <w:r>
        <w:rPr/>
      </w:r>
    </w:p>
    <w:p>
      <w:pPr>
        <w:pStyle w:val="NormalWeb"/>
        <w:spacing w:before="280" w:after="280"/>
        <w:rPr>
          <w:rStyle w:val="Strong"/>
          <w:lang w:val="en-GB"/>
        </w:rPr>
      </w:pPr>
      <w:r>
        <w:rPr/>
      </w:r>
    </w:p>
    <w:p>
      <w:pPr>
        <w:pStyle w:val="NormalWeb"/>
        <w:rPr/>
      </w:pPr>
      <w:r>
        <w:rPr>
          <w:rStyle w:val="Strong"/>
          <w:b w:val="false"/>
          <w:bCs w:val="false"/>
          <w:lang w:val="en-GB"/>
        </w:rPr>
        <w:t>At the end of 6.3.4.3.7 LookupType 6: Chaining contextual substitution subtable, just before 6.3.4.3.8 LookupType 7: Extension substitution, insert the followin</w:t>
      </w:r>
      <w:r>
        <w:rPr>
          <w:rStyle w:val="Strong"/>
          <w:b w:val="false"/>
          <w:bCs w:val="false"/>
          <w:lang w:val="en-GB"/>
        </w:rPr>
        <w:t>g</w:t>
      </w:r>
      <w:r>
        <w:rPr>
          <w:rStyle w:val="Strong"/>
          <w:b w:val="false"/>
          <w:bCs w:val="false"/>
          <w:lang w:val="en-GB"/>
        </w:rPr>
        <w:t xml:space="preserve"> two subsections:</w:t>
      </w:r>
    </w:p>
    <w:p>
      <w:pPr>
        <w:pStyle w:val="NormalWeb"/>
        <w:rPr>
          <w:rStyle w:val="Strong"/>
          <w:b w:val="false"/>
          <w:bCs w:val="false"/>
          <w:lang w:val="en-GB"/>
        </w:rPr>
      </w:pPr>
      <w:r>
        <w:rPr/>
      </w:r>
    </w:p>
    <w:p>
      <w:pPr>
        <w:pStyle w:val="NormalWeb"/>
        <w:spacing w:before="280" w:after="280"/>
        <w:rPr/>
      </w:pPr>
      <w:r>
        <w:rPr>
          <w:rStyle w:val="Strong"/>
          <w:bCs w:val="false"/>
          <w:lang w:val="en-GB"/>
        </w:rPr>
        <w:t xml:space="preserve">Chaining context substitution Format </w:t>
      </w:r>
      <w:r>
        <w:rPr>
          <w:rStyle w:val="Strong"/>
          <w:bCs w:val="false"/>
          <w:lang w:val="en-GB"/>
        </w:rPr>
        <w:t>4</w:t>
      </w:r>
      <w:r>
        <w:rPr>
          <w:rStyle w:val="Strong"/>
          <w:bCs w:val="false"/>
          <w:lang w:val="en-GB"/>
        </w:rPr>
        <w:t>: Simple chaining context glyph substitutions</w:t>
      </w:r>
    </w:p>
    <w:p>
      <w:pPr>
        <w:pStyle w:val="NormalWeb"/>
        <w:spacing w:before="280" w:after="280"/>
        <w:rPr/>
      </w:pPr>
      <w:r>
        <w:rPr>
          <w:rStyle w:val="Strong"/>
          <w:b w:val="false"/>
          <w:bCs w:val="false"/>
          <w:lang w:val="en-GB"/>
        </w:rPr>
        <w:t>The Format 4 chaining context substitution subtable is based on Format 1, but uses 24-bit numbers for glyphIDs and to avoid overflow.</w:t>
      </w:r>
    </w:p>
    <w:p>
      <w:pPr>
        <w:pStyle w:val="NormalWeb"/>
        <w:spacing w:before="120" w:after="280"/>
        <w:rPr/>
      </w:pPr>
      <w:r>
        <w:rPr>
          <w:rStyle w:val="Emphasis"/>
        </w:rPr>
        <w:t>ChainContextSubstFormat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580"/>
        <w:gridCol w:w="504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04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chainSubRuleSetCount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chainSubRuleSetOffsets</w:t>
              <w:br/>
              <w:t>[chainSubRuleSetCount]</w:t>
            </w:r>
          </w:p>
        </w:tc>
        <w:tc>
          <w:tcPr>
            <w:tcW w:w="504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rPr>
      </w:pPr>
      <w:r>
        <w:rPr/>
      </w:r>
    </w:p>
    <w:p>
      <w:pPr>
        <w:pStyle w:val="Normal"/>
        <w:spacing w:before="280" w:after="240"/>
        <w:rPr>
          <w:lang w:val="en-GB"/>
        </w:rPr>
      </w:pPr>
      <w:r>
        <w:rPr>
          <w:lang w:val="en-GB"/>
        </w:rPr>
        <w:t xml:space="preserve">A </w:t>
      </w:r>
      <w:r>
        <w:rPr>
          <w:shd w:fill="FFFF00" w:val="clear"/>
          <w:lang w:val="en-GB"/>
        </w:rPr>
        <w:t>ChainSubRuleSet</w:t>
      </w:r>
      <w:r>
        <w:rPr>
          <w:shd w:fill="FFFF00" w:val="clear"/>
          <w:lang w:val="en-GB"/>
        </w:rPr>
        <w:t>2</w:t>
      </w:r>
      <w:r>
        <w:rPr>
          <w:lang w:val="en-GB"/>
        </w:rPr>
        <w:t xml:space="preserve"> table consists of an array of offsets to </w:t>
      </w:r>
      <w:r>
        <w:rPr>
          <w:shd w:fill="FFFF00" w:val="clear"/>
          <w:lang w:val="en-GB"/>
        </w:rPr>
        <w:t>ChainSubRule</w:t>
      </w:r>
      <w:r>
        <w:rPr>
          <w:shd w:fill="FFFF00" w:val="clear"/>
          <w:lang w:val="en-GB"/>
        </w:rPr>
        <w:t>2</w:t>
      </w:r>
      <w:r>
        <w:rPr>
          <w:lang w:val="en-GB"/>
        </w:rPr>
        <w:t xml:space="preserve"> tables (chainSubRuleOffsets), ordered by preference, and a count of the </w:t>
      </w:r>
      <w:r>
        <w:rPr>
          <w:shd w:fill="FFFF00" w:val="clear"/>
          <w:lang w:val="en-GB"/>
        </w:rPr>
        <w:t>ChainSubRule</w:t>
      </w:r>
      <w:r>
        <w:rPr>
          <w:shd w:fill="FFFF00" w:val="clear"/>
          <w:lang w:val="en-GB"/>
        </w:rPr>
        <w:t>2</w:t>
      </w:r>
      <w:r>
        <w:rPr>
          <w:lang w:val="en-GB"/>
        </w:rPr>
        <w:t xml:space="preserve"> tables defined in the set (chainSubRuleCount).</w:t>
      </w:r>
    </w:p>
    <w:p>
      <w:pPr>
        <w:pStyle w:val="Normal"/>
        <w:rPr>
          <w:shd w:fill="FFFF00" w:val="clear"/>
          <w:lang w:val="en-GB"/>
        </w:rPr>
      </w:pPr>
      <w:r>
        <w:rPr>
          <w:shd w:fill="FFFF00" w:val="clear"/>
          <w:lang w:val="en-GB"/>
        </w:rPr>
        <w:t>In Format 4, suitable for use when the GLYF table is used, the offsets are 24-bit:</w:t>
      </w:r>
    </w:p>
    <w:p>
      <w:pPr>
        <w:pStyle w:val="NormalWeb"/>
        <w:spacing w:before="120" w:after="280"/>
        <w:rPr/>
      </w:pPr>
      <w:r>
        <w:rPr>
          <w:rStyle w:val="Emphasis"/>
        </w:rPr>
        <w:t>ChainSubRuleSet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2288"/>
        <w:gridCol w:w="53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chainSubRuleCount</w:t>
            </w:r>
          </w:p>
        </w:tc>
        <w:tc>
          <w:tcPr>
            <w:tcW w:w="53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chainSubRuleOffsets</w:t>
              <w:br/>
              <w:t>[chainSubRuleCount]</w:t>
            </w:r>
          </w:p>
        </w:tc>
        <w:tc>
          <w:tcPr>
            <w:tcW w:w="53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w:t>
            </w:r>
            <w:r>
              <w:rPr>
                <w:shd w:fill="FFFF00" w:val="clear"/>
              </w:rPr>
              <w:t>2</w:t>
            </w:r>
            <w:r>
              <w:rPr/>
              <w:t xml:space="preserve"> tables. Offsets are from beginning of </w:t>
            </w:r>
            <w:r>
              <w:rPr>
                <w:shd w:fill="FFFF00" w:val="clear"/>
              </w:rPr>
              <w:t>ChainSubRuleSet</w:t>
            </w:r>
            <w:r>
              <w:rPr>
                <w:shd w:fill="FFFF00" w:val="clear"/>
              </w:rPr>
              <w:t>2</w:t>
            </w:r>
            <w:r>
              <w:rPr/>
              <w:t xml:space="preserve"> table, ordered by preference</w:t>
            </w:r>
          </w:p>
        </w:tc>
      </w:tr>
    </w:tbl>
    <w:p>
      <w:pPr>
        <w:pStyle w:val="NormalWeb"/>
        <w:spacing w:before="120" w:after="280"/>
        <w:rPr>
          <w:rStyle w:val="Emphasis"/>
        </w:rPr>
      </w:pPr>
      <w:r>
        <w:rPr/>
      </w:r>
    </w:p>
    <w:p>
      <w:pPr>
        <w:pStyle w:val="NormalWeb"/>
        <w:spacing w:before="120" w:after="280"/>
        <w:rPr/>
      </w:pPr>
      <w:r>
        <w:rPr>
          <w:rStyle w:val="Emphasis"/>
        </w:rPr>
        <w:t>Chain</w:t>
      </w:r>
      <w:r>
        <w:rPr>
          <w:rStyle w:val="Emphasis"/>
        </w:rPr>
        <w:t>SubRule</w:t>
      </w:r>
      <w:r>
        <w:rPr>
          <w:rStyle w:val="Emphasis"/>
        </w:rPr>
        <w:t>2</w:t>
      </w:r>
      <w:r>
        <w:rPr>
          <w:rStyle w:val="Emphasis"/>
        </w:rPr>
        <w:t xml:space="preserve"> table: One simple context definition</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 –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rPr>
      </w:pPr>
      <w:r>
        <w:rPr/>
      </w:r>
    </w:p>
    <w:p>
      <w:pPr>
        <w:pStyle w:val="NormalWeb"/>
        <w:spacing w:before="280" w:after="280"/>
        <w:rPr/>
      </w:pPr>
      <w:r>
        <w:rPr>
          <w:rStyle w:val="Strong"/>
        </w:rPr>
        <w:t xml:space="preserve">Chaining </w:t>
      </w: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w:t>
      </w:r>
      <w:r>
        <w:rPr>
          <w:lang w:val="en-GB"/>
        </w:rPr>
        <w:t xml:space="preserve">, a more flexible format than Format </w:t>
      </w:r>
      <w:r>
        <w:rPr>
          <w:lang w:val="en-GB"/>
        </w:rPr>
        <w:t>4</w:t>
      </w:r>
      <w:r>
        <w:rPr>
          <w:lang w:val="en-GB"/>
        </w:rPr>
        <w:t xml:space="preserve">, describes class-based context substitution. </w:t>
      </w:r>
      <w:r>
        <w:rPr>
          <w:lang w:val="en-GB"/>
        </w:rPr>
        <w:t>It is identical to Format 2, except for supporting 24-bit offsets.</w:t>
      </w:r>
    </w:p>
    <w:p>
      <w:pPr>
        <w:pStyle w:val="Normal"/>
        <w:rPr/>
      </w:pPr>
      <w:r>
        <w:rPr>
          <w:rStyle w:val="Emphasis"/>
        </w:rPr>
        <w:t>Chain</w:t>
      </w: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634"/>
        <w:gridCol w:w="49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9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backtrack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input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lookahead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chainSubClassSetCount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chainSubClassSetOffsets</w:t>
              <w:br/>
              <w:t>[chainSubClassSetCount]</w:t>
            </w:r>
          </w:p>
        </w:tc>
        <w:tc>
          <w:tcPr>
            <w:tcW w:w="49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ChainSubClassSet</w:t>
            </w:r>
            <w:r>
              <w:rPr>
                <w:shd w:fill="FFFF00" w:val="clear"/>
              </w:rPr>
              <w:t>2</w:t>
            </w:r>
            <w:r>
              <w:rPr/>
              <w:t xml:space="preserve"> tables. Offsets are from beginning of substitution table, ordered by input class (may be NULL)</w:t>
            </w:r>
          </w:p>
        </w:tc>
      </w:tr>
    </w:tbl>
    <w:p>
      <w:pPr>
        <w:pStyle w:val="NormalWeb"/>
        <w:spacing w:before="280" w:after="280"/>
        <w:rPr/>
      </w:pPr>
      <w:r>
        <w:rPr>
          <w:rStyle w:val="Emphasis"/>
        </w:rPr>
        <w:t>ChainSubClassSet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769"/>
        <w:gridCol w:w="485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76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chainSubClassRuleCount</w:t>
            </w:r>
          </w:p>
        </w:tc>
        <w:tc>
          <w:tcPr>
            <w:tcW w:w="485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76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chainSubClassRuleOffsets</w:t>
              <w:br/>
              <w:t>[chainSubClassRuleCount]</w:t>
            </w:r>
          </w:p>
        </w:tc>
        <w:tc>
          <w:tcPr>
            <w:tcW w:w="485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ChainSubClassRule</w:t>
            </w:r>
            <w:r>
              <w:rPr>
                <w:shd w:fill="FFFF00" w:val="clear"/>
              </w:rPr>
              <w:t>2</w:t>
            </w:r>
            <w:r>
              <w:rPr/>
              <w:t xml:space="preserve"> tables. Offsets are from beginning of </w:t>
            </w:r>
            <w:r>
              <w:rPr>
                <w:shd w:fill="FFFF00" w:val="clear"/>
              </w:rPr>
              <w:t>ChainSubClassSet</w:t>
            </w:r>
            <w:r>
              <w:rPr>
                <w:shd w:fill="FFFF00" w:val="clear"/>
              </w:rPr>
              <w:t>2</w:t>
            </w:r>
            <w:r>
              <w:rPr/>
              <w:t>, ordered by preference</w:t>
            </w:r>
          </w:p>
        </w:tc>
      </w:tr>
    </w:tbl>
    <w:p>
      <w:pPr>
        <w:pStyle w:val="NormalWeb"/>
        <w:spacing w:before="120" w:after="280"/>
        <w:rPr>
          <w:rStyle w:val="Emphasis"/>
          <w:i w:val="false"/>
          <w:i w:val="false"/>
          <w:iCs w:val="false"/>
        </w:rPr>
      </w:pPr>
      <w:r>
        <w:rPr/>
      </w:r>
    </w:p>
    <w:p>
      <w:pPr>
        <w:pStyle w:val="NormalWeb"/>
        <w:spacing w:before="120" w:after="280"/>
        <w:rPr/>
      </w:pPr>
      <w:r>
        <w:rPr>
          <w:rStyle w:val="Emphasis"/>
        </w:rPr>
        <w:t>ChainSubClassRule</w:t>
      </w:r>
      <w:r>
        <w:rPr>
          <w:rStyle w:val="Emphasis"/>
        </w:rPr>
        <w:t>2</w:t>
      </w:r>
      <w:r>
        <w:rPr>
          <w:rStyle w:val="Emphasis"/>
        </w:rPr>
        <w:t xml:space="preserve"> table: Chaining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classes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with the input glyph sequence – beginning with second glyph position.</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w:t>
            </w:r>
            <w:r>
              <w:rPr/>
              <w: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classes – to be matched with glyph sequence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
        <w:rPr>
          <w:rStyle w:val="Emphasis"/>
          <w:lang w:val="en-GB"/>
        </w:rPr>
      </w:pPr>
      <w:r>
        <w:rPr/>
      </w:r>
    </w:p>
    <w:p>
      <w:pPr>
        <w:pStyle w:val="NOTE2"/>
        <w:rPr/>
      </w:pPr>
      <w:r>
        <w:rPr/>
        <w:t>N</w:t>
      </w:r>
      <w:r>
        <w:rPr/>
        <w:t>OTE</w:t>
        <w:tab/>
        <w:t>T</w:t>
      </w:r>
      <w:r>
        <w:rPr/>
        <w:t>here is no Format 6, which might be a version of Format 3 but with 24-bit numbers. This is because a Format 3 subtable encodes only a single rule, and is therefore not likely to overflow.</w:t>
      </w:r>
    </w:p>
    <w:p>
      <w:pPr>
        <w:pStyle w:val="Normal"/>
        <w:spacing w:before="280" w:after="240"/>
        <w:rPr>
          <w:lang w:val="en-GB"/>
        </w:rPr>
      </w:pPr>
      <w:r>
        <w:rPr/>
      </w:r>
    </w:p>
    <w:p>
      <w:pPr>
        <w:pStyle w:val="Normal"/>
        <w:spacing w:before="280" w:after="240"/>
        <w:rPr>
          <w:lang w:val="en-GB"/>
        </w:rPr>
      </w:pPr>
      <w:r>
        <w:rPr>
          <w:lang w:val="en-GB"/>
        </w:rPr>
        <w:t>Just before 6.3.4.4 GSUB subtable examples, add,</w:t>
      </w:r>
    </w:p>
    <w:p>
      <w:pPr>
        <w:pStyle w:val="NormalWeb"/>
        <w:keepNext w:val="true"/>
        <w:spacing w:before="280" w:after="280"/>
        <w:rPr/>
      </w:pPr>
      <w:r>
        <w:rPr>
          <w:rStyle w:val="Strong"/>
          <w:lang w:val="en-GB"/>
        </w:rPr>
        <w:t xml:space="preserve">Reverse chaining contextual single substitution Format </w:t>
      </w:r>
      <w:r>
        <w:rPr>
          <w:rStyle w:val="Strong"/>
          <w:lang w:val="en-GB"/>
        </w:rPr>
        <w:t>2</w:t>
      </w:r>
      <w:r>
        <w:rPr>
          <w:rStyle w:val="Strong"/>
          <w:lang w:val="en-GB"/>
        </w:rPr>
        <w:t>: Coverage-based contexts</w:t>
      </w:r>
    </w:p>
    <w:p>
      <w:pPr>
        <w:pStyle w:val="Normal"/>
        <w:spacing w:before="280" w:after="240"/>
        <w:rPr>
          <w:lang w:val="en-GB"/>
        </w:rPr>
      </w:pPr>
      <w:r>
        <w:rPr>
          <w:lang w:val="en-GB"/>
        </w:rPr>
        <w:t>Format 2 is the same as Format 1, but supports 24-bit glyph Ids and offsets.</w:t>
      </w:r>
    </w:p>
    <w:p>
      <w:pPr>
        <w:pStyle w:val="NormalWeb"/>
        <w:spacing w:before="280" w:after="280"/>
        <w:rPr/>
      </w:pPr>
      <w:r>
        <w:rPr>
          <w:rStyle w:val="Emphasis"/>
        </w:rPr>
        <w:t>ReverseChainSingleSubstFormat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3329"/>
        <w:gridCol w:w="429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2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Offset32</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backtracking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backtrackCoverageOffsets</w:t>
              <w:b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backtracking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lookahead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lookaheadCoverageOffsets</w:t>
              <w:b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lookahead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2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substituteGlyphIDs[glyphCount]</w:t>
            </w:r>
          </w:p>
        </w:tc>
        <w:tc>
          <w:tcPr>
            <w:tcW w:w="42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substitute glyph IDs – ordered by Coverage index.</w:t>
            </w:r>
          </w:p>
        </w:tc>
      </w:tr>
    </w:tbl>
    <w:p>
      <w:pPr>
        <w:pStyle w:val="NormalWeb"/>
        <w:rPr/>
      </w:pPr>
      <w:r>
        <w:rPr/>
      </w:r>
    </w:p>
    <w:p>
      <w:pPr>
        <w:pStyle w:val="NormalWeb"/>
        <w:rPr/>
      </w:pPr>
      <w:r>
        <w:rPr/>
      </w:r>
    </w:p>
    <w:p>
      <w:pPr>
        <w:pStyle w:val="BodyText"/>
        <w:spacing w:before="280" w:after="240"/>
        <w:ind w:hanging="720" w:left="720"/>
        <w:rPr/>
      </w:pPr>
      <w:r>
        <w:rPr/>
      </w:r>
    </w:p>
    <w:p>
      <w:pPr>
        <w:pStyle w:val="BodyText"/>
        <w:spacing w:before="280" w:after="240"/>
        <w:ind w:hanging="720" w:left="720"/>
        <w:rPr/>
      </w:pPr>
      <w:r>
        <w:rPr/>
        <w:t>In 4.6.3 TTC Header, we add new versions:</w:t>
      </w:r>
    </w:p>
    <w:p>
      <w:pPr>
        <w:pStyle w:val="Heading3"/>
        <w:spacing w:before="280" w:after="240"/>
        <w:ind w:hanging="720" w:left="720"/>
        <w:rPr/>
      </w:pPr>
      <w:bookmarkStart w:id="146" w:name="__RefHeading___Toc168052_4187903474"/>
      <w:bookmarkStart w:id="147" w:name="_Toc133507302"/>
      <w:bookmarkStart w:id="148" w:name="_Toc518658223"/>
      <w:bookmarkStart w:id="149" w:name="_Toc521662469"/>
      <w:bookmarkStart w:id="150" w:name="_Toc113348376"/>
      <w:bookmarkStart w:id="151" w:name="_Toc534817005"/>
      <w:bookmarkStart w:id="152" w:name="_Toc113087972"/>
      <w:bookmarkStart w:id="153" w:name="_Toc224979101"/>
      <w:bookmarkEnd w:id="146"/>
      <w:r>
        <w:rPr/>
        <w:t>TTC header</w:t>
      </w:r>
      <w:bookmarkEnd w:id="147"/>
      <w:bookmarkEnd w:id="148"/>
      <w:bookmarkEnd w:id="149"/>
      <w:bookmarkEnd w:id="150"/>
      <w:bookmarkEnd w:id="151"/>
      <w:bookmarkEnd w:id="152"/>
      <w:bookmarkEnd w:id="153"/>
      <w:r>
        <w:rPr/>
        <w:t xml:space="preserve"> </w:t>
      </w:r>
      <w:r>
        <w:rPr/>
        <w:t>[4.6.3]</w:t>
      </w:r>
    </w:p>
    <w:p>
      <w:pPr>
        <w:pStyle w:val="Normal"/>
        <w:rPr>
          <w:lang w:val="en-GB"/>
        </w:rPr>
      </w:pPr>
      <w:r>
        <w:rPr>
          <w:lang w:val="en-GB"/>
        </w:rPr>
        <w:t xml:space="preserve">There are </w:t>
      </w:r>
      <w:r>
        <w:rPr>
          <w:shd w:fill="00FFFF" w:val="clear"/>
          <w:lang w:val="en-GB"/>
        </w:rPr>
        <w:t>four</w:t>
      </w:r>
      <w:r>
        <w:rPr>
          <w:lang w:val="en-GB"/>
        </w:rPr>
        <w:t xml:space="preserve"> versions of the TTC header: Version 1.0 has been used for TTC files without digital signatures. Version 2.0 can be used for TTC files with </w:t>
      </w:r>
      <w:r>
        <w:rPr>
          <w:i/>
          <w:iCs/>
          <w:lang w:val="en-GB"/>
        </w:rPr>
        <w:t>or</w:t>
      </w:r>
      <w:r>
        <w:rPr>
          <w:lang w:val="en-GB"/>
        </w:rPr>
        <w:t xml:space="preserve"> without digital signatures — if there's no signature, then the last three fields of the version 2.0 header are left null. </w:t>
      </w:r>
      <w:r>
        <w:rPr>
          <w:shd w:fill="00FFFF" w:val="clear"/>
          <w:lang w:val="en-GB"/>
        </w:rPr>
        <w:t xml:space="preserve">Versions </w:t>
      </w:r>
      <w:r>
        <w:rPr>
          <w:shd w:fill="00FFFF" w:val="clear"/>
          <w:lang w:val="en-GB"/>
        </w:rPr>
        <w:t>1.1</w:t>
      </w:r>
      <w:r>
        <w:rPr>
          <w:shd w:fill="00FFFF" w:val="clear"/>
          <w:lang w:val="en-GB"/>
        </w:rPr>
        <w:t xml:space="preserve"> and </w:t>
      </w:r>
      <w:r>
        <w:rPr>
          <w:shd w:fill="00FFFF" w:val="clear"/>
          <w:lang w:val="en-GB"/>
        </w:rPr>
        <w:t xml:space="preserve">1.2 </w:t>
      </w:r>
      <w:r>
        <w:rPr>
          <w:shd w:fill="00FFFF" w:val="clear"/>
          <w:lang w:val="en-GB"/>
        </w:rPr>
        <w:t xml:space="preserve">mirror versions 1 and 2 but are used for </w:t>
      </w:r>
      <w:r>
        <w:rPr>
          <w:shd w:fill="00FFFF" w:val="clear"/>
          <w:lang w:val="en-GB"/>
        </w:rPr>
        <w:t xml:space="preserve">supporting collections containing fonts with 24-bit glyph identifiers. Software that does not support versions </w:t>
      </w:r>
      <w:r>
        <w:rPr>
          <w:shd w:fill="00FFFF" w:val="clear"/>
          <w:lang w:val="en-GB"/>
        </w:rPr>
        <w:t>1.1</w:t>
      </w:r>
      <w:r>
        <w:rPr>
          <w:shd w:fill="00FFFF" w:val="clear"/>
          <w:lang w:val="en-GB"/>
        </w:rPr>
        <w:t xml:space="preserve"> and </w:t>
      </w:r>
      <w:r>
        <w:rPr>
          <w:shd w:fill="00FFFF" w:val="clear"/>
          <w:lang w:val="en-GB"/>
        </w:rPr>
        <w:t>2.1</w:t>
      </w:r>
      <w:r>
        <w:rPr>
          <w:shd w:fill="00FFFF" w:val="clear"/>
          <w:lang w:val="en-GB"/>
        </w:rPr>
        <w:t xml:space="preserve"> of the TTC header table will continue to function using a version 1 or 2 header, if present, and will use the 16-bit tables pointed to from that header. Newer software will make use of the 24-bit tables. </w:t>
      </w:r>
      <w:r>
        <w:rPr>
          <w:shd w:fill="00FFFF" w:val="clear"/>
          <w:lang w:val="en-GB"/>
        </w:rPr>
        <w:t xml:space="preserve">Software that supports </w:t>
      </w:r>
      <w:r>
        <w:rPr>
          <w:i/>
          <w:iCs/>
          <w:shd w:fill="00FFFF" w:val="clear"/>
          <w:lang w:val="en-GB"/>
        </w:rPr>
        <w:t>tableDirectoryOffsets2</w:t>
      </w:r>
      <w:r>
        <w:rPr>
          <w:shd w:fill="00FFFF" w:val="clear"/>
          <w:lang w:val="en-GB"/>
        </w:rPr>
        <w:t xml:space="preserve"> shall use it instead of </w:t>
      </w:r>
      <w:r>
        <w:rPr>
          <w:i/>
          <w:iCs/>
          <w:shd w:fill="00FFFF" w:val="clear"/>
          <w:lang w:val="en-GB"/>
        </w:rPr>
        <w:t>tableDirectoryOffsets</w:t>
      </w:r>
      <w:r>
        <w:rPr>
          <w:shd w:fill="00FFFF" w:val="clear"/>
          <w:lang w:val="en-GB"/>
        </w:rPr>
        <w:t xml:space="preserve"> when both are present.</w:t>
      </w:r>
    </w:p>
    <w:p>
      <w:pPr>
        <w:pStyle w:val="Normal"/>
        <w:rPr>
          <w:shd w:fill="00FFFF" w:val="clear"/>
        </w:rPr>
      </w:pPr>
      <w:r>
        <w:rPr>
          <w:shd w:fill="00FFFF" w:val="clear"/>
          <w:lang w:val="en-GB"/>
        </w:rPr>
        <w:t xml:space="preserve">Tables pointed to </w:t>
      </w:r>
      <w:r>
        <w:rPr>
          <w:shd w:fill="00FFFF" w:val="clear"/>
          <w:lang w:val="en-GB"/>
        </w:rPr>
        <w:t xml:space="preserve">in collections using header versions 1.1 or 2.1 </w:t>
      </w:r>
      <w:r>
        <w:rPr>
          <w:shd w:fill="00FFFF" w:val="clear"/>
          <w:lang w:val="en-GB"/>
        </w:rPr>
        <w:t xml:space="preserve">can </w:t>
      </w:r>
      <w:r>
        <w:rPr>
          <w:i/>
          <w:iCs/>
          <w:shd w:fill="00FFFF" w:val="clear"/>
          <w:lang w:val="en-GB"/>
        </w:rPr>
        <w:t>overlap</w:t>
      </w:r>
      <w:r>
        <w:rPr>
          <w:i w:val="false"/>
          <w:iCs w:val="false"/>
          <w:shd w:fill="00FFFF" w:val="clear"/>
          <w:lang w:val="en-GB"/>
        </w:rPr>
        <w:t>, so that, for example, much of the GPOS table could be shared between 16-bit and 24-bit fonts in the collection.</w:t>
      </w:r>
    </w:p>
    <w:p>
      <w:pPr>
        <w:pStyle w:val="Normal"/>
        <w:rPr>
          <w:lang w:val="en-GB"/>
        </w:rPr>
      </w:pPr>
      <w:r>
        <w:rPr>
          <w:lang w:val="en-GB"/>
        </w:rPr>
        <w:t>If a digital signature is used, the DSIG table for the file shall be located at the end of the TTC file, following any other font tables. Signatures in a TTC file are expected to be Format 1 signatures.</w:t>
      </w:r>
    </w:p>
    <w:p>
      <w:pPr>
        <w:pStyle w:val="Normal"/>
        <w:rPr>
          <w:lang w:val="en-GB"/>
        </w:rPr>
      </w:pPr>
      <w:r>
        <w:rPr>
          <w:lang w:val="en-GB"/>
        </w:rPr>
        <w:t xml:space="preserve">The purpose of the TTC header table is to locate the different table directories within a TTC file. The TTC header is located at the beginning of the TTC file (offset = 0). It consists of an identification tag, a version number, a count of the number of OFF fonts in the file, and an array of offsets to each </w:t>
      </w:r>
      <w:r>
        <w:rPr>
          <w:rFonts w:cs="Calibri" w:ascii="Calibri" w:hAnsi="Calibri"/>
          <w:lang w:val="en-GB"/>
        </w:rPr>
        <w:t>table directory</w:t>
      </w:r>
      <w:r>
        <w:rPr>
          <w:lang w:val="en-GB"/>
        </w:rPr>
        <w:t xml:space="preserve">. </w:t>
      </w:r>
    </w:p>
    <w:p>
      <w:pPr>
        <w:pStyle w:val="Normal"/>
        <w:rPr/>
      </w:pPr>
      <w:r>
        <w:rPr>
          <w:rStyle w:val="Emphasis"/>
        </w:rPr>
        <w:t>TTCHeader Version 1.0: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1.</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the TableDirectory for each font from the beginning of the file</w:t>
            </w:r>
          </w:p>
        </w:tc>
      </w:tr>
    </w:tbl>
    <w:p>
      <w:pPr>
        <w:pStyle w:val="Normal"/>
        <w:rPr>
          <w:i w:val="false"/>
          <w:i w:val="false"/>
        </w:rPr>
      </w:pPr>
      <w:r>
        <w:rPr>
          <w:i w:val="false"/>
        </w:rPr>
      </w:r>
    </w:p>
    <w:p>
      <w:pPr>
        <w:pStyle w:val="Normal"/>
        <w:rPr/>
      </w:pPr>
      <w:r>
        <w:rPr>
          <w:rStyle w:val="Emphasis"/>
          <w:shd w:fill="00FFFF" w:val="clear"/>
        </w:rPr>
        <w:t xml:space="preserve">TTCHeader Version </w:t>
      </w:r>
      <w:r>
        <w:rPr>
          <w:rStyle w:val="Emphasis"/>
          <w:shd w:fill="00FFFF" w:val="clear"/>
        </w:rPr>
        <w:t>1</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FF00FF" w:val="clear"/>
              </w:rPr>
              <w:t>n</w:t>
            </w:r>
            <w:r>
              <w:rPr>
                <w:shd w:fill="00FFFF" w:val="clear"/>
              </w:rPr>
              <w:t>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rPr>
          <w:i w:val="false"/>
          <w:i w:val="false"/>
        </w:rPr>
      </w:pPr>
      <w:r>
        <w:rPr>
          <w:i w:val="false"/>
        </w:rPr>
      </w:r>
    </w:p>
    <w:p>
      <w:pPr>
        <w:pStyle w:val="Normal"/>
        <w:rPr>
          <w:rStyle w:val="Emphasis"/>
        </w:rPr>
      </w:pPr>
      <w:r>
        <w:rPr/>
      </w:r>
    </w:p>
    <w:p>
      <w:pPr>
        <w:pStyle w:val="Normal"/>
        <w:rPr/>
      </w:pPr>
      <w:r>
        <w:rPr>
          <w:rStyle w:val="Emphasis"/>
        </w:rPr>
        <w:t>TTCHeader Version 2.0: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dsigOffset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offset (in bytes) of the DSIG table from the beginning of the TTC file (null if no signature)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Style w:val="Emphasis"/>
          <w:shd w:fill="00FFFF" w:val="clear"/>
        </w:rPr>
        <w:t>TT</w:t>
      </w:r>
      <w:r>
        <w:rPr>
          <w:rStyle w:val="Emphasis"/>
          <w:shd w:fill="00FFFF" w:val="clear"/>
        </w:rPr>
        <w:t>CH</w:t>
      </w:r>
      <w:r>
        <w:rPr>
          <w:rStyle w:val="Emphasis"/>
          <w:shd w:fill="00FFFF" w:val="clear"/>
        </w:rPr>
        <w:t xml:space="preserve">eader Version </w:t>
      </w:r>
      <w:r>
        <w:rPr>
          <w:rStyle w:val="Emphasis"/>
          <w:shd w:fill="00FFFF" w:val="clear"/>
        </w:rPr>
        <w:t>2</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dsigOffset</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The offset (in bytes) of the DSIG table from the beginning of the TTC file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00FFFF" w:val="clear"/>
              </w:rPr>
              <w:t>NumFonts2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
    </w:p>
    <w:p>
      <w:pPr>
        <w:pStyle w:val="Normal"/>
        <w:rPr>
          <w:shd w:fill="00FFFF" w:val="clear"/>
        </w:rPr>
      </w:pPr>
      <w:r>
        <w:rPr/>
      </w:r>
    </w:p>
    <w:p>
      <w:pPr>
        <w:pStyle w:val="Heading1"/>
        <w:numPr>
          <w:ilvl w:val="0"/>
          <w:numId w:val="0"/>
        </w:numPr>
        <w:ind w:hanging="0" w:left="0"/>
        <w:rPr>
          <w:shd w:fill="00FFFF" w:val="clear"/>
        </w:rPr>
      </w:pPr>
      <w:bookmarkStart w:id="154" w:name="__RefHeading___Toc211697_4187903474"/>
      <w:bookmarkEnd w:id="154"/>
      <w:r>
        <w:rPr>
          <w:shd w:fill="00FFFF" w:val="clear"/>
        </w:rPr>
        <w:t>VARC—Variable Composite Glyph Descriptions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Introduction (not for the spec):</w:t>
      </w:r>
    </w:p>
    <w:p>
      <w:pPr>
        <w:pStyle w:val="BodyText"/>
        <w:bidi w:val="0"/>
        <w:ind w:hanging="0" w:left="0" w:right="0"/>
        <w:rPr>
          <w:shd w:fill="00FFFF" w:val="clear"/>
        </w:rPr>
      </w:pPr>
      <w:r>
        <w:rPr>
          <w:shd w:fill="00FFFF"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00FFFF" w:val="clear"/>
        </w:rPr>
      </w:pPr>
      <w:r>
        <w:rPr>
          <w:shd w:fill="00FFFF" w:val="clear"/>
        </w:rPr>
        <w:t>Glyphs constructed by combining other glyphs are referred to as composite glyphs.</w:t>
      </w:r>
    </w:p>
    <w:p>
      <w:pPr>
        <w:pStyle w:val="BodyText"/>
        <w:bidi w:val="0"/>
        <w:ind w:hanging="0" w:left="0" w:right="0"/>
        <w:rPr>
          <w:shd w:fill="00FFFF" w:val="clear"/>
        </w:rPr>
      </w:pPr>
      <w:r>
        <w:rPr>
          <w:shd w:fill="00FFFF"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shd w:fill="00FFFF" w:val="clear"/>
        </w:rPr>
      </w:pPr>
      <w:r>
        <w:rPr>
          <w:shd w:fill="00FFFF" w:val="clear"/>
        </w:rPr>
        <w:t>The 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00FFFF" w:val="clear"/>
        </w:rPr>
      </w:pPr>
      <w:r>
        <w:rPr>
          <w:shd w:fill="00FFFF" w:val="clear"/>
        </w:rPr>
        <w:t>An earlier proposal included these new mechanisms inside the individual glyph definitions, but that meant they were specific to glyf-table glyphs, and were not available to CFF2-based fonts. After discussion, and a counter-proposal from Skef Iterum at Adobe Systems, a sample implementation of an external table proved more effective.</w:t>
      </w:r>
    </w:p>
    <w:p>
      <w:pPr>
        <w:pStyle w:val="BodyText"/>
        <w:bidi w:val="0"/>
        <w:ind w:hanging="0" w:left="0" w:right="0"/>
        <w:rPr>
          <w:shd w:fill="00FFFF" w:val="clear"/>
        </w:rPr>
      </w:pPr>
      <w:r>
        <w:rPr>
          <w:shd w:fill="00FFFF" w:val="clear"/>
        </w:rPr>
      </w:r>
    </w:p>
    <w:p>
      <w:pPr>
        <w:pStyle w:val="Heading1"/>
        <w:rPr/>
      </w:pPr>
      <w:bookmarkStart w:id="155" w:name="__RefHeading___Toc175121_1389668050"/>
      <w:bookmarkEnd w:id="155"/>
      <w:r>
        <w:rPr/>
        <w:t>Data Types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 xml:space="preserve">Update </w:t>
      </w:r>
      <w:r>
        <w:rPr>
          <w:shd w:fill="00FFFF" w:val="clear"/>
        </w:rPr>
        <w:t xml:space="preserve"> Section 4.3 Data Types, </w:t>
      </w:r>
      <w:r>
        <w:rPr>
          <w:shd w:fill="00FFFF" w:val="clear"/>
        </w:rPr>
        <w:t>as follows:</w:t>
      </w:r>
    </w:p>
    <w:p>
      <w:pPr>
        <w:pStyle w:val="Heading2"/>
        <w:spacing w:before="280" w:after="240"/>
        <w:ind w:hanging="720" w:left="720"/>
        <w:rPr/>
      </w:pPr>
      <w:bookmarkStart w:id="156" w:name="__RefHeading___Toc168034_4187903474"/>
      <w:bookmarkStart w:id="157" w:name="_Toc521662460"/>
      <w:bookmarkStart w:id="158" w:name="_Toc113348369"/>
      <w:bookmarkStart w:id="159" w:name="_Toc534816996"/>
      <w:bookmarkStart w:id="160" w:name="_Toc133507293"/>
      <w:bookmarkStart w:id="161" w:name="_Toc113087965"/>
      <w:bookmarkStart w:id="162" w:name="_Toc224979094"/>
      <w:bookmarkStart w:id="163" w:name="_Toc518658214"/>
      <w:bookmarkStart w:id="164" w:name="_Toc117279907"/>
      <w:bookmarkStart w:id="165" w:name="_Toc147299888"/>
      <w:bookmarkEnd w:id="156"/>
      <w:r>
        <w:rPr/>
        <w:t>Data types</w:t>
      </w:r>
      <w:bookmarkEnd w:id="157"/>
      <w:bookmarkEnd w:id="158"/>
      <w:bookmarkEnd w:id="159"/>
      <w:bookmarkEnd w:id="160"/>
      <w:bookmarkEnd w:id="161"/>
      <w:bookmarkEnd w:id="162"/>
      <w:bookmarkEnd w:id="163"/>
      <w:bookmarkEnd w:id="164"/>
      <w:bookmarkEnd w:id="165"/>
    </w:p>
    <w:p>
      <w:pPr>
        <w:pStyle w:val="Normal"/>
        <w:rPr>
          <w:lang w:val="en-GB"/>
        </w:rPr>
      </w:pPr>
      <w:r>
        <w:rPr>
          <w:lang w:val="en-GB"/>
        </w:rPr>
        <w:t xml:space="preserve">The following data types are used in the OFF font file. All OFF fonts use big-endian (network) byte order: </w:t>
      </w:r>
    </w:p>
    <w:tbl>
      <w:tblPr>
        <w:tblW w:w="8755" w:type="dxa"/>
        <w:jc w:val="left"/>
        <w:tblInd w:w="0" w:type="dxa"/>
        <w:tblLayout w:type="fixed"/>
        <w:tblCellMar>
          <w:top w:w="0" w:type="dxa"/>
          <w:left w:w="108" w:type="dxa"/>
          <w:bottom w:w="0" w:type="dxa"/>
          <w:right w:w="108" w:type="dxa"/>
        </w:tblCellMar>
      </w:tblPr>
      <w:tblGrid>
        <w:gridCol w:w="1882"/>
        <w:gridCol w:w="6873"/>
      </w:tblGrid>
      <w:tr>
        <w:trPr/>
        <w:tc>
          <w:tcPr>
            <w:tcW w:w="18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Data Type</w:t>
            </w:r>
          </w:p>
        </w:tc>
        <w:tc>
          <w:tcPr>
            <w:tcW w:w="68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82" w:type="dxa"/>
            <w:tcBorders>
              <w:top w:val="single" w:sz="12"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uint8</w:t>
            </w:r>
          </w:p>
        </w:tc>
        <w:tc>
          <w:tcPr>
            <w:tcW w:w="6873" w:type="dxa"/>
            <w:tcBorders>
              <w:top w:val="single" w:sz="12"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unsigned integer.</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int16</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BodyText"/>
              <w:spacing w:before="60" w:after="120"/>
              <w:ind w:left="43" w:right="29"/>
              <w:rPr>
                <w:shd w:fill="FF00FF" w:val="clear"/>
              </w:rPr>
            </w:pPr>
            <w:bookmarkStart w:id="166" w:name="docs-internal-guid-e1d37792-7fff-71be-1f"/>
            <w:bookmarkEnd w:id="166"/>
            <w:r>
              <w:rPr>
                <w:shd w:fill="FF00FF" w:val="clear"/>
              </w:rPr>
              <w:t>uint32var</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Encodes a 32-bit integer (uint32) in a variable number of bytes.</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Fixed</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fixed-point number (16.16)</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uint16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F2DOT14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fixed number with the low 14 bits of fraction (2.14).</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4</w:t>
            </w:r>
            <w:r>
              <w:rPr>
                <w:shd w:fill="FF00FF" w:val="clear"/>
              </w:rPr>
              <w:t>DOT1</w:t>
            </w:r>
            <w:r>
              <w:rPr>
                <w:shd w:fill="FF00FF" w:val="clear"/>
              </w:rPr>
              <w:t>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2</w:t>
            </w:r>
            <w:r>
              <w:rPr>
                <w:shd w:fill="FF00FF" w:val="clear"/>
              </w:rPr>
              <w:t xml:space="preserve"> bits of fraction (</w:t>
            </w:r>
            <w:r>
              <w:rPr>
                <w:shd w:fill="FF00FF" w:val="clear"/>
              </w:rPr>
              <w:t>4.</w:t>
            </w:r>
            <w:r>
              <w:rPr>
                <w:shd w:fill="FF00FF" w:val="clear"/>
              </w:rPr>
              <w:t>1</w:t>
            </w:r>
            <w:r>
              <w:rPr>
                <w:shd w:fill="FF00FF" w:val="clear"/>
              </w:rPr>
              <w:t>2</w:t>
            </w:r>
            <w:r>
              <w:rPr>
                <w:shd w:fill="FF00FF" w:val="clear"/>
              </w:rPr>
              <w:t>).</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6</w:t>
            </w:r>
            <w:r>
              <w:rPr>
                <w:shd w:fill="FF00FF" w:val="clear"/>
              </w:rPr>
              <w:t>DOT1</w:t>
            </w:r>
            <w:r>
              <w:rPr>
                <w:shd w:fill="FF00FF" w:val="clear"/>
              </w:rPr>
              <w:t>0</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0</w:t>
            </w:r>
            <w:r>
              <w:rPr>
                <w:shd w:fill="FF00FF" w:val="clear"/>
              </w:rPr>
              <w:t xml:space="preserve"> bits of fraction (</w:t>
            </w:r>
            <w:r>
              <w:rPr>
                <w:shd w:fill="FF00FF" w:val="clear"/>
              </w:rPr>
              <w:t>6</w:t>
            </w:r>
            <w:r>
              <w:rPr>
                <w:shd w:fill="FF00FF" w:val="clear"/>
              </w:rPr>
              <w:t>.1</w:t>
            </w:r>
            <w:r>
              <w:rPr>
                <w:shd w:fill="FF00FF" w:val="clear"/>
              </w:rPr>
              <w:t>0</w:t>
            </w:r>
            <w:r>
              <w:rPr>
                <w:shd w:fill="FF00FF" w:val="clear"/>
              </w:rPr>
              <w:t>).</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LONGDATETIME</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Date and time represented in number of seconds since 12:00 midnight, January 1, 1904, UTC. The value is represented as a signed 64-bit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Tag</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Array of four uint8s (length = 32 bits) used to identify a table, design-variation axis, script, language system, feature, or baseline.</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shd w:fill="FF00FF" w:val="clear"/>
              </w:rPr>
            </w:pPr>
            <w:r>
              <w:rPr>
                <w:rFonts w:cs="Arial"/>
                <w:shd w:fill="FF00FF" w:val="clear"/>
              </w:rPr>
              <w:t>TupleValues</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A version of Packed Deltas supporting 32-bit values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offset to a table, same as uint8, NULL offset = 0x00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Short offset to a table, same as uint16, NULL offset = 0x0000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offset to a table, same as uint24, NULL offset = 0x000000</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Offset32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Long offset to a table, same as uint32, NULL offset = 0x00000000</w:t>
            </w:r>
          </w:p>
        </w:tc>
      </w:tr>
      <w:tr>
        <w:trPr/>
        <w:tc>
          <w:tcPr>
            <w:tcW w:w="1882" w:type="dxa"/>
            <w:tcBorders>
              <w:top w:val="single" w:sz="6" w:space="0" w:color="000000"/>
              <w:left w:val="single" w:sz="12" w:space="0" w:color="000000"/>
              <w:bottom w:val="single" w:sz="12" w:space="0" w:color="000000"/>
              <w:right w:val="single" w:sz="6" w:space="0" w:color="000000"/>
            </w:tcBorders>
          </w:tcPr>
          <w:p>
            <w:pPr>
              <w:pStyle w:val="Normal"/>
              <w:spacing w:before="60" w:after="120"/>
              <w:ind w:left="43" w:right="29"/>
              <w:rPr>
                <w:rFonts w:cs="Arial"/>
              </w:rPr>
            </w:pPr>
            <w:r>
              <w:rPr>
                <w:rFonts w:cs="Arial"/>
              </w:rPr>
              <w:t>Version16Dot16</w:t>
            </w:r>
          </w:p>
        </w:tc>
        <w:tc>
          <w:tcPr>
            <w:tcW w:w="6873" w:type="dxa"/>
            <w:tcBorders>
              <w:top w:val="single" w:sz="6" w:space="0" w:color="000000"/>
              <w:left w:val="single" w:sz="6" w:space="0" w:color="000000"/>
              <w:bottom w:val="single" w:sz="12" w:space="0" w:color="000000"/>
              <w:right w:val="single" w:sz="12" w:space="0" w:color="000000"/>
            </w:tcBorders>
          </w:tcPr>
          <w:p>
            <w:pPr>
              <w:pStyle w:val="Normal"/>
              <w:spacing w:before="60" w:after="120"/>
              <w:ind w:left="43" w:right="29"/>
              <w:rPr>
                <w:rFonts w:cs="Arial"/>
              </w:rPr>
            </w:pPr>
            <w:r>
              <w:rPr>
                <w:rFonts w:cs="Arial"/>
              </w:rPr>
              <w:t>Packed 32-bit value with major and minor version numbers. (See 4.4.)</w:t>
            </w:r>
          </w:p>
        </w:tc>
      </w:tr>
    </w:tbl>
    <w:p>
      <w:pPr>
        <w:pStyle w:val="Normal"/>
        <w:spacing w:before="240" w:after="240"/>
        <w:rPr>
          <w:lang w:val="en-GB"/>
        </w:rPr>
      </w:pPr>
      <w:r>
        <w:rPr/>
      </w:r>
    </w:p>
    <w:p>
      <w:pPr>
        <w:pStyle w:val="Normal"/>
        <w:spacing w:before="240" w:after="240"/>
        <w:rPr>
          <w:lang w:val="en-GB"/>
        </w:rPr>
      </w:pPr>
      <w:r>
        <w:rPr>
          <w:lang w:val="en-GB"/>
        </w:rPr>
        <w:t xml:space="preserve">The </w:t>
      </w:r>
      <w:r>
        <w:rPr>
          <w:b/>
          <w:bCs/>
          <w:lang w:val="en-GB"/>
        </w:rPr>
        <w:t>F2DOT14</w:t>
      </w:r>
      <w:r>
        <w:rPr>
          <w:lang w:val="en-GB"/>
        </w:rPr>
        <w:t xml:space="preserve"> format consists of a signed, 2's complement integer and an unsigned fraction. To compute the actual value, take the integer and add the fraction. Examples of 2.14 values are: </w:t>
      </w:r>
    </w:p>
    <w:tbl>
      <w:tblPr>
        <w:tblW w:w="5760" w:type="dxa"/>
        <w:jc w:val="left"/>
        <w:tblInd w:w="0" w:type="dxa"/>
        <w:tblLayout w:type="fixed"/>
        <w:tblCellMar>
          <w:top w:w="0" w:type="dxa"/>
          <w:left w:w="108" w:type="dxa"/>
          <w:bottom w:w="0" w:type="dxa"/>
          <w:right w:w="108" w:type="dxa"/>
        </w:tblCellMar>
      </w:tblPr>
      <w:tblGrid>
        <w:gridCol w:w="1681"/>
        <w:gridCol w:w="1307"/>
        <w:gridCol w:w="1156"/>
        <w:gridCol w:w="1616"/>
      </w:tblGrid>
      <w:tr>
        <w:trPr/>
        <w:tc>
          <w:tcPr>
            <w:tcW w:w="16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Decimal Value</w:t>
            </w:r>
          </w:p>
        </w:tc>
        <w:tc>
          <w:tcPr>
            <w:tcW w:w="130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Hex Value</w:t>
            </w:r>
          </w:p>
        </w:tc>
        <w:tc>
          <w:tcPr>
            <w:tcW w:w="11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Integer</w:t>
            </w:r>
          </w:p>
        </w:tc>
        <w:tc>
          <w:tcPr>
            <w:tcW w:w="1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Fraction</w:t>
            </w:r>
          </w:p>
        </w:tc>
      </w:tr>
      <w:tr>
        <w:trPr/>
        <w:tc>
          <w:tcPr>
            <w:tcW w:w="168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1.999939</w:t>
            </w:r>
          </w:p>
        </w:tc>
        <w:tc>
          <w:tcPr>
            <w:tcW w:w="130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0x7fff</w:t>
            </w:r>
          </w:p>
        </w:tc>
        <w:tc>
          <w:tcPr>
            <w:tcW w:w="115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1.75</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0x7000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12288/16384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0xffff</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-2.0</w:t>
            </w:r>
          </w:p>
        </w:tc>
        <w:tc>
          <w:tcPr>
            <w:tcW w:w="130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0x8000</w:t>
            </w:r>
          </w:p>
        </w:tc>
        <w:tc>
          <w:tcPr>
            <w:tcW w:w="115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w:t>
            </w:r>
          </w:p>
        </w:tc>
        <w:tc>
          <w:tcPr>
            <w:tcW w:w="16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0/16384</w:t>
            </w:r>
          </w:p>
        </w:tc>
      </w:tr>
    </w:tbl>
    <w:p>
      <w:pPr>
        <w:pStyle w:val="Normal"/>
        <w:spacing w:before="280" w:after="240"/>
        <w:rPr>
          <w:lang w:val="en-GB"/>
        </w:rPr>
      </w:pPr>
      <w:bookmarkStart w:id="167" w:name="docs-internal-guid-0dacfa5e-7fff-8898-e0"/>
      <w:bookmarkEnd w:id="167"/>
      <w:r>
        <w:rPr>
          <w:shd w:fill="FF00FF" w:val="clear"/>
          <w:lang w:val="en-GB"/>
        </w:rPr>
        <w:t xml:space="preserve">The </w:t>
      </w:r>
      <w:r>
        <w:rPr>
          <w:b/>
          <w:bCs/>
          <w:shd w:fill="FF00FF" w:val="clear"/>
          <w:lang w:val="en-GB"/>
        </w:rPr>
        <w:t>F4DOT12</w:t>
      </w:r>
      <w:r>
        <w:rPr>
          <w:shd w:fill="FF00FF" w:val="clear"/>
          <w:lang w:val="en-GB"/>
        </w:rPr>
        <w:t xml:space="preserve"> and </w:t>
      </w:r>
      <w:r>
        <w:rPr>
          <w:b/>
          <w:bCs/>
          <w:shd w:fill="FF00FF" w:val="clear"/>
          <w:lang w:val="en-GB"/>
        </w:rPr>
        <w:t>F6DOT10</w:t>
      </w:r>
      <w:r>
        <w:rPr>
          <w:shd w:fill="FF00FF" w:val="clear"/>
          <w:lang w:val="en-GB"/>
        </w:rPr>
        <w:t xml:space="preserve"> formats work the same way as F2DOT14 but have a larger integer and less precision in the unsigned fraction part.</w:t>
      </w:r>
    </w:p>
    <w:p>
      <w:pPr>
        <w:pStyle w:val="Normal"/>
        <w:spacing w:before="280" w:after="240"/>
        <w:rPr>
          <w:lang w:val="en-GB"/>
        </w:rPr>
      </w:pPr>
      <w:r>
        <w:rPr>
          <w:lang w:val="en-GB"/>
        </w:rPr>
        <w:t xml:space="preserve">A </w:t>
      </w:r>
      <w:r>
        <w:rPr>
          <w:b/>
          <w:bCs/>
          <w:lang w:val="en-GB"/>
        </w:rPr>
        <w:t>Tag</w:t>
      </w:r>
      <w:r>
        <w:rPr>
          <w:lang w:val="en-GB"/>
        </w:rPr>
        <w:t xml:space="preserve"> value is a uint8 array. Each byte within the array shall have a value in the range 0x20 to 0x7E. This corresponds to the range of values of Unicode Basic Latin characters in UTF-8 encoding, which is the same as the printable ASCII characters. As a result, a Tag value can be re-interpreted as a four-character sequence, which is conventionally how they are referred to. Formally, however, the value is a byte array. When re-interpreted as characters, the Tag value is case sensitive. It shall have one to four non-space characters, padded with trailing spaces (byte value 0x20). A space character shall not be followed by a non-space character.</w:t>
      </w:r>
    </w:p>
    <w:p>
      <w:pPr>
        <w:pStyle w:val="BodyText"/>
        <w:bidi w:val="0"/>
        <w:ind w:hanging="0" w:left="0" w:right="0"/>
        <w:rPr>
          <w:shd w:fill="FF00FF" w:val="clear"/>
        </w:rPr>
      </w:pPr>
      <w:r>
        <w:rPr>
          <w:b w:val="false"/>
          <w:bCs w:val="false"/>
          <w:shd w:fill="FF00FF" w:val="clear"/>
        </w:rPr>
        <w:t xml:space="preserve">The </w:t>
      </w:r>
      <w:r>
        <w:rPr>
          <w:b/>
          <w:bCs/>
          <w:shd w:fill="FF00FF" w:val="clear"/>
        </w:rPr>
        <w:t>uint32var</w:t>
      </w:r>
      <w:r>
        <w:rPr>
          <w:shd w:fill="FF00FF" w:val="clear"/>
        </w:rPr>
        <w:t xml:space="preserve"> </w:t>
      </w:r>
      <w:r>
        <w:rPr>
          <w:shd w:fill="FF00FF" w:val="clear"/>
        </w:rPr>
        <w:t xml:space="preserve">format </w:t>
      </w:r>
      <w:r>
        <w:rPr>
          <w:shd w:fill="FF00FF" w:val="clear"/>
        </w:rPr>
        <w:t>is an efficient and compact encoding of uint32 values, using from one to five bytes to store a single value.</w:t>
      </w:r>
    </w:p>
    <w:p>
      <w:pPr>
        <w:pStyle w:val="BodyText"/>
        <w:bidi w:val="0"/>
        <w:ind w:hanging="0" w:left="0" w:right="0"/>
        <w:rPr>
          <w:shd w:fill="auto" w:val="clear"/>
        </w:rPr>
      </w:pPr>
      <w:r>
        <w:rPr>
          <w:shd w:fill="auto" w:val="clear"/>
        </w:rPr>
        <w:t>Values are decoded as follows:</w:t>
      </w:r>
    </w:p>
    <w:p>
      <w:pPr>
        <w:pStyle w:val="BodyText"/>
        <w:bidi w:val="0"/>
        <w:ind w:hanging="0" w:left="0" w:right="0"/>
        <w:rPr>
          <w:shd w:fill="auto" w:val="clear"/>
        </w:rPr>
      </w:pPr>
      <w:r>
        <w:rPr>
          <w:shd w:fill="auto" w:val="clear"/>
        </w:rPr>
        <w:t>If the current byte’s most significant bit (0x80) is zero, return the value.</w:t>
      </w:r>
    </w:p>
    <w:p>
      <w:pPr>
        <w:pStyle w:val="BodyText"/>
        <w:bidi w:val="0"/>
        <w:ind w:hanging="0" w:left="0" w:right="0"/>
        <w:rPr>
          <w:shd w:fill="auto" w:val="clear"/>
        </w:rPr>
      </w:pPr>
      <w:r>
        <w:rPr>
          <w:shd w:fill="auto" w:val="clear"/>
        </w:rPr>
        <w:t>Otherwise, the most significant bits are taken to indicate the number of bytes to follow, as indicated in the following table; the values are stored with the first byte being the most significant.</w:t>
      </w:r>
    </w:p>
    <w:p>
      <w:pPr>
        <w:pStyle w:val="BodyText"/>
        <w:spacing w:before="0" w:after="0"/>
        <w:rPr/>
      </w:pPr>
      <w:r>
        <w:rPr/>
      </w:r>
    </w:p>
    <w:tbl>
      <w:tblPr>
        <w:tblW w:w="9752" w:type="dxa"/>
        <w:jc w:val="left"/>
        <w:tblInd w:w="-10" w:type="dxa"/>
        <w:tblLayout w:type="fixed"/>
        <w:tblCellMar>
          <w:top w:w="100" w:type="dxa"/>
          <w:left w:w="100" w:type="dxa"/>
          <w:bottom w:w="100" w:type="dxa"/>
          <w:right w:w="100" w:type="dxa"/>
        </w:tblCellMar>
      </w:tblPr>
      <w:tblGrid>
        <w:gridCol w:w="1126"/>
        <w:gridCol w:w="1116"/>
        <w:gridCol w:w="1116"/>
        <w:gridCol w:w="1116"/>
        <w:gridCol w:w="5278"/>
      </w:tblGrid>
      <w:tr>
        <w:trPr/>
        <w:tc>
          <w:tcPr>
            <w:tcW w:w="224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Bit</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5278" w:type="dxa"/>
            <w:vMerge w:val="restart"/>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b/>
                <w:bCs/>
                <w:shd w:fill="auto" w:val="clear"/>
              </w:rPr>
            </w:pPr>
            <w:r>
              <w:rPr>
                <w:b/>
                <w:bCs/>
                <w:shd w:fill="auto" w:val="clear"/>
              </w:rPr>
              <w:t>Meaning</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0x80 (1000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0x40 (0100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0x20 (0010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0x10 (0001 0000)</w:t>
            </w:r>
          </w:p>
        </w:tc>
        <w:tc>
          <w:tcPr>
            <w:tcW w:w="527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bidi w:val="0"/>
              <w:spacing w:lineRule="atLeast" w:line="238" w:before="0" w:after="227"/>
              <w:jc w:val="left"/>
              <w:rPr/>
            </w:pPr>
            <w:r>
              <w:rPr/>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zero</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All 7 remaining bits are the value</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One byte follows; the low 6 bits of the first are shifted left 8 bits (multiplied by 256) and the singly following byte is added.</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Two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Three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Four bytes follow</w:t>
            </w:r>
          </w:p>
        </w:tc>
      </w:tr>
    </w:tbl>
    <w:p>
      <w:pPr>
        <w:pStyle w:val="BodyText"/>
        <w:rPr/>
      </w:pPr>
      <w:r>
        <w:rPr/>
      </w:r>
    </w:p>
    <w:p>
      <w:pPr>
        <w:pStyle w:val="BodyText"/>
        <w:bidi w:val="0"/>
        <w:ind w:hanging="0" w:left="0" w:right="0"/>
        <w:rPr>
          <w:shd w:fill="auto" w:val="clear"/>
        </w:rPr>
      </w:pPr>
      <w:r>
        <w:rPr>
          <w:shd w:fill="auto" w:val="clear"/>
        </w:rPr>
        <w:t>The following pseudo-code can be adapted to read and write these variable-byte numbers. Note that although they were inspired by UTF-8 encoding, they are not the same, and achieve greater compression in the font encoding context.</w:t>
      </w:r>
    </w:p>
    <w:p>
      <w:pPr>
        <w:pStyle w:val="Code"/>
        <w:rPr/>
      </w:pPr>
      <w:r>
        <w:rPr/>
        <w:t>def _</w:t>
      </w:r>
      <w:r>
        <w:rPr>
          <w:b/>
          <w:bCs/>
        </w:rPr>
        <w:t>readuint32var</w:t>
      </w:r>
      <w:r>
        <w:rPr/>
        <w:t>(data, i):</w:t>
      </w:r>
    </w:p>
    <w:p>
      <w:pPr>
        <w:pStyle w:val="Code"/>
        <w:rPr/>
      </w:pPr>
      <w:r>
        <w:rPr/>
        <w:t xml:space="preserve">    </w:t>
      </w:r>
      <w:r>
        <w:rPr/>
        <w:t>"""Read a variable-length number from data starting at index i.</w:t>
      </w:r>
    </w:p>
    <w:p>
      <w:pPr>
        <w:pStyle w:val="Code"/>
        <w:rPr/>
      </w:pPr>
      <w:r>
        <w:rPr/>
      </w:r>
    </w:p>
    <w:p>
      <w:pPr>
        <w:pStyle w:val="Code"/>
        <w:rPr/>
      </w:pPr>
      <w:r>
        <w:rPr/>
        <w:t xml:space="preserve">    </w:t>
      </w:r>
      <w:r>
        <w:rPr/>
        <w:t>Return the number and the next index.</w:t>
      </w:r>
    </w:p>
    <w:p>
      <w:pPr>
        <w:pStyle w:val="Code"/>
        <w:rPr/>
      </w:pPr>
      <w:r>
        <w:rPr/>
        <w:t xml:space="preserve">    </w:t>
      </w:r>
      <w:r>
        <w:rPr/>
        <w:t>"""</w:t>
      </w:r>
    </w:p>
    <w:p>
      <w:pPr>
        <w:pStyle w:val="Code"/>
        <w:rPr/>
      </w:pPr>
      <w:r>
        <w:rPr/>
      </w:r>
    </w:p>
    <w:p>
      <w:pPr>
        <w:pStyle w:val="Code"/>
        <w:rPr/>
      </w:pPr>
      <w:r>
        <w:rPr/>
        <w:t xml:space="preserve">    </w:t>
      </w:r>
      <w:r>
        <w:rPr/>
        <w:t>b0 = data[i]</w:t>
      </w:r>
    </w:p>
    <w:p>
      <w:pPr>
        <w:pStyle w:val="Code"/>
        <w:rPr/>
      </w:pPr>
      <w:r>
        <w:rPr/>
        <w:t xml:space="preserve">    </w:t>
      </w:r>
      <w:r>
        <w:rPr>
          <w:b/>
          <w:bCs/>
        </w:rPr>
        <w:t>if</w:t>
      </w:r>
      <w:r>
        <w:rPr/>
        <w:t xml:space="preserve"> b0 &lt; 0x80:</w:t>
      </w:r>
    </w:p>
    <w:p>
      <w:pPr>
        <w:pStyle w:val="Code"/>
        <w:rPr/>
      </w:pPr>
      <w:r>
        <w:rPr/>
        <w:t xml:space="preserve">        </w:t>
      </w:r>
      <w:r>
        <w:rPr>
          <w:b/>
          <w:bCs/>
        </w:rPr>
        <w:t>return</w:t>
      </w:r>
      <w:r>
        <w:rPr/>
        <w:t xml:space="preserve"> b0, i + 1</w:t>
      </w:r>
    </w:p>
    <w:p>
      <w:pPr>
        <w:pStyle w:val="Code"/>
        <w:rPr/>
      </w:pPr>
      <w:r>
        <w:rPr/>
        <w:t xml:space="preserve">    </w:t>
      </w:r>
      <w:r>
        <w:rPr>
          <w:b/>
          <w:bCs/>
        </w:rPr>
        <w:t>elif</w:t>
      </w:r>
      <w:r>
        <w:rPr/>
        <w:t xml:space="preserve"> b0 &lt; 0xC0:</w:t>
      </w:r>
    </w:p>
    <w:p>
      <w:pPr>
        <w:pStyle w:val="Code"/>
        <w:rPr/>
      </w:pPr>
      <w:r>
        <w:rPr/>
        <w:t xml:space="preserve">        </w:t>
      </w:r>
      <w:r>
        <w:rPr>
          <w:b/>
          <w:bCs/>
        </w:rPr>
        <w:t>return</w:t>
      </w:r>
      <w:r>
        <w:rPr/>
        <w:t xml:space="preserve"> (b0 - 0x80) &lt;&lt; 8 | data[i + 1], i + 2</w:t>
      </w:r>
    </w:p>
    <w:p>
      <w:pPr>
        <w:pStyle w:val="Code"/>
        <w:rPr/>
      </w:pPr>
      <w:r>
        <w:rPr/>
        <w:t xml:space="preserve">    </w:t>
      </w:r>
      <w:r>
        <w:rPr>
          <w:b/>
          <w:bCs/>
        </w:rPr>
        <w:t>elif</w:t>
      </w:r>
      <w:r>
        <w:rPr/>
        <w:t xml:space="preserve"> b0 &lt; 0xE0:</w:t>
      </w:r>
    </w:p>
    <w:p>
      <w:pPr>
        <w:pStyle w:val="Code"/>
        <w:rPr/>
      </w:pPr>
      <w:r>
        <w:rPr/>
        <w:t xml:space="preserve">        </w:t>
      </w:r>
      <w:r>
        <w:rPr>
          <w:b/>
          <w:bCs/>
        </w:rPr>
        <w:t>return</w:t>
      </w:r>
      <w:r>
        <w:rPr/>
        <w:t xml:space="preserve"> (b0 - 0xC0) &lt;&lt; 16 | data[i + 1] &lt;&lt; 8 | data[i + 2], i + 3</w:t>
      </w:r>
    </w:p>
    <w:p>
      <w:pPr>
        <w:pStyle w:val="Code"/>
        <w:rPr/>
      </w:pPr>
      <w:r>
        <w:rPr/>
        <w:t xml:space="preserve">    </w:t>
      </w:r>
      <w:r>
        <w:rPr>
          <w:b/>
          <w:bCs/>
        </w:rPr>
        <w:t>elif</w:t>
      </w:r>
      <w:r>
        <w:rPr/>
        <w:t xml:space="preserve"> b0 &lt; 0xF0:</w:t>
      </w:r>
    </w:p>
    <w:p>
      <w:pPr>
        <w:pStyle w:val="Code"/>
        <w:rPr/>
      </w:pPr>
      <w:r>
        <w:rPr/>
        <w:t xml:space="preserve">        </w:t>
      </w:r>
      <w:r>
        <w:rPr>
          <w:b/>
          <w:bCs/>
        </w:rPr>
        <w:t>return</w:t>
      </w:r>
      <w:r>
        <w:rPr/>
        <w:t xml:space="preserve"> (b0 - 0xE0) &lt;&lt; 24 | data[i + 1] &lt;&lt; 16 | data[i + 2] &lt;&lt; 8 | data[</w:t>
      </w:r>
    </w:p>
    <w:p>
      <w:pPr>
        <w:pStyle w:val="Code"/>
        <w:rPr/>
      </w:pPr>
      <w:r>
        <w:rPr/>
        <w:t xml:space="preserve">            </w:t>
      </w:r>
      <w:r>
        <w:rPr/>
        <w:t>i + 3</w:t>
      </w:r>
    </w:p>
    <w:p>
      <w:pPr>
        <w:pStyle w:val="Code"/>
        <w:rPr/>
      </w:pPr>
      <w:r>
        <w:rPr/>
        <w:t xml:space="preserve">        </w:t>
      </w:r>
      <w:r>
        <w:rPr/>
        <w:t>], i + 4</w:t>
      </w:r>
    </w:p>
    <w:p>
      <w:pPr>
        <w:pStyle w:val="Code"/>
        <w:rPr/>
      </w:pPr>
      <w:r>
        <w:rPr/>
        <w:t xml:space="preserve">    </w:t>
      </w:r>
      <w:r>
        <w:rPr>
          <w:b/>
          <w:bCs/>
        </w:rPr>
        <w:t>else</w:t>
      </w:r>
      <w:r>
        <w:rPr/>
        <w:t>:</w:t>
      </w:r>
    </w:p>
    <w:p>
      <w:pPr>
        <w:pStyle w:val="Code"/>
        <w:rPr/>
      </w:pPr>
      <w:r>
        <w:rPr/>
        <w:t xml:space="preserve">        </w:t>
      </w:r>
      <w:r>
        <w:rPr>
          <w:b/>
          <w:bCs/>
        </w:rPr>
        <w:t>return</w:t>
      </w:r>
      <w:r>
        <w:rPr/>
        <w:t xml:space="preserve"> (b0 - 0xF0) &lt;&lt; 32 | data[i + 1] &lt;&lt; 24 | data[i + 2] &lt;&lt; 16 | data[</w:t>
      </w:r>
    </w:p>
    <w:p>
      <w:pPr>
        <w:pStyle w:val="Code"/>
        <w:rPr/>
      </w:pPr>
      <w:r>
        <w:rPr/>
        <w:t xml:space="preserve">            </w:t>
      </w:r>
      <w:r>
        <w:rPr/>
        <w:t>i + 3</w:t>
      </w:r>
    </w:p>
    <w:p>
      <w:pPr>
        <w:pStyle w:val="Code"/>
        <w:rPr/>
      </w:pPr>
      <w:r>
        <w:rPr/>
        <w:t xml:space="preserve">        </w:t>
      </w:r>
      <w:r>
        <w:rPr/>
        <w:t>] &lt;&lt; 8 | data[i + 4], i + 5</w:t>
      </w:r>
    </w:p>
    <w:p>
      <w:pPr>
        <w:pStyle w:val="Code"/>
        <w:rPr/>
      </w:pPr>
      <w:r>
        <w:rPr/>
      </w:r>
    </w:p>
    <w:p>
      <w:pPr>
        <w:pStyle w:val="Code"/>
        <w:rPr/>
      </w:pPr>
      <w:r>
        <w:rPr/>
      </w:r>
    </w:p>
    <w:p>
      <w:pPr>
        <w:pStyle w:val="Code"/>
        <w:rPr/>
      </w:pPr>
      <w:r>
        <w:rPr/>
      </w:r>
    </w:p>
    <w:p>
      <w:pPr>
        <w:pStyle w:val="Code"/>
        <w:rPr/>
      </w:pPr>
      <w:r>
        <w:rPr/>
      </w:r>
    </w:p>
    <w:p>
      <w:pPr>
        <w:pStyle w:val="Code"/>
        <w:rPr/>
      </w:pPr>
      <w:r>
        <w:rPr/>
        <w:t xml:space="preserve">def </w:t>
      </w:r>
      <w:r>
        <w:rPr>
          <w:b/>
          <w:bCs/>
        </w:rPr>
        <w:t>_writeuint32var</w:t>
      </w:r>
      <w:r>
        <w:rPr/>
        <w:t>(v):</w:t>
      </w:r>
    </w:p>
    <w:p>
      <w:pPr>
        <w:pStyle w:val="Code"/>
        <w:rPr/>
      </w:pPr>
      <w:r>
        <w:rPr/>
        <w:t xml:space="preserve">    </w:t>
      </w:r>
      <w:r>
        <w:rPr/>
        <w:t>"""Write a variable-length number.</w:t>
      </w:r>
    </w:p>
    <w:p>
      <w:pPr>
        <w:pStyle w:val="Code"/>
        <w:rPr/>
      </w:pPr>
      <w:r>
        <w:rPr/>
      </w:r>
    </w:p>
    <w:p>
      <w:pPr>
        <w:pStyle w:val="Code"/>
        <w:rPr/>
      </w:pPr>
      <w:r>
        <w:rPr/>
        <w:t xml:space="preserve">    </w:t>
      </w:r>
      <w:r>
        <w:rPr/>
        <w:t>Return the data.</w:t>
      </w:r>
    </w:p>
    <w:p>
      <w:pPr>
        <w:pStyle w:val="Code"/>
        <w:rPr/>
      </w:pPr>
      <w:r>
        <w:rPr/>
        <w:t xml:space="preserve">    </w:t>
      </w:r>
      <w:r>
        <w:rPr/>
        <w:t>"""</w:t>
      </w:r>
    </w:p>
    <w:p>
      <w:pPr>
        <w:pStyle w:val="Code"/>
        <w:rPr/>
      </w:pPr>
      <w:r>
        <w:rPr/>
        <w:t xml:space="preserve">    </w:t>
      </w:r>
      <w:r>
        <w:rPr>
          <w:b/>
          <w:bCs/>
        </w:rPr>
        <w:t>if</w:t>
      </w:r>
      <w:r>
        <w:rPr/>
        <w:t xml:space="preserve"> v &lt; 0x80:</w:t>
      </w:r>
    </w:p>
    <w:p>
      <w:pPr>
        <w:pStyle w:val="Code"/>
        <w:rPr/>
      </w:pPr>
      <w:r>
        <w:rPr/>
        <w:t xml:space="preserve">        </w:t>
      </w:r>
      <w:r>
        <w:rPr/>
        <w:t>return struct.pack("&gt;B", v)</w:t>
      </w:r>
    </w:p>
    <w:p>
      <w:pPr>
        <w:pStyle w:val="Code"/>
        <w:rPr/>
      </w:pPr>
      <w:r>
        <w:rPr/>
        <w:t xml:space="preserve">    </w:t>
      </w:r>
      <w:r>
        <w:rPr>
          <w:b/>
          <w:bCs/>
        </w:rPr>
        <w:t>elif</w:t>
      </w:r>
      <w:r>
        <w:rPr/>
        <w:t xml:space="preserve"> v &lt; 0x4000:</w:t>
      </w:r>
    </w:p>
    <w:p>
      <w:pPr>
        <w:pStyle w:val="Code"/>
        <w:rPr/>
      </w:pPr>
      <w:r>
        <w:rPr/>
        <w:t xml:space="preserve">        </w:t>
      </w:r>
      <w:r>
        <w:rPr/>
        <w:t>return struct.pack("&gt;H", (v | 0x8000))</w:t>
      </w:r>
    </w:p>
    <w:p>
      <w:pPr>
        <w:pStyle w:val="Code"/>
        <w:rPr/>
      </w:pPr>
      <w:r>
        <w:rPr/>
        <w:t xml:space="preserve">    </w:t>
      </w:r>
      <w:r>
        <w:rPr>
          <w:b/>
          <w:bCs/>
        </w:rPr>
        <w:t>elif</w:t>
      </w:r>
      <w:r>
        <w:rPr/>
        <w:t xml:space="preserve"> v &lt; 0x200000:</w:t>
      </w:r>
    </w:p>
    <w:p>
      <w:pPr>
        <w:pStyle w:val="Code"/>
        <w:rPr/>
      </w:pPr>
      <w:r>
        <w:rPr/>
        <w:t xml:space="preserve">        </w:t>
      </w:r>
      <w:r>
        <w:rPr/>
        <w:t>return struct.pack("&gt;L", (v | 0xC00000))[1:]</w:t>
      </w:r>
    </w:p>
    <w:p>
      <w:pPr>
        <w:pStyle w:val="Code"/>
        <w:rPr/>
      </w:pPr>
      <w:r>
        <w:rPr/>
        <w:t xml:space="preserve">    </w:t>
      </w:r>
      <w:r>
        <w:rPr>
          <w:b/>
          <w:bCs/>
        </w:rPr>
        <w:t>elif</w:t>
      </w:r>
      <w:r>
        <w:rPr/>
        <w:t xml:space="preserve"> v &lt; 0x10000000:</w:t>
      </w:r>
    </w:p>
    <w:p>
      <w:pPr>
        <w:pStyle w:val="Code"/>
        <w:rPr/>
      </w:pPr>
      <w:r>
        <w:rPr/>
        <w:t xml:space="preserve">        </w:t>
      </w:r>
      <w:r>
        <w:rPr/>
        <w:t>return struct.pack("&gt;L", (v | 0xE0000000))</w:t>
      </w:r>
    </w:p>
    <w:p>
      <w:pPr>
        <w:pStyle w:val="Code"/>
        <w:rPr/>
      </w:pPr>
      <w:r>
        <w:rPr/>
        <w:t xml:space="preserve">    </w:t>
      </w:r>
      <w:r>
        <w:rPr>
          <w:b/>
          <w:bCs/>
        </w:rPr>
        <w:t>else</w:t>
      </w:r>
      <w:r>
        <w:rPr/>
        <w:t>:</w:t>
      </w:r>
    </w:p>
    <w:p>
      <w:pPr>
        <w:pStyle w:val="Code"/>
        <w:rPr/>
      </w:pPr>
      <w:r>
        <w:rPr/>
        <w:t xml:space="preserve">        </w:t>
      </w:r>
      <w:r>
        <w:rPr/>
        <w:t>return struct.pack("&gt;B", 0xF0) + struct.pack("&gt;L", v)</w:t>
      </w:r>
    </w:p>
    <w:p>
      <w:pPr>
        <w:pStyle w:val="Code"/>
        <w:rPr/>
      </w:pPr>
      <w:r>
        <w:rPr/>
      </w:r>
    </w:p>
    <w:p>
      <w:pPr>
        <w:pStyle w:val="BodyText"/>
        <w:bidi w:val="0"/>
        <w:ind w:hanging="0" w:left="0" w:right="0"/>
        <w:rPr>
          <w:shd w:fill="auto" w:val="clear"/>
        </w:rPr>
      </w:pPr>
      <w:r>
        <w:rPr>
          <w:shd w:fill="auto" w:val="clear"/>
        </w:rPr>
      </w:r>
    </w:p>
    <w:p>
      <w:pPr>
        <w:pStyle w:val="BodyText"/>
        <w:bidi w:val="0"/>
        <w:ind w:hanging="0" w:left="0" w:right="0"/>
        <w:rPr>
          <w:shd w:fill="FF00FF" w:val="clear"/>
        </w:rPr>
      </w:pPr>
      <w:r>
        <w:rPr>
          <w:shd w:fill="FF00FF" w:val="clear"/>
        </w:rPr>
        <w:t xml:space="preserve">The </w:t>
      </w:r>
      <w:r>
        <w:rPr>
          <w:b/>
          <w:bCs/>
          <w:shd w:fill="FF00FF" w:val="clear"/>
        </w:rPr>
        <w:t>TupleValues</w:t>
      </w:r>
      <w:r>
        <w:rPr>
          <w:shd w:fill="FF00FF" w:val="clear"/>
        </w:rPr>
        <w:t xml:space="preserve"> format</w:t>
      </w:r>
      <w:r>
        <w:rPr>
          <w:shd w:fill="FF00FF" w:val="clear"/>
        </w:rPr>
        <w:t xml:space="preserve"> is essentially the same as Packed Deltas </w:t>
      </w:r>
      <w:r>
        <w:rPr>
          <w:shd w:fill="FF00FF" w:val="clear"/>
        </w:rPr>
        <w:t xml:space="preserve">(see 7.2.2.6) </w:t>
      </w:r>
      <w:r>
        <w:rPr>
          <w:shd w:fill="FF00FF" w:val="clear"/>
        </w:rPr>
        <w:t xml:space="preserve">from the TupleVariationStore, but modified to allow storing 32-bit values: if DELTAS_ARE_ZERO and DELTAS_ARE_WORDS are both set in the control byte, then the following values are interpreted as 32-bit. </w:t>
      </w:r>
    </w:p>
    <w:p>
      <w:pPr>
        <w:pStyle w:val="NOTE2"/>
        <w:rPr/>
      </w:pPr>
      <w:r>
        <w:rPr/>
        <w:t>NOTE</w:t>
        <w:tab/>
        <w:t>T</w:t>
      </w:r>
      <w:r>
        <w:rPr/>
        <w:t>hose two flags, corresponding to the topmost two bits in the control byte, could not otherwise both be set.</w:t>
      </w:r>
    </w:p>
    <w:p>
      <w:pPr>
        <w:pStyle w:val="BodyText"/>
        <w:bidi w:val="0"/>
        <w:ind w:hanging="0" w:left="0" w:right="0"/>
        <w:rPr>
          <w:shd w:fill="auto" w:val="clear"/>
        </w:rPr>
      </w:pPr>
      <w:r>
        <w:rPr>
          <w:shd w:fill="auto" w:val="clear"/>
        </w:rPr>
        <w:t>TupleValues are used in two ways:</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known in advance, decoding stops when all the values are decoded.</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not known in advance, but the number of encoded bytes is known, then values are decoded until all the encoded bytes have been processed.</w:t>
      </w:r>
    </w:p>
    <w:p>
      <w:pPr>
        <w:pStyle w:val="Heading5"/>
        <w:ind w:hanging="1083" w:left="1083"/>
        <w:rPr>
          <w:shd w:fill="auto" w:val="clear"/>
          <w:lang w:val="en-GB"/>
        </w:rPr>
      </w:pPr>
      <w:r>
        <w:rPr/>
      </w:r>
    </w:p>
    <w:p>
      <w:pPr>
        <w:pStyle w:val="Normal"/>
        <w:spacing w:before="280" w:after="240"/>
        <w:rPr>
          <w:rFonts w:cs="Calibri"/>
        </w:rPr>
      </w:pPr>
      <w:r>
        <w:rPr>
          <w:rFonts w:cs="Calibri"/>
        </w:rPr>
        <w:t>Within this specification, many structures are defined in terms of the data types listed above. Structures are characterized as either </w:t>
      </w:r>
      <w:r>
        <w:rPr>
          <w:rFonts w:cs="Calibri"/>
          <w:i/>
          <w:iCs/>
        </w:rPr>
        <w:t>records</w:t>
      </w:r>
      <w:r>
        <w:rPr>
          <w:rFonts w:cs="Calibri"/>
        </w:rPr>
        <w:t> or </w:t>
      </w:r>
      <w:r>
        <w:rPr>
          <w:rFonts w:cs="Calibri"/>
          <w:i/>
          <w:iCs/>
        </w:rPr>
        <w:t>tables</w:t>
      </w:r>
      <w:r>
        <w:rPr>
          <w:rFonts w:cs="Calibri"/>
        </w:rPr>
        <w:t>. The distinction between records and tables is based on these general criteria:</w:t>
      </w:r>
    </w:p>
    <w:p>
      <w:pPr>
        <w:pStyle w:val="Normal"/>
        <w:numPr>
          <w:ilvl w:val="0"/>
          <w:numId w:val="16"/>
        </w:numPr>
        <w:tabs>
          <w:tab w:val="clear" w:pos="720"/>
        </w:tabs>
        <w:spacing w:lineRule="auto" w:line="240" w:before="60" w:after="60"/>
        <w:ind w:hanging="357" w:left="714"/>
        <w:jc w:val="left"/>
        <w:rPr>
          <w:rFonts w:cs="Calibri"/>
        </w:rPr>
      </w:pPr>
      <w:r>
        <w:rPr>
          <w:rFonts w:cs="Calibri"/>
        </w:rPr>
        <w:t>Tables are referenced by offsets. If a table contains an offset to a sub-structure, the offset is normally from the start of that table.</w:t>
      </w:r>
    </w:p>
    <w:p>
      <w:pPr>
        <w:pStyle w:val="Normal"/>
        <w:numPr>
          <w:ilvl w:val="0"/>
          <w:numId w:val="16"/>
        </w:numPr>
        <w:tabs>
          <w:tab w:val="clear" w:pos="720"/>
        </w:tabs>
        <w:spacing w:lineRule="auto" w:line="240" w:before="60" w:after="60"/>
        <w:ind w:hanging="357" w:left="714"/>
        <w:jc w:val="left"/>
        <w:rPr>
          <w:rFonts w:cs="Calibri"/>
        </w:rPr>
      </w:pPr>
      <w:r>
        <w:rPr>
          <w:rFonts w:cs="Calibri"/>
        </w:rPr>
        <w:t>Records occur sequentially within a parent structure, either within a sequence of table fields or within an array of records of a given type. If a record contains an offset to a sub-structure, that structure is logically a subtable of the record’s parent table and the offset is normally from the start of the parent table.</w:t>
      </w:r>
    </w:p>
    <w:p>
      <w:pPr>
        <w:pStyle w:val="Normal"/>
        <w:spacing w:before="280" w:after="240"/>
        <w:rPr>
          <w:lang w:val="en-GB"/>
        </w:rPr>
      </w:pPr>
      <w:r>
        <w:rPr>
          <w:rFonts w:cs="Calibri"/>
        </w:rPr>
        <w:t>In some cases, fields for subtable offsets are documented as permitting NULL values when the given subtable is optional. For example, in the ‘BASE’ table header, the horizAxisOffset and vertAxisOffset fields may be NULL, meaning that either subtable (or both) is optional. A NULL subtable offset always indicates that the given subtable is not present. Applications shall never interpret a NULL offset value as the offset to subtable data. For cases in which subtable offset fields are not documented as permitting NULL values, font compilers shall include a subtable of the indicated format, even if it is a header stub without further data (for example, a coverage table with no glyph IDs). Applications parsing font data should, however, anticipate non-conformant font data that has a NULL subtable offset where only a non-NULL value is expected.</w:t>
      </w:r>
    </w:p>
    <w:p>
      <w:pPr>
        <w:pStyle w:val="BodyText"/>
        <w:bidi w:val="0"/>
        <w:ind w:hanging="0" w:left="0" w:right="0"/>
        <w:rPr>
          <w:shd w:fill="800080" w:val="clear"/>
        </w:rPr>
      </w:pPr>
      <w:r>
        <w:rPr>
          <w:shd w:fill="00FFFF" w:val="clear"/>
        </w:rPr>
      </w:r>
    </w:p>
    <w:p>
      <w:pPr>
        <w:pStyle w:val="BodyText"/>
        <w:bidi w:val="0"/>
        <w:rPr/>
      </w:pPr>
      <w:r>
        <w:rPr/>
        <w:t>Replace section 6.2.2 as follows:</w:t>
      </w:r>
    </w:p>
    <w:p>
      <w:pPr>
        <w:pStyle w:val="Heading3"/>
        <w:spacing w:before="280" w:after="240"/>
        <w:ind w:hanging="720" w:left="720"/>
        <w:rPr/>
      </w:pPr>
      <w:bookmarkStart w:id="168" w:name="__RefHeading___Toc168180_4187903474"/>
      <w:bookmarkStart w:id="169" w:name="_Toc133507365"/>
      <w:bookmarkStart w:id="170" w:name="_Toc534817069"/>
      <w:bookmarkStart w:id="171" w:name="_Toc521662533"/>
      <w:bookmarkStart w:id="172" w:name="_Toc518658287"/>
      <w:bookmarkEnd w:id="168"/>
      <w:r>
        <w:rPr/>
        <w:t>OFF layout and Font variations</w:t>
      </w:r>
      <w:bookmarkEnd w:id="169"/>
      <w:bookmarkEnd w:id="170"/>
      <w:bookmarkEnd w:id="171"/>
      <w:bookmarkEnd w:id="172"/>
      <w:r>
        <w:rPr/>
        <w:t xml:space="preserve"> </w:t>
      </w:r>
      <w:r>
        <w:rPr/>
        <w:t>[6.2.2]</w:t>
      </w:r>
    </w:p>
    <w:p>
      <w:pPr>
        <w:pStyle w:val="Normal"/>
        <w:rPr/>
      </w:pPr>
      <w:r>
        <w:rPr/>
        <w:t xml:space="preserve">OFF Font Variations allow a single font to support many design variations along one or more axes of design variation. For example, a font with weight and width variations might support weights from thin to black, and widths from ultra-condensed to ultra-expanded. For general information on OFF Font Variations, see </w:t>
      </w:r>
      <w:hyperlink w:anchor="_Font_variations_overview">
        <w:r>
          <w:rPr>
            <w:rStyle w:val="Hyperlink"/>
            <w:lang w:val="en-GB"/>
          </w:rPr>
          <w:t>subclause 7.1</w:t>
        </w:r>
      </w:hyperlink>
      <w:r>
        <w:rPr/>
        <w:t>.</w:t>
      </w:r>
    </w:p>
    <w:p>
      <w:pPr>
        <w:pStyle w:val="Normal"/>
        <w:rPr/>
      </w:pPr>
      <w:r>
        <w:rPr/>
        <w:t xml:space="preserve">When different variation instances are selected, the design and metrics of individual glyphs changes. This can impact font-unit values given in GPOS, BASE, JSTF or GDEF tables, such as the X and Y coordinates of an attachment anchor position. The font-unit values given in these tables apply to the default instance of a variable font. If adjustments are needed for different variation instances, this is done using variation data with processes similar to those used for glyph outlines and other font data, as described in </w:t>
      </w:r>
      <w:hyperlink w:anchor="_Font_variations_overview">
        <w:r>
          <w:rPr>
            <w:rStyle w:val="Hyperlink"/>
            <w:lang w:val="en-GB"/>
          </w:rPr>
          <w:t>subclause 7.1</w:t>
        </w:r>
      </w:hyperlink>
      <w:r>
        <w:rPr/>
        <w:t xml:space="preserve">. The variation data for GPOS, JSTF or GDEF values is contained in an </w:t>
      </w:r>
      <w:r>
        <w:rPr>
          <w:i/>
          <w:iCs/>
        </w:rPr>
        <w:t>ItemVariationStore</w:t>
      </w:r>
      <w:r>
        <w:rPr/>
        <w:t xml:space="preserve"> table which, in turn, is contained within the GDEF table; variation data for BASE values is contained in an ItemVariationStore table within the BASE table itself. The format of the ItemVariationStore is described in detail in the </w:t>
      </w:r>
      <w:hyperlink w:anchor="_Font_variations_common">
        <w:r>
          <w:rPr>
            <w:rStyle w:val="Hyperlink"/>
            <w:lang w:val="en-GB"/>
          </w:rPr>
          <w:t>subclause 7.2</w:t>
        </w:r>
      </w:hyperlink>
      <w:r>
        <w:rPr/>
        <w:t xml:space="preserve">. For font-unit values within the GPOS, BASE, JSTF or GDEF tables that require variation, references to specific variation data within the ItemVariationStore are provided in </w:t>
      </w:r>
      <w:r>
        <w:rPr>
          <w:i/>
          <w:iCs/>
        </w:rPr>
        <w:t>VariationIndex tables</w:t>
      </w:r>
      <w:r>
        <w:rPr/>
        <w:t>, described below.</w:t>
      </w:r>
    </w:p>
    <w:p>
      <w:pPr>
        <w:pStyle w:val="Normal"/>
        <w:bidi w:val="0"/>
        <w:rPr/>
      </w:pPr>
      <w:r>
        <w:rPr/>
        <w:t xml:space="preserve">In some variable fonts, it may be desirable to have different glyph-substitution or glyph-positioning actions used for different regions within the font’s variation space. For example, for narrow or heavy instances in which counters become small, it may be desirable to make certain glyph substitutions to use alternate glyphs with certain strokes removed or outlines simplified to allow for larger counters. Such effects can be achieved using a </w:t>
      </w:r>
      <w:r>
        <w:rPr>
          <w:i/>
          <w:iCs/>
        </w:rPr>
        <w:t>FeatureVariations</w:t>
      </w:r>
      <w:r>
        <w:rPr/>
        <w:t xml:space="preserve"> table within either the GSUB or GPOS table. The FeatureVariations table is described below.</w:t>
      </w:r>
    </w:p>
    <w:p>
      <w:pPr>
        <w:pStyle w:val="Normal"/>
        <w:bidi w:val="0"/>
        <w:rPr>
          <w:shd w:fill="800080" w:val="clear"/>
        </w:rPr>
      </w:pPr>
      <w:r>
        <w:rPr>
          <w:shd w:fill="800080" w:val="clear"/>
        </w:rPr>
        <w:t xml:space="preserve">Where composite glyphs are constructed by statically transforming references to other glyphs, the VARC table allows for referring to other glyphs at different variation locations. Moreover, this location, and the component transforms, can vary. </w:t>
      </w:r>
      <w:r>
        <w:rPr>
          <w:shd w:fill="800080" w:val="clear"/>
        </w:rPr>
        <w:t xml:space="preserve">The ‘VARC’ table uses a </w:t>
      </w:r>
      <w:r>
        <w:rPr>
          <w:i/>
          <w:iCs/>
          <w:shd w:fill="800080" w:val="clear"/>
        </w:rPr>
        <w:t>MultiItemVariationStore</w:t>
      </w:r>
      <w:r>
        <w:rPr>
          <w:shd w:fill="800080" w:val="clear"/>
        </w:rPr>
        <w:t xml:space="preserve"> subtable  which is defined in </w:t>
      </w:r>
      <w:r>
        <w:rPr>
          <w:shd w:fill="800080" w:val="clear"/>
        </w:rPr>
        <w:t>[section 7..2 Font Variations Common Table Formats].</w:t>
      </w:r>
    </w:p>
    <w:p>
      <w:pPr>
        <w:pStyle w:val="Normal"/>
        <w:spacing w:before="0" w:after="0"/>
        <w:rPr/>
      </w:pPr>
      <w:r>
        <w:rPr/>
        <w:br/>
      </w:r>
    </w:p>
    <w:p>
      <w:pPr>
        <w:pStyle w:val="BodyText"/>
        <w:bidi w:val="0"/>
        <w:rPr/>
      </w:pPr>
      <w:r>
        <w:rPr/>
      </w:r>
    </w:p>
    <w:p>
      <w:pPr>
        <w:pStyle w:val="BodyText"/>
        <w:bidi w:val="0"/>
        <w:rPr>
          <w:shd w:fill="800080" w:val="clear"/>
        </w:rPr>
      </w:pPr>
      <w:r>
        <w:rPr>
          <w:shd w:fill="800080" w:val="clear"/>
        </w:rPr>
        <w:t>Add a new subsection 7.2.3.6 just before 7.2.4 Design-variation axis tag registry</w:t>
      </w:r>
    </w:p>
    <w:p>
      <w:pPr>
        <w:pStyle w:val="BodyText"/>
        <w:bidi w:val="0"/>
        <w:rPr/>
      </w:pPr>
      <w:r>
        <w:rPr/>
      </w:r>
    </w:p>
    <w:p>
      <w:pPr>
        <w:pStyle w:val="Heading5"/>
        <w:ind w:hanging="1083" w:left="1083"/>
        <w:rPr/>
      </w:pPr>
      <w:r>
        <w:rPr/>
        <w:t xml:space="preserve">MultiItemVariationStore </w:t>
      </w:r>
      <w:r>
        <w:rPr/>
        <w:t>[7.2.3.6]</w:t>
      </w:r>
    </w:p>
    <w:p>
      <w:pPr>
        <w:pStyle w:val="BodyText"/>
        <w:bidi w:val="0"/>
        <w:ind w:hanging="0" w:left="0" w:right="0"/>
        <w:rPr/>
      </w:pPr>
      <w:r>
        <w:rPr>
          <w:shd w:fill="auto" w:val="clear"/>
        </w:rPr>
        <w:t xml:space="preserve">This structure is a hybrid between </w:t>
      </w:r>
      <w:r>
        <w:rPr>
          <w:i/>
          <w:iCs/>
          <w:shd w:fill="auto" w:val="clear"/>
        </w:rPr>
        <w:t>ItemVariationStore</w:t>
      </w:r>
      <w:r>
        <w:rPr>
          <w:shd w:fill="auto" w:val="clear"/>
        </w:rPr>
        <w:t xml:space="preserve"> and </w:t>
      </w:r>
      <w:r>
        <w:rPr>
          <w:i/>
          <w:iCs/>
          <w:shd w:fill="auto" w:val="clear"/>
        </w:rPr>
        <w:t>TupleVariationStore</w:t>
      </w:r>
      <w:r>
        <w:rPr>
          <w:shd w:fill="auto" w:val="clear"/>
        </w:rPr>
        <w:t xml:space="preserve"> that is designed for more space-efficient storage of variations of tuples of numbers. </w:t>
      </w:r>
      <w:r>
        <w:rPr>
          <w:shd w:fill="auto" w:val="clear"/>
        </w:rPr>
        <w:t>It is used in the VARC table for variable composite glyphs.</w:t>
      </w:r>
    </w:p>
    <w:p>
      <w:pPr>
        <w:pStyle w:val="BodyText"/>
        <w:bidi w:val="0"/>
        <w:ind w:hanging="0" w:left="0" w:right="0"/>
        <w:rPr/>
      </w:pPr>
      <w:r>
        <w:rPr>
          <w:shd w:fill="auto" w:val="clear"/>
        </w:rPr>
        <w:t xml:space="preserve">Like </w:t>
      </w:r>
      <w:r>
        <w:rPr>
          <w:i/>
          <w:iCs/>
          <w:shd w:fill="auto" w:val="clear"/>
        </w:rPr>
        <w:t>ItemVariationStore</w:t>
      </w:r>
      <w:r>
        <w:rPr>
          <w:shd w:fill="auto" w:val="clear"/>
        </w:rPr>
        <w:t xml:space="preserve">, entries are addressed using a 32-bit </w:t>
      </w:r>
      <w:r>
        <w:rPr>
          <w:i/>
          <w:iCs/>
          <w:shd w:fill="auto" w:val="clear"/>
        </w:rPr>
        <w:t>VarIdx</w:t>
      </w:r>
      <w:r>
        <w:rPr>
          <w:shd w:fill="auto" w:val="clear"/>
        </w:rPr>
        <w:t>, with the top 16 bits called the “outer” index, and the lower 16 bits called the “inner” index.</w:t>
      </w:r>
    </w:p>
    <w:p>
      <w:pPr>
        <w:pStyle w:val="BodyText"/>
        <w:bidi w:val="0"/>
        <w:ind w:hanging="0" w:left="0" w:right="0"/>
        <w:rPr/>
      </w:pPr>
      <w:r>
        <w:rPr>
          <w:shd w:fill="auto" w:val="clear"/>
        </w:rPr>
        <w:t xml:space="preserve">Whereas the </w:t>
      </w:r>
      <w:r>
        <w:rPr>
          <w:i/>
          <w:iCs/>
          <w:shd w:fill="auto" w:val="clear"/>
        </w:rPr>
        <w:t>ItemVariationStore</w:t>
      </w:r>
      <w:r>
        <w:rPr>
          <w:shd w:fill="auto" w:val="clear"/>
        </w:rPr>
        <w:t xml:space="preserve"> stores deltas for a single scalar value for each </w:t>
      </w:r>
      <w:r>
        <w:rPr>
          <w:i/>
          <w:iCs/>
          <w:shd w:fill="auto" w:val="clear"/>
        </w:rPr>
        <w:t>VarIdx</w:t>
      </w:r>
      <w:r>
        <w:rPr>
          <w:shd w:fill="auto" w:val="clear"/>
        </w:rPr>
        <w:t xml:space="preserve">, the </w:t>
      </w:r>
      <w:r>
        <w:rPr>
          <w:i/>
          <w:iCs/>
          <w:shd w:fill="auto" w:val="clear"/>
        </w:rPr>
        <w:t>MultiItemVariationStore</w:t>
      </w:r>
      <w:r>
        <w:rPr>
          <w:shd w:fill="auto" w:val="clear"/>
        </w:rPr>
        <w:t xml:space="preserve"> stores deltas for a tuple for each </w:t>
      </w:r>
      <w:r>
        <w:rPr>
          <w:i/>
          <w:iCs/>
          <w:shd w:fill="auto" w:val="clear"/>
        </w:rPr>
        <w:t>VarIdx</w:t>
      </w:r>
      <w:r>
        <w:rPr>
          <w:shd w:fill="auto" w:val="clear"/>
        </w:rPr>
        <w:t xml:space="preserve">. Compared to </w:t>
      </w:r>
      <w:r>
        <w:rPr>
          <w:i/>
          <w:iCs/>
          <w:shd w:fill="auto" w:val="clear"/>
        </w:rPr>
        <w:t>ItemVariationStore</w:t>
      </w:r>
      <w:r>
        <w:rPr>
          <w:shd w:fill="auto" w:val="clear"/>
        </w:rPr>
        <w:t xml:space="preserve">, the </w:t>
      </w:r>
      <w:r>
        <w:rPr>
          <w:i/>
          <w:iCs/>
          <w:shd w:fill="auto" w:val="clear"/>
        </w:rPr>
        <w:t>MultiItemVariationStore</w:t>
      </w:r>
      <w:r>
        <w:rPr>
          <w:shd w:fill="auto" w:val="clear"/>
        </w:rPr>
        <w:t xml:space="preserve"> uses a sparse encoding of the active axes for each region, which is more efficient in fonts with many axes.</w:t>
      </w:r>
    </w:p>
    <w:p>
      <w:pPr>
        <w:pStyle w:val="BodyText"/>
        <w:bidi w:val="0"/>
        <w:ind w:hanging="0" w:left="0" w:right="0"/>
        <w:rPr/>
      </w:pPr>
      <w:r>
        <w:rPr>
          <w:shd w:fill="auto" w:val="clear"/>
        </w:rPr>
        <w:t xml:space="preserve">Compared to </w:t>
      </w:r>
      <w:r>
        <w:rPr>
          <w:i/>
          <w:iCs/>
          <w:shd w:fill="auto" w:val="clear"/>
        </w:rPr>
        <w:t>TupleVariationStore</w:t>
      </w:r>
      <w:r>
        <w:rPr>
          <w:shd w:fill="auto" w:val="clear"/>
        </w:rPr>
        <w:t xml:space="preserve">, the </w:t>
      </w:r>
      <w:r>
        <w:rPr>
          <w:i/>
          <w:iCs/>
          <w:shd w:fill="auto" w:val="clear"/>
        </w:rPr>
        <w:t>MultiItemVariationStore</w:t>
      </w:r>
      <w:r>
        <w:rPr>
          <w:shd w:fill="auto" w:val="clear"/>
        </w:rPr>
        <w:t xml:space="preserve"> is optimized for smaller tuples and allows tuple-sharing, which is important for its efficiency over the </w:t>
      </w:r>
      <w:r>
        <w:rPr>
          <w:i/>
          <w:iCs/>
          <w:shd w:fill="auto" w:val="clear"/>
        </w:rPr>
        <w:t>TupleVariationStore</w:t>
      </w:r>
      <w:r>
        <w:rPr>
          <w:shd w:fill="auto" w:val="clear"/>
        </w:rPr>
        <w:t xml:space="preserve">. It also </w:t>
      </w:r>
      <w:r>
        <w:rPr>
          <w:shd w:fill="auto" w:val="clear"/>
        </w:rPr>
        <w:t>avoids</w:t>
      </w:r>
      <w:r>
        <w:rPr>
          <w:shd w:fill="auto" w:val="clear"/>
        </w:rPr>
        <w:t xml:space="preserve"> some of the limitations </w:t>
      </w:r>
      <w:r>
        <w:rPr>
          <w:shd w:fill="auto" w:val="clear"/>
        </w:rPr>
        <w:t>of</w:t>
      </w:r>
      <w:r>
        <w:rPr>
          <w:shd w:fill="auto" w:val="clear"/>
        </w:rPr>
        <w:t xml:space="preserve"> </w:t>
      </w:r>
      <w:r>
        <w:rPr>
          <w:i/>
          <w:iCs/>
          <w:shd w:fill="auto" w:val="clear"/>
        </w:rPr>
        <w:t>TupleVariationStore</w:t>
      </w:r>
      <w:r>
        <w:rPr>
          <w:shd w:fill="auto" w:val="clear"/>
        </w:rPr>
        <w:t>, such as the total size of an entry being limited to 64KBytes.</w:t>
      </w:r>
    </w:p>
    <w:p>
      <w:pPr>
        <w:pStyle w:val="BodyText"/>
        <w:bidi w:val="0"/>
        <w:ind w:hanging="0" w:left="0" w:right="0"/>
        <w:rPr/>
      </w:pPr>
      <w:r>
        <w:rPr>
          <w:shd w:fill="auto" w:val="clear"/>
        </w:rPr>
        <w:t xml:space="preserve">The following structures form the </w:t>
      </w:r>
      <w:r>
        <w:rPr>
          <w:i/>
          <w:iCs/>
          <w:shd w:fill="auto" w:val="clear"/>
        </w:rPr>
        <w:t>MultiItemVariationStore</w:t>
      </w:r>
      <w:r>
        <w:rPr>
          <w:shd w:fill="auto" w:val="clear"/>
        </w:rPr>
        <w:t xml:space="preserve">. Its processing is fairly similar to that of the </w:t>
      </w:r>
      <w:r>
        <w:rPr>
          <w:i/>
          <w:iCs/>
          <w:shd w:fill="auto" w:val="clear"/>
        </w:rPr>
        <w:t>ItemVariationStore</w:t>
      </w:r>
      <w:r>
        <w:rPr>
          <w:shd w:fill="auto" w:val="clear"/>
        </w:rPr>
        <w:t xml:space="preserve">, except that the deltas encoded for each entry consist of multiple numbers per region. The </w:t>
      </w:r>
      <w:r>
        <w:rPr>
          <w:i/>
          <w:iCs/>
          <w:shd w:fill="auto" w:val="clear"/>
        </w:rPr>
        <w:t>TupleValues</w:t>
      </w:r>
      <w:r>
        <w:rPr>
          <w:shd w:fill="auto" w:val="clear"/>
        </w:rPr>
        <w:t xml:space="preserve"> for each entry is the concatenation of the tuple deltas for each region.</w:t>
      </w:r>
    </w:p>
    <w:p>
      <w:pPr>
        <w:pStyle w:val="BodyText"/>
        <w:bidi w:val="0"/>
        <w:ind w:hanging="0" w:left="0" w:right="0"/>
        <w:rPr>
          <w:i/>
          <w:i/>
          <w:iCs/>
          <w:shd w:fill="auto" w:val="clear"/>
        </w:rPr>
      </w:pPr>
      <w:r>
        <w:rPr>
          <w:i/>
          <w:iCs/>
          <w:shd w:fill="auto" w:val="clear"/>
        </w:rPr>
        <w:t>MultiItemVariationStore</w:t>
      </w:r>
    </w:p>
    <w:tbl>
      <w:tblPr>
        <w:tblW w:w="9742" w:type="dxa"/>
        <w:jc w:val="left"/>
        <w:tblInd w:w="-10" w:type="dxa"/>
        <w:tblLayout w:type="fixed"/>
        <w:tblCellMar>
          <w:top w:w="100" w:type="dxa"/>
          <w:left w:w="100" w:type="dxa"/>
          <w:bottom w:w="100" w:type="dxa"/>
          <w:right w:w="100" w:type="dxa"/>
        </w:tblCellMar>
      </w:tblPr>
      <w:tblGrid>
        <w:gridCol w:w="1456"/>
        <w:gridCol w:w="2786"/>
        <w:gridCol w:w="5500"/>
      </w:tblGrid>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format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1</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VariationRegionListOffset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 to array of Spar</w:t>
            </w:r>
            <w:r>
              <w:rPr>
                <w:shd w:fill="auto" w:val="clear"/>
              </w:rPr>
              <w:t>s</w:t>
            </w:r>
            <w:r>
              <w:rPr>
                <w:shd w:fill="auto" w:val="clear"/>
              </w:rPr>
              <w:t>eVariationRegionList, measured from the start of the MultiItemVariationStore</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t>Number of ItemVariationDataOffsets records</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itemVariationDataOffsets[itemVariationDataCount]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ItemVariationDataOffsets records, measured from the start of the MultiItemVariationStore</w:t>
            </w:r>
          </w:p>
        </w:tc>
      </w:tr>
    </w:tbl>
    <w:p>
      <w:pPr>
        <w:pStyle w:val="BodyText"/>
        <w:rPr/>
      </w:pPr>
      <w:r>
        <w:rPr/>
      </w:r>
    </w:p>
    <w:p>
      <w:pPr>
        <w:pStyle w:val="BodyText"/>
        <w:bidi w:val="0"/>
        <w:ind w:hanging="0" w:left="0" w:right="0"/>
        <w:rPr>
          <w:i/>
          <w:i/>
          <w:iCs/>
          <w:shd w:fill="auto" w:val="clear"/>
        </w:rPr>
      </w:pPr>
      <w:r>
        <w:rPr>
          <w:i/>
          <w:iCs/>
          <w:shd w:fill="auto" w:val="clear"/>
        </w:rPr>
        <w:t>SparseVariationRegionList</w:t>
      </w:r>
    </w:p>
    <w:tbl>
      <w:tblPr>
        <w:tblW w:w="9750" w:type="dxa"/>
        <w:jc w:val="left"/>
        <w:tblInd w:w="-10" w:type="dxa"/>
        <w:tblLayout w:type="fixed"/>
        <w:tblCellMar>
          <w:top w:w="100" w:type="dxa"/>
          <w:left w:w="100" w:type="dxa"/>
          <w:bottom w:w="100" w:type="dxa"/>
          <w:right w:w="100" w:type="dxa"/>
        </w:tblCellMar>
      </w:tblPr>
      <w:tblGrid>
        <w:gridCol w:w="1458"/>
        <w:gridCol w:w="2784"/>
        <w:gridCol w:w="5508"/>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Name</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regionCount</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t>Number of regions</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variationRegionOffsets[regionCount];</w:t>
            </w:r>
          </w:p>
          <w:p>
            <w:pPr>
              <w:pStyle w:val="TableContents"/>
              <w:spacing w:before="0" w:after="227"/>
              <w:ind w:hanging="0" w:left="0" w:right="0"/>
              <w:rPr/>
            </w:pPr>
            <w:r>
              <w:rPr/>
            </w:r>
          </w:p>
        </w:tc>
        <w:tc>
          <w:tcPr>
            <w:tcW w:w="550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variationRegionOffsets records, measured from the start of the SparseVariationRegionList</w:t>
            </w:r>
          </w:p>
        </w:tc>
      </w:tr>
    </w:tbl>
    <w:p>
      <w:pPr>
        <w:pStyle w:val="BodyText"/>
        <w:rPr/>
      </w:pPr>
      <w:r>
        <w:rPr/>
      </w:r>
    </w:p>
    <w:p>
      <w:pPr>
        <w:pStyle w:val="BodyText"/>
        <w:bidi w:val="0"/>
        <w:ind w:hanging="0" w:left="0" w:right="0"/>
        <w:rPr>
          <w:i/>
          <w:i/>
          <w:iCs/>
          <w:shd w:fill="auto" w:val="clear"/>
        </w:rPr>
      </w:pPr>
      <w:r>
        <w:rPr>
          <w:i/>
          <w:iCs/>
          <w:shd w:fill="auto" w:val="clear"/>
        </w:rPr>
        <w:t>SparseRegionAxisCoordinates</w:t>
      </w:r>
    </w:p>
    <w:tbl>
      <w:tblPr>
        <w:tblW w:w="9742" w:type="dxa"/>
        <w:jc w:val="left"/>
        <w:tblInd w:w="-10" w:type="dxa"/>
        <w:tblLayout w:type="fixed"/>
        <w:tblCellMar>
          <w:top w:w="100" w:type="dxa"/>
          <w:left w:w="100" w:type="dxa"/>
          <w:bottom w:w="100" w:type="dxa"/>
          <w:right w:w="100" w:type="dxa"/>
        </w:tblCellMar>
      </w:tblPr>
      <w:tblGrid>
        <w:gridCol w:w="1458"/>
        <w:gridCol w:w="2784"/>
        <w:gridCol w:w="5500"/>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axisIndex</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s</w:t>
            </w:r>
            <w:r>
              <w:rPr>
                <w:shd w:fill="auto" w:val="clear"/>
              </w:rPr>
              <w:t>tartCoord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peakCoord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endCoord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rPr/>
            </w:pPr>
            <w:r>
              <w:rPr/>
            </w:r>
          </w:p>
        </w:tc>
      </w:tr>
    </w:tbl>
    <w:p>
      <w:pPr>
        <w:pStyle w:val="BodyText"/>
        <w:rPr/>
      </w:pPr>
      <w:r>
        <w:rPr/>
      </w:r>
    </w:p>
    <w:p>
      <w:pPr>
        <w:pStyle w:val="BodyText"/>
        <w:bidi w:val="0"/>
        <w:ind w:hanging="0" w:left="0" w:right="0"/>
        <w:rPr>
          <w:i/>
          <w:i/>
          <w:iCs/>
          <w:shd w:fill="auto" w:val="clear"/>
        </w:rPr>
      </w:pPr>
      <w:r>
        <w:rPr>
          <w:i/>
          <w:iCs/>
          <w:shd w:fill="auto" w:val="clear"/>
        </w:rPr>
        <w:t>MultiItemVariationData</w:t>
      </w:r>
    </w:p>
    <w:tbl>
      <w:tblPr>
        <w:tblW w:w="9742" w:type="dxa"/>
        <w:jc w:val="left"/>
        <w:tblInd w:w="-10" w:type="dxa"/>
        <w:tblLayout w:type="fixed"/>
        <w:tblCellMar>
          <w:top w:w="100" w:type="dxa"/>
          <w:left w:w="100" w:type="dxa"/>
          <w:bottom w:w="100" w:type="dxa"/>
          <w:right w:w="100" w:type="dxa"/>
        </w:tblCellMar>
      </w:tblPr>
      <w:tblGrid>
        <w:gridCol w:w="1536"/>
        <w:gridCol w:w="2786"/>
        <w:gridCol w:w="5420"/>
      </w:tblGrid>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w:t>
            </w:r>
            <w:r>
              <w:rPr>
                <w:shd w:fill="auto" w:val="clear"/>
              </w:rPr>
              <w:t>ormat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w:t>
            </w:r>
            <w:r>
              <w:rPr>
                <w:shd w:fill="auto" w:val="clear"/>
              </w:rPr>
              <w:t>et to 1</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regionIndexes[regionIndexCount]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deltaSets</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BodyText"/>
              <w:bidi w:val="0"/>
              <w:spacing w:before="0" w:after="238"/>
              <w:ind w:hanging="0" w:left="0" w:right="0"/>
              <w:rPr>
                <w:shd w:fill="FF00FF" w:val="clear"/>
              </w:rPr>
            </w:pPr>
            <w:bookmarkStart w:id="173" w:name="docs-internal-guid-40591ca9-7fff-5e37-08"/>
            <w:bookmarkEnd w:id="173"/>
            <w:r>
              <w:rPr>
                <w:shd w:fill="FF00FF" w:val="clear"/>
              </w:rPr>
              <w:t>Offset to CFF2-style INDEX array of TupleValues, measured from the start of the MultiItemVariationData table</w:t>
            </w:r>
          </w:p>
        </w:tc>
      </w:tr>
    </w:tbl>
    <w:p>
      <w:pPr>
        <w:pStyle w:val="BodyText"/>
        <w:bidi w:val="0"/>
        <w:ind w:hanging="0" w:left="0" w:right="0"/>
        <w:rPr>
          <w:shd w:fill="FF00FF" w:val="clear"/>
        </w:rPr>
      </w:pPr>
      <w:r>
        <w:rPr>
          <w:shd w:fill="FF00FF" w:val="clear"/>
        </w:rPr>
        <w:t xml:space="preserve">The deltaSets </w:t>
      </w:r>
      <w:r>
        <w:rPr>
          <w:shd w:fill="FF00FF" w:val="clear"/>
        </w:rPr>
        <w:t xml:space="preserve">field </w:t>
      </w:r>
      <w:r>
        <w:rPr>
          <w:shd w:fill="FF00FF" w:val="clear"/>
        </w:rPr>
        <w:t xml:space="preserve">in a </w:t>
      </w:r>
      <w:r>
        <w:rPr>
          <w:i/>
          <w:iCs/>
          <w:shd w:fill="FF00FF" w:val="clear"/>
        </w:rPr>
        <w:t>MultiItemVariationData</w:t>
      </w:r>
      <w:r>
        <w:rPr>
          <w:shd w:fill="FF00FF" w:val="clear"/>
        </w:rPr>
        <w:t xml:space="preserve"> table </w:t>
      </w:r>
      <w:r>
        <w:rPr>
          <w:shd w:fill="FF00FF" w:val="clear"/>
        </w:rPr>
        <w:t>is a CFF2-style INDEX structure, which stores</w:t>
      </w:r>
      <w:r>
        <w:rPr>
          <w:shd w:fill="FF00FF" w:val="clear"/>
        </w:rPr>
        <w:t xml:space="preserve"> the delta-set</w:t>
      </w:r>
      <w:r>
        <w:rPr>
          <w:shd w:fill="FF00FF" w:val="clear"/>
        </w:rPr>
        <w:t>s</w:t>
      </w:r>
      <w:r>
        <w:rPr>
          <w:shd w:fill="FF00FF" w:val="clear"/>
        </w:rPr>
        <w:t xml:space="preserve"> for a single tuple </w:t>
      </w:r>
      <w:r>
        <w:rPr>
          <w:shd w:fill="FF00FF" w:val="clear"/>
        </w:rPr>
        <w:t>within each of its slots</w:t>
      </w:r>
      <w:r>
        <w:rPr>
          <w:shd w:fill="FF00FF" w:val="clear"/>
        </w:rPr>
        <w:t xml:space="preserve">, addressed by the “inner” index of the VarIdx (see </w:t>
      </w:r>
      <w:r>
        <w:rPr>
          <w:i/>
          <w:iCs/>
          <w:shd w:fill="FF00FF" w:val="clear"/>
        </w:rPr>
        <w:t xml:space="preserve">MultiItemVariationStore </w:t>
      </w:r>
      <w:r>
        <w:rPr>
          <w:i w:val="false"/>
          <w:iCs w:val="false"/>
          <w:shd w:fill="FF00FF" w:val="clear"/>
        </w:rPr>
        <w:t>above</w:t>
      </w:r>
      <w:r>
        <w:rPr>
          <w:shd w:fill="FF00FF" w:val="clear"/>
        </w:rPr>
        <w:t xml:space="preserve">), whereas a </w:t>
      </w:r>
      <w:r>
        <w:rPr>
          <w:i/>
          <w:iCs/>
          <w:shd w:fill="FF00FF" w:val="clear"/>
        </w:rPr>
        <w:t>MultiItemVariationData</w:t>
      </w:r>
      <w:r>
        <w:rPr>
          <w:shd w:fill="FF00FF" w:val="clear"/>
        </w:rPr>
        <w:t xml:space="preserve"> table itself represents the data for all values sharing the same “outer” index. </w:t>
      </w:r>
      <w:r>
        <w:rPr>
          <w:shd w:fill="FF00FF" w:val="clear"/>
        </w:rPr>
        <w:t>The tuple data encoded within each entry of the deltaSets INDEX object are each encoded as a TupleValues structure.</w:t>
      </w:r>
    </w:p>
    <w:p>
      <w:pPr>
        <w:pStyle w:val="BodyText"/>
        <w:bidi w:val="0"/>
        <w:ind w:hanging="0" w:left="0" w:right="0"/>
        <w:rPr>
          <w:shd w:fill="FF00FF" w:val="clear"/>
        </w:rPr>
      </w:pPr>
      <w:r>
        <w:rPr>
          <w:shd w:fill="FF00FF" w:val="clear"/>
        </w:rPr>
        <w:t xml:space="preserve">The TupleValues for each entry are the concatenation of the tuple deltas for each region. The length of the tuple </w:t>
      </w:r>
      <w:r>
        <w:rPr>
          <w:shd w:fill="FF00FF" w:val="clear"/>
        </w:rPr>
        <w:t>deltas for each region</w:t>
      </w:r>
      <w:r>
        <w:rPr>
          <w:shd w:fill="FF00FF" w:val="clear"/>
        </w:rPr>
        <w:t xml:space="preserve"> is calculated by dividing the number of entries </w:t>
      </w:r>
      <w:r>
        <w:rPr>
          <w:shd w:fill="FF00FF" w:val="clear"/>
        </w:rPr>
        <w:t>stored</w:t>
      </w:r>
      <w:r>
        <w:rPr>
          <w:shd w:fill="FF00FF" w:val="clear"/>
        </w:rPr>
        <w:t xml:space="preserve"> in the </w:t>
      </w:r>
      <w:r>
        <w:rPr>
          <w:shd w:fill="FF00FF" w:val="clear"/>
        </w:rPr>
        <w:t xml:space="preserve">respective </w:t>
      </w:r>
      <w:r>
        <w:rPr>
          <w:shd w:fill="FF00FF" w:val="clear"/>
        </w:rPr>
        <w:t>TupleValues structure by the number of regions.</w:t>
      </w:r>
    </w:p>
    <w:p>
      <w:pPr>
        <w:pStyle w:val="Normal"/>
        <w:rPr>
          <w:shd w:fill="FF00FF" w:val="clear"/>
        </w:rPr>
      </w:pPr>
      <w:r>
        <w:rPr>
          <w:shd w:fill="FF00FF" w:val="clear"/>
        </w:rPr>
        <w:t>T</w:t>
      </w:r>
      <w:r>
        <w:rPr>
          <w:shd w:fill="FF00FF" w:val="clear"/>
        </w:rPr>
        <w:t xml:space="preserve">he </w:t>
      </w:r>
      <w:r>
        <w:rPr>
          <w:b w:val="false"/>
          <w:bCs w:val="false"/>
          <w:shd w:fill="FF00FF" w:val="clear"/>
        </w:rPr>
        <w:t xml:space="preserve">CFF2 </w:t>
      </w:r>
      <w:r>
        <w:rPr>
          <w:b w:val="false"/>
          <w:bCs w:val="false"/>
          <w:shd w:fill="FF00FF" w:val="clear"/>
        </w:rPr>
        <w:t>INDEX</w:t>
      </w:r>
      <w:r>
        <w:rPr>
          <w:shd w:fill="FF00FF" w:val="clear"/>
        </w:rPr>
        <w:t xml:space="preserve"> format </w:t>
      </w:r>
      <w:r>
        <w:rPr>
          <w:shd w:fill="FF00FF" w:val="clear"/>
        </w:rPr>
        <w:t>used in VARC</w:t>
      </w:r>
      <w:r>
        <w:rPr>
          <w:shd w:fill="FF00FF" w:val="clear"/>
        </w:rPr>
        <w:t xml:space="preserve"> </w:t>
      </w:r>
      <w:r>
        <w:rPr>
          <w:shd w:fill="FF00FF" w:val="clear"/>
        </w:rPr>
        <w:t xml:space="preserve">(and hence in </w:t>
      </w:r>
      <w:r>
        <w:rPr>
          <w:i/>
          <w:iCs/>
          <w:shd w:fill="FF00FF" w:val="clear"/>
        </w:rPr>
        <w:t>MultiItemVariationData</w:t>
      </w:r>
      <w:r>
        <w:rPr>
          <w:shd w:fill="FF00FF" w:val="clear"/>
        </w:rPr>
        <w:t xml:space="preserve"> subtables) </w:t>
      </w:r>
      <w:r>
        <w:rPr>
          <w:shd w:fill="FF00FF" w:val="clear"/>
        </w:rPr>
        <w:t xml:space="preserve">is a </w:t>
      </w:r>
      <w:r>
        <w:rPr>
          <w:shd w:fill="FF00FF" w:val="clear"/>
        </w:rPr>
        <w:t xml:space="preserve">variable-sized </w:t>
      </w:r>
      <w:r>
        <w:rPr>
          <w:shd w:fill="FF00FF" w:val="clear"/>
        </w:rPr>
        <w:t>I</w:t>
      </w:r>
      <w:r>
        <w:rPr>
          <w:shd w:fill="FF00FF" w:val="clear"/>
        </w:rPr>
        <w:t>NDEX</w:t>
      </w:r>
      <w:r>
        <w:rPr>
          <w:shd w:fill="FF00FF" w:val="clear"/>
        </w:rPr>
        <w:t xml:space="preserve"> structure, as defined </w:t>
      </w:r>
      <w:r>
        <w:rPr>
          <w:shd w:fill="FF00FF" w:val="clear"/>
        </w:rPr>
        <w:t xml:space="preserve">for the CFF2 table in section </w:t>
      </w:r>
      <w:r>
        <w:rPr>
          <w:shd w:fill="FF00FF" w:val="clear"/>
        </w:rPr>
        <w:t xml:space="preserve">5.3.3.5.2 </w:t>
      </w:r>
      <w:r>
        <w:rPr>
          <w:shd w:fill="FF00FF" w:val="clear"/>
        </w:rPr>
        <w:t>(INDEX Data)</w:t>
      </w:r>
      <w:r>
        <w:rPr>
          <w:shd w:fill="FF00FF" w:val="clear"/>
        </w:rPr>
        <w:t xml:space="preserve">. </w:t>
      </w:r>
      <w:r>
        <w:rPr>
          <w:shd w:fill="FF00FF" w:val="clear"/>
        </w:rPr>
        <w:t xml:space="preserve">A </w:t>
      </w:r>
      <w:r>
        <w:rPr>
          <w:shd w:fill="FF00FF" w:val="clear"/>
        </w:rPr>
        <w:t>CFF2-</w:t>
      </w:r>
      <w:r>
        <w:rPr>
          <w:shd w:fill="FF00FF" w:val="clear"/>
        </w:rPr>
        <w:t>style INDEX</w:t>
      </w:r>
      <w:r>
        <w:rPr>
          <w:shd w:fill="FF00FF" w:val="clear"/>
        </w:rPr>
        <w:t xml:space="preserve"> is used to store a list of variable-sized data, such as glyph records, in a space-efficient manner.</w:t>
      </w:r>
    </w:p>
    <w:p>
      <w:pPr>
        <w:pStyle w:val="Normal"/>
        <w:rPr>
          <w:shd w:fill="FF00FF" w:val="clear"/>
        </w:rPr>
      </w:pPr>
      <w:r>
        <w:rPr>
          <w:shd w:fill="FF00FF" w:val="clear"/>
        </w:rPr>
        <w:t>NOTE:</w:t>
        <w:tab/>
      </w:r>
      <w:r>
        <w:rPr>
          <w:shd w:fill="FF00FF" w:val="clear"/>
        </w:rPr>
        <w:t>T</w:t>
      </w:r>
      <w:r>
        <w:rPr>
          <w:shd w:fill="FF00FF" w:val="clear"/>
        </w:rPr>
        <w:t xml:space="preserve">his is the INDEX structure defined for CFF2, and not the INDEX structure defined for CFF. </w:t>
      </w:r>
      <w:r>
        <w:rPr>
          <w:shd w:fill="FF00FF" w:val="clear"/>
          <w:lang w:val="en-GB"/>
        </w:rPr>
        <w:t>The count field of the CFF2 Index structure is a 32-bit value (uint32), unlike the corresponding count field in the CFF table.</w:t>
      </w:r>
    </w:p>
    <w:p>
      <w:pPr>
        <w:pStyle w:val="NOTE2"/>
        <w:rPr>
          <w:lang w:val="en-GB"/>
        </w:rPr>
      </w:pPr>
      <w:r>
        <w:rPr/>
      </w:r>
    </w:p>
    <w:p>
      <w:pPr>
        <w:pStyle w:val="BodyText"/>
        <w:rPr/>
      </w:pPr>
      <w:r>
        <w:rPr/>
        <w:br/>
      </w:r>
    </w:p>
    <w:p>
      <w:pPr>
        <w:pStyle w:val="BodyText"/>
        <w:bidi w:val="0"/>
        <w:ind w:hanging="0" w:left="0" w:right="0"/>
        <w:rPr>
          <w:shd w:fill="800080" w:val="clear"/>
        </w:rPr>
      </w:pPr>
      <w:r>
        <w:rPr>
          <w:shd w:fill="800080" w:val="clear"/>
        </w:rPr>
      </w:r>
    </w:p>
    <w:p>
      <w:pPr>
        <w:pStyle w:val="BodyText"/>
        <w:rPr>
          <w:shd w:fill="00FFFF" w:val="clear"/>
        </w:rPr>
      </w:pPr>
      <w:r>
        <w:rPr>
          <w:shd w:fill="00FFFF" w:val="clear"/>
        </w:rPr>
        <w:br/>
        <w:t xml:space="preserve">At the end of the </w:t>
      </w:r>
      <w:r>
        <w:rPr>
          <w:shd w:fill="00FFFF" w:val="clear"/>
        </w:rPr>
        <w:t xml:space="preserve">Variable Fonts section, just before </w:t>
      </w:r>
      <w:r>
        <w:rPr>
          <w:b/>
          <w:bCs/>
          <w:shd w:fill="00FFFF" w:val="clear"/>
        </w:rPr>
        <w:t>8 Recommendations for OFF fonts,</w:t>
      </w:r>
      <w:r>
        <w:rPr>
          <w:shd w:fill="00FFFF" w:val="clear"/>
        </w:rPr>
        <w:t xml:space="preserve"> </w:t>
      </w:r>
      <w:r>
        <w:rPr>
          <w:shd w:fill="00FFFF" w:val="clear"/>
        </w:rPr>
        <w:t xml:space="preserve"> add VARC as follows:</w:t>
      </w:r>
    </w:p>
    <w:p>
      <w:pPr>
        <w:pStyle w:val="Heading3"/>
        <w:ind w:hanging="0" w:left="0"/>
        <w:rPr/>
      </w:pPr>
      <w:r>
        <w:rPr>
          <w:shd w:fill="00FFFF" w:val="clear"/>
        </w:rPr>
        <w:t>VARC—</w:t>
      </w:r>
      <w:r>
        <w:rPr>
          <w:shd w:fill="00FFFF" w:val="clear"/>
        </w:rPr>
        <w:t xml:space="preserve">Variable Composite </w:t>
      </w:r>
      <w:r>
        <w:rPr>
          <w:shd w:fill="00FFFF" w:val="clear"/>
        </w:rPr>
        <w:t xml:space="preserve">Glyph Descriptions </w:t>
      </w:r>
      <w:r>
        <w:rPr>
          <w:shd w:fill="00FFFF" w:val="clear"/>
        </w:rPr>
        <w:t>[7.3.9]</w:t>
      </w:r>
    </w:p>
    <w:p>
      <w:pPr>
        <w:pStyle w:val="BodyText"/>
        <w:rPr>
          <w:shd w:fill="auto" w:val="clear"/>
        </w:rPr>
      </w:pPr>
      <w:bookmarkStart w:id="174" w:name="docs-internal-guid-63c8c638-7fff-fba2-95"/>
      <w:bookmarkEnd w:id="174"/>
      <w:r>
        <w:rPr>
          <w:shd w:fill="auto"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auto" w:val="clear"/>
        </w:rPr>
      </w:pPr>
      <w:r>
        <w:rPr>
          <w:shd w:fill="auto" w:val="clear"/>
        </w:rPr>
        <w:t>Glyphs constructed by combining other glyphs are referred to as composite glyphs.</w:t>
      </w:r>
    </w:p>
    <w:p>
      <w:pPr>
        <w:pStyle w:val="BodyText"/>
        <w:bidi w:val="0"/>
        <w:ind w:hanging="0" w:left="0" w:right="0"/>
        <w:rPr>
          <w:shd w:fill="auto" w:val="clear"/>
        </w:rPr>
      </w:pPr>
      <w:r>
        <w:rPr>
          <w:shd w:fill="auto"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pPr>
      <w:r>
        <w:rPr>
          <w:shd w:fill="auto" w:val="clear"/>
        </w:rPr>
        <w:t xml:space="preserve">The </w:t>
      </w:r>
      <w:r>
        <w:rPr>
          <w:shd w:fill="auto" w:val="clear"/>
        </w:rPr>
        <w:t xml:space="preserve">optional </w:t>
      </w:r>
      <w:r>
        <w:rPr>
          <w:shd w:fill="auto" w:val="clear"/>
        </w:rPr>
        <w:t>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auto" w:val="clear"/>
        </w:rPr>
      </w:pPr>
      <w:bookmarkStart w:id="175" w:name="docs-internal-guid-a5678f73-7fff-9c2f-cf"/>
      <w:bookmarkEnd w:id="175"/>
      <w:r>
        <w:rPr>
          <w:shd w:fill="auto" w:val="clear"/>
        </w:rPr>
        <w:t>The following figure illustrate</w:t>
      </w:r>
      <w:r>
        <w:rPr>
          <w:shd w:fill="auto" w:val="clear"/>
        </w:rPr>
        <w:t>s</w:t>
      </w:r>
      <w:r>
        <w:rPr>
          <w:shd w:fill="auto" w:val="clear"/>
        </w:rPr>
        <w:t xml:space="preserve"> where the VARC table fits in the glyph selection process:</w:t>
      </w:r>
    </w:p>
    <w:p>
      <w:pPr>
        <w:pStyle w:val="Figurecaptio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92520" cy="52114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92520" cy="5211445"/>
                    </a:xfrm>
                    <a:prstGeom prst="rect">
                      <a:avLst/>
                    </a:prstGeom>
                  </pic:spPr>
                </pic:pic>
              </a:graphicData>
            </a:graphic>
          </wp:anchor>
        </w:drawing>
      </w:r>
      <w:r>
        <w:rPr/>
        <w:t xml:space="preserve">Variable </w:t>
      </w:r>
      <w:r>
        <w:rPr/>
        <w:t>Composite Glyphs:</w:t>
      </w:r>
      <w:r>
        <w:rPr/>
        <w:t xml:space="preserve"> processing with VARC in relation to other tables</w:t>
      </w:r>
    </w:p>
    <w:p>
      <w:pPr>
        <w:pStyle w:val="NormalWeb"/>
        <w:rPr/>
      </w:pPr>
      <w:r>
        <w:rPr/>
        <w:br/>
      </w:r>
      <w:r>
        <w:rPr>
          <w:shd w:fill="00FFFF" w:val="clear"/>
        </w:rPr>
        <w:t xml:space="preserve">The optional ‘VARC’ table contains definitions of variable-composite glyphs. It is used in conjunction with ‘glyf’, ‘GLYF’, ‘gvar’, ‘GVAR’ and ‘CFF2’ tables. Variable composite glyphs are made up of one or more </w:t>
      </w:r>
      <w:r>
        <w:rPr>
          <w:i/>
          <w:iCs/>
          <w:shd w:fill="00FFFF" w:val="clear"/>
        </w:rPr>
        <w:t>variable components</w:t>
      </w:r>
      <w:r>
        <w:rPr>
          <w:shd w:fill="00FFFF" w:val="clear"/>
        </w:rPr>
        <w:t>, each of which resolves to a glyph that can be transformed and potentially given different font variation axis values before being combined to make up the variable composite glyph.</w:t>
      </w:r>
    </w:p>
    <w:p>
      <w:pPr>
        <w:pStyle w:val="NOTE2"/>
        <w:rPr>
          <w:highlight w:val="none"/>
          <w:shd w:fill="00FFFF" w:val="clear"/>
        </w:rPr>
      </w:pPr>
      <w:bookmarkStart w:id="176" w:name="docs-internal-guid-d34cbdcf-7fff-a88d-c4"/>
      <w:bookmarkEnd w:id="176"/>
      <w:r>
        <w:rPr>
          <w:shd w:fill="00FFFF" w:val="clear"/>
        </w:rPr>
        <w:t>NOTE:</w:t>
        <w:tab/>
      </w:r>
      <w:r>
        <w:rPr>
          <w:shd w:fill="00FFFF" w:val="clear"/>
        </w:rPr>
        <w:t>T</w:t>
      </w:r>
      <w:r>
        <w:rPr>
          <w:shd w:fill="00FFFF" w:val="clear"/>
        </w:rPr>
        <w:t>he ‘VARC’ table does not affect components of composite glyphs that are contained in ‘glyf’, ‘GLYF’, or other glyph tables.</w:t>
      </w:r>
    </w:p>
    <w:p>
      <w:pPr>
        <w:pStyle w:val="BodyText"/>
        <w:bidi w:val="0"/>
        <w:ind w:hanging="0" w:left="0" w:right="0"/>
        <w:rPr/>
      </w:pPr>
      <w:r>
        <w:rPr>
          <w:shd w:fill="00FFFF" w:val="clear"/>
        </w:rPr>
        <w:t xml:space="preserve">The ‘VARC’ table is designed to be very space-efficient, so that fonts making extensive use of its mechanism can sometimes be stored in considerably less file space than without it. To achieve these savings, several data structures </w:t>
      </w:r>
      <w:r>
        <w:rPr>
          <w:shd w:fill="00FFFF" w:val="clear"/>
        </w:rPr>
        <w:t xml:space="preserve">specific to this table </w:t>
      </w:r>
      <w:r>
        <w:rPr>
          <w:shd w:fill="00FFFF" w:val="clear"/>
        </w:rPr>
        <w:t xml:space="preserve">are </w:t>
      </w:r>
      <w:r>
        <w:rPr>
          <w:shd w:fill="00FFFF" w:val="clear"/>
        </w:rPr>
        <w:t>used</w:t>
      </w:r>
      <w:r>
        <w:rPr>
          <w:shd w:fill="00FFFF" w:val="clear"/>
        </w:rPr>
        <w:t xml:space="preserve">. The data structures are defined in </w:t>
      </w:r>
      <w:r>
        <w:rPr>
          <w:shd w:fill="00FFFF" w:val="clear"/>
        </w:rPr>
        <w:t>section 4.3</w:t>
      </w:r>
      <w:r>
        <w:rPr>
          <w:shd w:fill="00FFFF" w:val="clear"/>
        </w:rPr>
        <w:t xml:space="preserve"> </w:t>
      </w:r>
      <w:r>
        <w:rPr>
          <w:shd w:fill="00FFFF" w:val="clear"/>
        </w:rPr>
        <w:t>Data Structures.</w:t>
      </w:r>
    </w:p>
    <w:p>
      <w:pPr>
        <w:pStyle w:val="BodyText"/>
        <w:rPr>
          <w:i/>
          <w:i/>
          <w:iCs/>
        </w:rPr>
      </w:pPr>
      <w:r>
        <w:rPr>
          <w:i/>
          <w:iCs/>
        </w:rPr>
        <w:t>VARC table header</w:t>
      </w:r>
    </w:p>
    <w:tbl>
      <w:tblPr>
        <w:tblW w:w="8492" w:type="dxa"/>
        <w:jc w:val="left"/>
        <w:tblInd w:w="-10" w:type="dxa"/>
        <w:tblLayout w:type="fixed"/>
        <w:tblCellMar>
          <w:top w:w="100" w:type="dxa"/>
          <w:left w:w="100" w:type="dxa"/>
          <w:bottom w:w="100" w:type="dxa"/>
          <w:right w:w="100" w:type="dxa"/>
        </w:tblCellMar>
      </w:tblPr>
      <w:tblGrid>
        <w:gridCol w:w="1075"/>
        <w:gridCol w:w="1692"/>
        <w:gridCol w:w="5725"/>
      </w:tblGrid>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Type</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Name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Description</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majorVersion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Table version. Set to 1.</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minorVersion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zero.</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coverage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 xml:space="preserve">Offset to Coverage table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varStore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 xml:space="preserve">Offset to MultiItemVariationStore table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axisIndicesList</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 xml:space="preserve">Offset to </w:t>
            </w:r>
            <w:r>
              <w:rPr>
                <w:shd w:fill="FF00FF" w:val="clear"/>
              </w:rPr>
              <w:t>CFF2-</w:t>
            </w:r>
            <w:r>
              <w:rPr>
                <w:shd w:fill="FF00FF" w:val="clear"/>
              </w:rPr>
              <w:t>style</w:t>
            </w:r>
            <w:r>
              <w:rPr>
                <w:shd w:fill="FF00FF" w:val="clear"/>
              </w:rPr>
              <w:t xml:space="preserve"> </w:t>
            </w:r>
            <w:r>
              <w:rPr>
                <w:shd w:fill="FF00FF" w:val="clear"/>
              </w:rPr>
              <w:t xml:space="preserve">INDEX </w:t>
            </w:r>
            <w:r>
              <w:rPr>
                <w:shd w:fill="FF00FF" w:val="clear"/>
              </w:rPr>
              <w:t>form</w:t>
            </w:r>
            <w:r>
              <w:rPr>
                <w:shd w:fill="FF00FF" w:val="clear"/>
              </w:rPr>
              <w:t>a</w:t>
            </w:r>
            <w:r>
              <w:rPr>
                <w:shd w:fill="FF00FF" w:val="clear"/>
              </w:rPr>
              <w:t xml:space="preserve">t </w:t>
            </w:r>
            <w:r>
              <w:rPr>
                <w:shd w:fill="FF00FF" w:val="clear"/>
              </w:rPr>
              <w:t>array</w:t>
            </w:r>
            <w:r>
              <w:rPr>
                <w:shd w:fill="FF00FF" w:val="clear"/>
              </w:rPr>
              <w:t xml:space="preserve"> </w:t>
            </w:r>
            <w:r>
              <w:rPr>
                <w:shd w:fill="FF00FF" w:val="clear"/>
              </w:rPr>
              <w:t>of</w:t>
            </w:r>
            <w:r>
              <w:rPr>
                <w:shd w:fill="FF00FF" w:val="clear"/>
              </w:rPr>
              <w:t xml:space="preserve"> TupleValues ,</w:t>
            </w:r>
            <w:r>
              <w:rPr>
                <w:shd w:fill="auto" w:val="clear"/>
              </w:rPr>
              <w:t xml:space="preserv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glyphRecords</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highlight w:val="none"/>
                <w:shd w:fill="00FFFF" w:val="clear"/>
              </w:rPr>
            </w:pPr>
            <w:r>
              <w:rPr>
                <w:shd w:fill="00FFFF" w:val="clear"/>
              </w:rPr>
              <w:t xml:space="preserve">Offset to </w:t>
            </w:r>
            <w:r>
              <w:rPr>
                <w:shd w:fill="00FFFF" w:val="clear"/>
              </w:rPr>
              <w:t xml:space="preserve">CFF2-style INDEX </w:t>
            </w:r>
            <w:r>
              <w:rPr>
                <w:shd w:fill="00FFFF" w:val="clear"/>
              </w:rPr>
              <w:t>format array</w:t>
            </w:r>
            <w:r>
              <w:rPr>
                <w:shd w:fill="00FFFF" w:val="clear"/>
              </w:rPr>
              <w:t xml:space="preserve"> </w:t>
            </w:r>
            <w:r>
              <w:rPr>
                <w:shd w:fill="00FFFF" w:val="clear"/>
              </w:rPr>
              <w:t>containing</w:t>
            </w:r>
            <w:r>
              <w:rPr>
                <w:shd w:fill="00FFFF" w:val="clear"/>
              </w:rPr>
              <w:t xml:space="preserve"> </w:t>
            </w:r>
            <w:r>
              <w:rPr>
                <w:shd w:fill="00FFFF" w:val="clear"/>
              </w:rPr>
              <w:t xml:space="preserve">VarCompositeGlyph </w:t>
            </w:r>
            <w:r>
              <w:rPr>
                <w:shd w:fill="00FFFF" w:val="clear"/>
              </w:rPr>
              <w:t>record</w:t>
            </w:r>
            <w:r>
              <w:rPr>
                <w:shd w:fill="00FFFF" w:val="clear"/>
              </w:rPr>
              <w:t xml:space="preserve">s,  </w:t>
            </w:r>
            <w:r>
              <w:rPr>
                <w:shd w:fill="00FFFF" w:val="clear"/>
              </w:rPr>
              <w:t>from start of VARC table header</w:t>
            </w:r>
          </w:p>
        </w:tc>
      </w:tr>
    </w:tbl>
    <w:p>
      <w:pPr>
        <w:pStyle w:val="BodyText"/>
        <w:rPr/>
      </w:pPr>
      <w:r>
        <w:rPr/>
      </w:r>
    </w:p>
    <w:p>
      <w:pPr>
        <w:pStyle w:val="BodyText"/>
        <w:bidi w:val="0"/>
        <w:ind w:hanging="0" w:left="0" w:right="0"/>
        <w:rPr>
          <w:highlight w:val="none"/>
          <w:shd w:fill="00FFFF" w:val="clear"/>
        </w:rPr>
      </w:pPr>
      <w:r>
        <w:rPr>
          <w:shd w:fill="00FFFF" w:val="clear"/>
        </w:rPr>
        <w:t xml:space="preserve">The </w:t>
      </w:r>
      <w:r>
        <w:rPr>
          <w:i/>
          <w:iCs/>
          <w:shd w:fill="00FFFF" w:val="clear"/>
        </w:rPr>
        <w:t>coverage</w:t>
      </w:r>
      <w:r>
        <w:rPr>
          <w:shd w:fill="00FFFF" w:val="clear"/>
        </w:rPr>
        <w:t xml:space="preserve"> table </w:t>
      </w:r>
      <w:r>
        <w:rPr>
          <w:shd w:fill="00FFFF" w:val="clear"/>
        </w:rPr>
        <w:t xml:space="preserve">shall </w:t>
      </w:r>
      <w:r>
        <w:rPr>
          <w:shd w:fill="00FFFF" w:val="clear"/>
        </w:rPr>
        <w:t>identify by glyphID</w:t>
      </w:r>
      <w:r>
        <w:rPr>
          <w:shd w:fill="00FFFF" w:val="clear"/>
        </w:rPr>
        <w:t xml:space="preserve"> </w:t>
      </w:r>
      <w:r>
        <w:rPr>
          <w:shd w:fill="00FFFF" w:val="clear"/>
        </w:rPr>
        <w:t xml:space="preserve">all glyphs for each glyph </w:t>
      </w:r>
      <w:r>
        <w:rPr>
          <w:shd w:fill="00FFFF" w:val="clear"/>
        </w:rPr>
        <w:t xml:space="preserve">for which this ‘VARC’ table contains a </w:t>
      </w:r>
      <w:r>
        <w:rPr>
          <w:shd w:fill="00FFFF" w:val="clear"/>
        </w:rPr>
        <w:t>Var</w:t>
      </w:r>
      <w:r>
        <w:rPr>
          <w:shd w:fill="00FFFF" w:val="clear"/>
        </w:rPr>
        <w:t>Composite</w:t>
      </w:r>
      <w:r>
        <w:rPr>
          <w:shd w:fill="00FFFF" w:val="clear"/>
        </w:rPr>
        <w:t>Glyph</w:t>
      </w:r>
      <w:r>
        <w:rPr>
          <w:shd w:fill="00FFFF" w:val="clear"/>
        </w:rPr>
        <w:t xml:space="preserve"> record </w:t>
      </w:r>
      <w:r>
        <w:rPr>
          <w:shd w:fill="00FFFF" w:val="clear"/>
        </w:rPr>
        <w:t>in glyphRecords</w:t>
      </w:r>
      <w:r>
        <w:rPr>
          <w:shd w:fill="00FFFF" w:val="clear"/>
        </w:rPr>
        <w:t>. The glyphRecords shall be arranged by coverage index.</w:t>
      </w:r>
    </w:p>
    <w:p>
      <w:pPr>
        <w:pStyle w:val="BodyText"/>
        <w:bidi w:val="0"/>
        <w:ind w:hanging="0" w:left="0" w:right="0"/>
        <w:rPr/>
      </w:pPr>
      <w:r>
        <w:rPr>
          <w:shd w:fill="auto" w:val="clear"/>
        </w:rPr>
        <w:t xml:space="preserve">The </w:t>
      </w:r>
      <w:r>
        <w:rPr>
          <w:i/>
          <w:iCs/>
          <w:shd w:fill="auto" w:val="clear"/>
        </w:rPr>
        <w:t>varStore</w:t>
      </w:r>
      <w:r>
        <w:rPr>
          <w:shd w:fill="auto" w:val="clear"/>
        </w:rPr>
        <w:t xml:space="preserve"> subtable stores the variations of axis values and transform values that are reference</w:t>
      </w:r>
      <w:r>
        <w:rPr>
          <w:shd w:fill="auto" w:val="clear"/>
        </w:rPr>
        <w:t>d</w:t>
      </w:r>
      <w:r>
        <w:rPr>
          <w:shd w:fill="auto" w:val="clear"/>
        </w:rPr>
        <w:t xml:space="preserve"> in the individual Variable Component records.</w:t>
      </w:r>
    </w:p>
    <w:p>
      <w:pPr>
        <w:pStyle w:val="BodyText"/>
        <w:bidi w:val="0"/>
        <w:ind w:hanging="0" w:left="0" w:right="0"/>
        <w:rPr>
          <w:shd w:fill="FF00FF" w:val="clear"/>
        </w:rPr>
      </w:pPr>
      <w:r>
        <w:rPr>
          <w:shd w:fill="FF00FF" w:val="clear"/>
        </w:rPr>
        <w:t xml:space="preserve">The </w:t>
      </w:r>
      <w:r>
        <w:rPr>
          <w:i/>
          <w:iCs/>
          <w:shd w:fill="FF00FF" w:val="clear"/>
        </w:rPr>
        <w:t>axisIndicesLis</w:t>
      </w:r>
      <w:r>
        <w:rPr>
          <w:shd w:fill="FF00FF" w:val="clear"/>
        </w:rPr>
        <w:t>t offset points to a CFF2-style INDEX str</w:t>
      </w:r>
      <w:r>
        <w:rPr>
          <w:shd w:fill="FF00FF" w:val="clear"/>
        </w:rPr>
        <w:t>u</w:t>
      </w:r>
      <w:r>
        <w:rPr>
          <w:shd w:fill="FF00FF" w:val="clear"/>
        </w:rPr>
        <w:t>cture, that cont</w:t>
      </w:r>
      <w:r>
        <w:rPr>
          <w:shd w:fill="FF00FF" w:val="clear"/>
        </w:rPr>
        <w:t>ains a list of tuples. Each such tuple is encoded as TupleValues, and the values within the tuple are axis indices. The</w:t>
      </w:r>
      <w:r>
        <w:rPr>
          <w:shd w:fill="FF00FF" w:val="clear"/>
        </w:rPr>
        <w:t xml:space="preserve"> individual VariableComponent records </w:t>
      </w:r>
      <w:r>
        <w:rPr>
          <w:shd w:fill="FF00FF" w:val="clear"/>
        </w:rPr>
        <w:t xml:space="preserve">each </w:t>
      </w:r>
      <w:r>
        <w:rPr>
          <w:shd w:fill="FF00FF" w:val="clear"/>
        </w:rPr>
        <w:t xml:space="preserve">refer to one of these TupleValues using the index into the </w:t>
      </w:r>
      <w:r>
        <w:rPr>
          <w:shd w:fill="FF00FF" w:val="clear"/>
        </w:rPr>
        <w:t xml:space="preserve">CFF2-style INDEX structure items, </w:t>
      </w:r>
      <w:r>
        <w:rPr>
          <w:shd w:fill="FF00FF" w:val="clear"/>
        </w:rPr>
        <w:t>to specify axes that have variation for that particular VariableComponent.</w:t>
      </w:r>
    </w:p>
    <w:p>
      <w:pPr>
        <w:pStyle w:val="BodyText"/>
        <w:bidi w:val="0"/>
        <w:ind w:hanging="0" w:left="0" w:right="0"/>
        <w:rPr>
          <w:highlight w:val="none"/>
          <w:shd w:fill="FF00FF" w:val="clear"/>
        </w:rPr>
      </w:pPr>
      <w:bookmarkStart w:id="177" w:name="docs-internal-guid-74edf217-7fff-6ae1-07"/>
      <w:bookmarkEnd w:id="177"/>
      <w:r>
        <w:rPr>
          <w:shd w:fill="FF00FF" w:val="clear"/>
        </w:rPr>
        <w:t>The number of axisValues becomes known by decoding the TupleValues, and that number is used to decode axisValues and to decide how many values to take from axisValuesVarIndex.</w:t>
      </w:r>
    </w:p>
    <w:p>
      <w:pPr>
        <w:pStyle w:val="NOTE2"/>
        <w:rPr>
          <w:highlight w:val="none"/>
          <w:shd w:fill="00FFFF" w:val="clear"/>
        </w:rPr>
      </w:pPr>
      <w:r>
        <w:rPr>
          <w:shd w:fill="00FFFF" w:val="clear"/>
        </w:rPr>
        <w:t>NOTE</w:t>
        <w:tab/>
      </w:r>
      <w:bookmarkStart w:id="178" w:name="docs-internal-guid-152c9646-7fff-79ec-db"/>
      <w:bookmarkEnd w:id="178"/>
      <w:r>
        <w:rPr>
          <w:shd w:fill="00FFFF" w:val="clear"/>
        </w:rPr>
        <w:t>The coverage table shall identify by glyphID all components for each glyph for which this ‘VARC’ table contains a VarCompositeGlyph record in glyphRecords.</w:t>
      </w:r>
    </w:p>
    <w:p>
      <w:pPr>
        <w:pStyle w:val="Heading5"/>
        <w:ind w:hanging="1083" w:left="1083"/>
        <w:rPr/>
      </w:pPr>
      <w:r>
        <w:rPr/>
        <w:t xml:space="preserve">Variable Composite Description </w:t>
      </w:r>
      <w:r>
        <w:rPr/>
        <w:t>(VarCompositeGlyph)</w:t>
      </w:r>
    </w:p>
    <w:p>
      <w:pPr>
        <w:pStyle w:val="BodyText"/>
        <w:bidi w:val="0"/>
        <w:ind w:hanging="0" w:left="0" w:right="0"/>
        <w:rPr>
          <w:shd w:fill="auto" w:val="clear"/>
        </w:rPr>
      </w:pPr>
      <w:r>
        <w:rPr>
          <w:shd w:fill="auto" w:val="clear"/>
        </w:rPr>
        <w:t>A Variable Composite record is a concatenation of one or more Variable Component records.</w:t>
      </w:r>
    </w:p>
    <w:p>
      <w:pPr>
        <w:pStyle w:val="BodyText"/>
        <w:bidi w:val="0"/>
        <w:ind w:hanging="0" w:left="0" w:right="0"/>
        <w:rPr/>
      </w:pPr>
      <w:r>
        <w:rPr>
          <w:shd w:fill="auto" w:val="clear"/>
        </w:rPr>
        <w:t xml:space="preserve">Individual Variable Component records have varying sizes. When decoding a </w:t>
      </w:r>
      <w:r>
        <w:rPr>
          <w:i/>
          <w:iCs/>
          <w:shd w:fill="auto" w:val="clear"/>
        </w:rPr>
        <w:t>VarCompositeGlyph</w:t>
      </w:r>
      <w:r>
        <w:rPr>
          <w:shd w:fill="auto" w:val="clear"/>
        </w:rPr>
        <w:t>, the decoder stops when it has processed all of the bytes for that glyph.</w:t>
      </w:r>
    </w:p>
    <w:p>
      <w:pPr>
        <w:pStyle w:val="BodyText"/>
        <w:bidi w:val="0"/>
        <w:ind w:hanging="0" w:left="0" w:right="0"/>
        <w:rPr>
          <w:i/>
          <w:i/>
          <w:iCs/>
          <w:shd w:fill="auto" w:val="clear"/>
        </w:rPr>
      </w:pPr>
      <w:r>
        <w:rPr>
          <w:i/>
          <w:iCs/>
          <w:shd w:fill="auto" w:val="clear"/>
        </w:rPr>
        <w:t>VarCompositeGlyph</w:t>
      </w:r>
    </w:p>
    <w:tbl>
      <w:tblPr>
        <w:tblW w:w="9742" w:type="dxa"/>
        <w:jc w:val="left"/>
        <w:tblInd w:w="-10" w:type="dxa"/>
        <w:tblLayout w:type="fixed"/>
        <w:tblCellMar>
          <w:top w:w="100" w:type="dxa"/>
          <w:left w:w="100" w:type="dxa"/>
          <w:bottom w:w="100" w:type="dxa"/>
          <w:right w:w="100" w:type="dxa"/>
        </w:tblCellMar>
      </w:tblPr>
      <w:tblGrid>
        <w:gridCol w:w="1800"/>
        <w:gridCol w:w="2550"/>
        <w:gridCol w:w="5392"/>
      </w:tblGrid>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VarComponent</w:t>
            </w:r>
            <w:r>
              <w:rPr>
                <w:shd w:fill="FF00FF" w:val="clear"/>
              </w:rPr>
              <w:t>Record</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components</w:t>
            </w:r>
            <w:r>
              <w:rPr>
                <w:shd w:fill="FF00FF" w:val="clear"/>
              </w:rPr>
              <w:t>[]</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 array of Variable Component Records</w:t>
            </w:r>
          </w:p>
        </w:tc>
      </w:tr>
    </w:tbl>
    <w:p>
      <w:pPr>
        <w:pStyle w:val="BodyText"/>
        <w:rPr/>
      </w:pPr>
      <w:r>
        <w:rPr/>
      </w:r>
    </w:p>
    <w:p>
      <w:pPr>
        <w:pStyle w:val="BodyText"/>
        <w:rPr>
          <w:i/>
          <w:i/>
          <w:iCs/>
        </w:rPr>
      </w:pPr>
      <w:r>
        <w:rPr>
          <w:i/>
          <w:iCs/>
        </w:rPr>
        <w:t>Variable Component Record</w:t>
      </w:r>
    </w:p>
    <w:p>
      <w:pPr>
        <w:pStyle w:val="BodyText"/>
        <w:bidi w:val="0"/>
        <w:ind w:hanging="0" w:left="0" w:right="0"/>
        <w:rPr>
          <w:shd w:fill="auto" w:val="clear"/>
        </w:rPr>
      </w:pPr>
      <w:r>
        <w:rPr>
          <w:shd w:fill="auto" w:val="clear"/>
        </w:rPr>
        <w:t xml:space="preserve">A Variable Component record encodes one component's glyph index, </w:t>
      </w:r>
      <w:r>
        <w:rPr>
          <w:shd w:fill="auto" w:val="clear"/>
        </w:rPr>
        <w:t>variation axis values</w:t>
      </w:r>
      <w:r>
        <w:rPr>
          <w:shd w:fill="auto" w:val="clear"/>
        </w:rPr>
        <w:t>, and transformation in a</w:t>
      </w:r>
      <w:r>
        <w:rPr>
          <w:shd w:fill="auto" w:val="clear"/>
        </w:rPr>
        <w:t>n</w:t>
      </w:r>
      <w:r>
        <w:rPr>
          <w:shd w:fill="auto" w:val="clear"/>
        </w:rPr>
        <w:t xml:space="preserve"> efficient manner.</w:t>
      </w:r>
    </w:p>
    <w:tbl>
      <w:tblPr>
        <w:tblW w:w="9742" w:type="dxa"/>
        <w:jc w:val="left"/>
        <w:tblInd w:w="-5" w:type="dxa"/>
        <w:tblLayout w:type="fixed"/>
        <w:tblCellMar>
          <w:top w:w="17" w:type="dxa"/>
          <w:left w:w="17" w:type="dxa"/>
          <w:bottom w:w="17" w:type="dxa"/>
          <w:right w:w="17" w:type="dxa"/>
        </w:tblCellMar>
      </w:tblPr>
      <w:tblGrid>
        <w:gridCol w:w="1800"/>
        <w:gridCol w:w="2550"/>
        <w:gridCol w:w="5392"/>
      </w:tblGrid>
      <w:tr>
        <w:trPr/>
        <w:tc>
          <w:tcPr>
            <w:tcW w:w="180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flags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See below.</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GlyphID16 or GlyphID24</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gid</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This is a GlyphID16 if GID_IS_24BIT bit of flags is clear, else GlyphID24.</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axisIndicesIndex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HAVE_AXES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TupleValues</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 xml:space="preserve">The axis value for each axis. </w:t>
            </w:r>
            <w:r>
              <w:rPr>
                <w:shd w:fill="FF00FF" w:val="clear"/>
              </w:rPr>
              <w:t>Optional, only present if HAVE_AXES bit of flags is set.</w:t>
            </w:r>
            <w:r>
              <w:rPr>
                <w:shd w:fill="auto" w:val="clear"/>
              </w:rPr>
              <w:br/>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AXIS_VALUES_HAVE_VARIATION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transformVarIndex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TRANSFORM_HAS_VARIATION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Rotation</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HAVE_ROTATION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HAVE_SKEW_X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HAVE_SKEW_Y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HAVE_TCENTER_Y bit of flags is set.</w:t>
            </w:r>
          </w:p>
        </w:tc>
      </w:tr>
    </w:tbl>
    <w:p>
      <w:pPr>
        <w:pStyle w:val="Heading3"/>
        <w:bidi w:val="0"/>
        <w:ind w:hanging="0" w:left="0" w:right="0"/>
        <w:rPr>
          <w:shd w:fill="auto" w:val="clear"/>
        </w:rPr>
      </w:pPr>
      <w:r>
        <w:rPr>
          <w:shd w:fill="auto" w:val="clear"/>
        </w:rPr>
      </w:r>
    </w:p>
    <w:p>
      <w:pPr>
        <w:pStyle w:val="Heading3"/>
        <w:bidi w:val="0"/>
        <w:ind w:hanging="0" w:left="0" w:right="0"/>
        <w:rPr>
          <w:shd w:fill="auto" w:val="clear"/>
        </w:rPr>
      </w:pPr>
      <w:r>
        <w:rPr>
          <w:shd w:fill="auto" w:val="clear"/>
        </w:rPr>
        <w:t>Variable Component Flags</w:t>
      </w:r>
    </w:p>
    <w:tbl>
      <w:tblPr>
        <w:tblW w:w="4383" w:type="dxa"/>
        <w:jc w:val="left"/>
        <w:tblInd w:w="-5" w:type="dxa"/>
        <w:tblLayout w:type="fixed"/>
        <w:tblCellMar>
          <w:top w:w="100" w:type="dxa"/>
          <w:left w:w="100" w:type="dxa"/>
          <w:bottom w:w="100" w:type="dxa"/>
          <w:right w:w="100" w:type="dxa"/>
        </w:tblCellMar>
      </w:tblPr>
      <w:tblGrid>
        <w:gridCol w:w="1106"/>
        <w:gridCol w:w="3277"/>
      </w:tblGrid>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bit number</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name</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RESET_UNSPECIFIED_AXES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AXIS_VALUES_HAVE_VARIATION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TRANSFORM_HAS_VARIATION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5</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6</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HAVE_ROTATION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7</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USE_MY_METRICS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8</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9</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GID_IS_24BIT</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15-31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Reserved. Set to 0</w:t>
            </w:r>
          </w:p>
        </w:tc>
      </w:tr>
    </w:tbl>
    <w:p>
      <w:pPr>
        <w:pStyle w:val="BodyText"/>
        <w:bidi w:val="0"/>
        <w:ind w:hanging="0" w:left="0" w:right="0"/>
        <w:rPr>
          <w:shd w:fill="auto" w:val="clear"/>
        </w:rPr>
      </w:pPr>
      <w:r>
        <w:rPr/>
      </w:r>
    </w:p>
    <w:p>
      <w:pPr>
        <w:pStyle w:val="NOTE2"/>
        <w:rPr/>
      </w:pPr>
      <w:r>
        <w:rPr/>
        <w:t>NOTE</w:t>
        <w:tab/>
        <w:t xml:space="preserve">The flags are arranged in </w:t>
      </w:r>
      <w:r>
        <w:rPr/>
        <w:t>decreasing order of expected usage frequency, in order</w:t>
      </w:r>
      <w:r>
        <w:rPr/>
        <w:t xml:space="preserve"> to minimize the storage bytes of the flags field.</w:t>
      </w:r>
    </w:p>
    <w:p>
      <w:pPr>
        <w:pStyle w:val="BodyText"/>
        <w:bidi w:val="0"/>
        <w:ind w:hanging="0" w:left="0" w:right="0"/>
        <w:rPr/>
      </w:pPr>
      <w:r>
        <w:rPr>
          <w:shd w:fill="auto" w:val="clear"/>
        </w:rPr>
        <w:t xml:space="preserve">The </w:t>
      </w:r>
      <w:r>
        <w:rPr>
          <w:i/>
          <w:iCs/>
          <w:shd w:fill="auto" w:val="clear"/>
        </w:rPr>
        <w:t>TCenterX</w:t>
      </w:r>
      <w:r>
        <w:rPr>
          <w:shd w:fill="auto" w:val="clear"/>
        </w:rPr>
        <w:t xml:space="preserve"> and </w:t>
      </w:r>
      <w:r>
        <w:rPr>
          <w:i/>
          <w:iCs/>
          <w:shd w:fill="auto" w:val="clear"/>
        </w:rPr>
        <w:t>TCenterY</w:t>
      </w:r>
      <w:r>
        <w:rPr>
          <w:shd w:fill="auto" w:val="clear"/>
        </w:rPr>
        <w:t xml:space="preserve"> values represent the “center of transformation”.</w:t>
      </w:r>
    </w:p>
    <w:p>
      <w:pPr>
        <w:pStyle w:val="BodyText"/>
        <w:bidi w:val="0"/>
        <w:ind w:hanging="0" w:left="0" w:right="0"/>
        <w:rPr>
          <w:shd w:fill="auto" w:val="clear"/>
        </w:rPr>
      </w:pPr>
      <w:r>
        <w:rPr>
          <w:shd w:fill="auto" w:val="clear"/>
        </w:rPr>
        <w:t xml:space="preserve">The rotation and skew parameters are in angles as multiples of Pi. </w:t>
      </w:r>
      <w:bookmarkStart w:id="179" w:name="docs-internal-guid-002413d4-7fff-e91a-78"/>
      <w:bookmarkEnd w:id="179"/>
      <w:r>
        <w:rPr>
          <w:shd w:fill="FF00FF" w:val="clear"/>
        </w:rPr>
        <w:t>That is, 1.0 of value represents a 180° counter-clockwise rotation or skew.</w:t>
      </w:r>
    </w:p>
    <w:p>
      <w:pPr>
        <w:pStyle w:val="BodyText"/>
        <w:bidi w:val="0"/>
        <w:ind w:hanging="0" w:left="0" w:right="0"/>
        <w:rPr>
          <w:shd w:fill="auto" w:val="clear"/>
        </w:rPr>
      </w:pPr>
      <w:r>
        <w:rPr>
          <w:shd w:fill="auto" w:val="clear"/>
        </w:rPr>
        <w:t xml:space="preserve">The following </w:t>
      </w:r>
      <w:r>
        <w:rPr>
          <w:shd w:fill="auto" w:val="clear"/>
        </w:rPr>
        <w:t>pseudo-code</w:t>
      </w:r>
      <w:r>
        <w:rPr>
          <w:shd w:fill="auto" w:val="clear"/>
        </w:rPr>
        <w:t xml:space="preserve"> illustrations </w:t>
      </w:r>
      <w:r>
        <w:rPr>
          <w:shd w:fill="auto" w:val="clear"/>
        </w:rPr>
        <w:t xml:space="preserve">the </w:t>
      </w:r>
      <w:r>
        <w:rPr>
          <w:shd w:fill="auto" w:val="clear"/>
        </w:rPr>
        <w:t xml:space="preserve">construction of a </w:t>
      </w:r>
      <w:r>
        <w:rPr>
          <w:shd w:fill="auto" w:val="clear"/>
        </w:rPr>
        <w:t xml:space="preserve">full </w:t>
      </w:r>
      <w:r>
        <w:rPr>
          <w:shd w:fill="auto" w:val="clear"/>
        </w:rPr>
        <w:t xml:space="preserve">transformation </w:t>
      </w:r>
      <w:r>
        <w:rPr>
          <w:shd w:fill="auto" w:val="clear"/>
        </w:rPr>
        <w:t>from the individual transform fields</w:t>
      </w:r>
      <w:r>
        <w:rPr>
          <w:shd w:fill="auto" w:val="clear"/>
        </w:rPr>
        <w:t>:</w:t>
      </w:r>
    </w:p>
    <w:p>
      <w:pPr>
        <w:pStyle w:val="Code"/>
        <w:rPr/>
      </w:pPr>
      <w:r>
        <w:rPr/>
        <w:t>t = Transform() # Identity</w:t>
        <w:br/>
        <w:t>t = t.translate(TranslateX + TCenterX, TranslateY + TCenterY)</w:t>
        <w:br/>
        <w:t>t = t.rotate(Rotation * math.pi)</w:t>
        <w:br/>
        <w:t>t = t.scale(ScaleX, ScaleY)</w:t>
        <w:br/>
        <w:t>t = t.skew(-SkewX * math.pi, SkewY * math.pi)</w:t>
        <w:br/>
        <w:t>t = t.translate(-TCenterX, -TCenterY)</w:t>
      </w:r>
    </w:p>
    <w:p>
      <w:pPr>
        <w:pStyle w:val="Normal"/>
        <w:ind w:hanging="0" w:left="0" w:right="0"/>
        <w:rPr>
          <w:shd w:fill="auto" w:val="clear"/>
        </w:rPr>
      </w:pPr>
      <w:r>
        <w:rPr>
          <w:shd w:fill="auto" w:val="clear"/>
        </w:rPr>
      </w:r>
    </w:p>
    <w:p>
      <w:pPr>
        <w:pStyle w:val="BodyText"/>
        <w:bidi w:val="0"/>
        <w:ind w:hanging="0" w:left="0" w:right="0"/>
        <w:rPr>
          <w:shd w:fill="00FFFF" w:val="clear"/>
        </w:rPr>
      </w:pPr>
      <w:r>
        <w:rPr>
          <w:shd w:fill="00FFFF" w:val="clear"/>
        </w:rPr>
        <w:t>The transformations shall be performed in the order illustrated: translate, rotate, scale, skew, corrective translation.</w:t>
      </w:r>
    </w:p>
    <w:p>
      <w:pPr>
        <w:pStyle w:val="NOTE2"/>
        <w:rPr/>
      </w:pPr>
      <w:bookmarkStart w:id="180" w:name="docs-internal-guid-f42e16b5-7fff-78ac-8c"/>
      <w:bookmarkEnd w:id="180"/>
      <w:r>
        <w:rPr/>
        <w:t>NOTE:</w:t>
        <w:tab/>
        <w:t xml:space="preserve">Attention must be paid to the sign used for Rotation, SkewX, and SkewY. All three </w:t>
      </w:r>
      <w:r>
        <w:rPr/>
        <w:t>operations</w:t>
      </w:r>
      <w:r>
        <w:rPr/>
        <w:t xml:space="preserve"> are defined as counter-clockwise </w:t>
      </w:r>
      <w:r>
        <w:rPr/>
        <w:t xml:space="preserve">rotations </w:t>
      </w:r>
      <w:r>
        <w:rPr/>
        <w:t>in this table, while some libraries expect those in different and possibly differing directions.</w:t>
      </w:r>
    </w:p>
    <w:p>
      <w:pPr>
        <w:pStyle w:val="Heading4"/>
        <w:rPr/>
      </w:pPr>
      <w:r>
        <w:rPr/>
        <w:t>Processing</w:t>
      </w:r>
    </w:p>
    <w:p>
      <w:pPr>
        <w:pStyle w:val="BodyText"/>
        <w:bidi w:val="0"/>
        <w:ind w:hanging="0" w:left="0" w:right="0"/>
        <w:rPr>
          <w:shd w:fill="auto" w:val="clear"/>
        </w:rPr>
      </w:pPr>
      <w:r>
        <w:rPr>
          <w:shd w:fill="auto" w:val="clear"/>
        </w:rPr>
        <w:t>The component glyphs to be loaded shall use the coordinate values specified (with any variations applied if present).</w:t>
      </w:r>
    </w:p>
    <w:p>
      <w:pPr>
        <w:pStyle w:val="BodyText"/>
        <w:bidi w:val="0"/>
        <w:ind w:hanging="0" w:left="0" w:right="0"/>
        <w:rPr>
          <w:shd w:fill="auto" w:val="clear"/>
        </w:rPr>
      </w:pPr>
      <w:r>
        <w:rPr>
          <w:shd w:fill="auto" w:val="clear"/>
        </w:rPr>
        <w:t>For any unspecified axis, the value used depends on flag RESET_UNSPECIFIED_AXES:</w:t>
      </w:r>
    </w:p>
    <w:p>
      <w:pPr>
        <w:pStyle w:val="BodyText"/>
        <w:bidi w:val="0"/>
        <w:ind w:hanging="0" w:left="0" w:right="0"/>
        <w:rPr>
          <w:shd w:fill="auto" w:val="clear"/>
        </w:rPr>
      </w:pPr>
      <w:r>
        <w:rPr>
          <w:shd w:fill="auto" w:val="clear"/>
        </w:rPr>
        <w:t>If RESET_UNSPECIFIED_AXES is set, then the normalized value zero shall be used.</w:t>
      </w:r>
    </w:p>
    <w:p>
      <w:pPr>
        <w:pStyle w:val="BodyText"/>
        <w:bidi w:val="0"/>
        <w:ind w:hanging="0" w:left="0" w:right="0"/>
        <w:rPr>
          <w:shd w:fill="auto" w:val="clear"/>
        </w:rPr>
      </w:pPr>
      <w:r>
        <w:rPr>
          <w:shd w:fill="auto" w:val="clear"/>
        </w:rPr>
        <w:t>If RESET_UNSPECIFIED_AXES is clear, then the axis values from the current glyph being processed (which itself might recursively come from the font or its own parent glyphs) shall be used.</w:t>
      </w:r>
    </w:p>
    <w:p>
      <w:pPr>
        <w:pStyle w:val="BodyText"/>
        <w:bidi w:val="0"/>
        <w:ind w:hanging="0" w:left="0" w:right="0"/>
        <w:rPr/>
      </w:pPr>
      <w:r>
        <w:rPr>
          <w:shd w:fill="auto" w:val="clear"/>
        </w:rPr>
        <w:t xml:space="preserve">For example, if the font variations have wght=.25 (normalized), and the current glyph being processed is using wght=.5 because it was referenced from another VarComposite glyph itself, when referring to a component that does </w:t>
      </w:r>
      <w:r>
        <w:rPr>
          <w:i/>
          <w:iCs/>
          <w:shd w:fill="auto" w:val="clear"/>
        </w:rPr>
        <w:t>not</w:t>
      </w:r>
      <w:r>
        <w:rPr>
          <w:shd w:fill="auto" w:val="clear"/>
        </w:rPr>
        <w:t xml:space="preserve"> specify the wght axis, if the RESET_UNSPECIFIED_AXES flag bit is set, then the value of wght=0 (default) will be used. If on the other hand that flag bit is clear, wght=.5 (from current glyph) will be used.</w:t>
      </w:r>
    </w:p>
    <w:p>
      <w:pPr>
        <w:pStyle w:val="BodyText"/>
        <w:bidi w:val="0"/>
        <w:ind w:hanging="0" w:left="0" w:right="0"/>
        <w:rPr>
          <w:shd w:fill="auto" w:val="clear"/>
        </w:rPr>
      </w:pPr>
      <w:r>
        <w:rPr>
          <w:shd w:fill="auto" w:val="clear"/>
        </w:rPr>
        <w:t>The component axis values and transform components can vary. These variations are stored in the MultiItemVariationStore data-structure. The variations for location are referred to by the axisValuesVarIndex member of a component if any, and variations for transform are referred to by the transformVarIndex if any. For transform variations, only those fields specified and as such encoded as per the flags have variations</w:t>
      </w:r>
      <w:r>
        <w:rPr>
          <w:shd w:fill="00FFFF" w:val="clear"/>
        </w:rPr>
        <w:t>, and they are encoded in the order they appear in the Variable Component Record</w:t>
      </w:r>
      <w:r>
        <w:rPr>
          <w:shd w:fill="auto" w:val="clear"/>
        </w:rPr>
        <w:t>.</w:t>
      </w:r>
    </w:p>
    <w:p>
      <w:pPr>
        <w:pStyle w:val="BodyText"/>
        <w:bidi w:val="0"/>
        <w:ind w:hanging="0" w:left="0" w:right="0"/>
        <w:rPr>
          <w:shd w:fill="auto" w:val="clear"/>
        </w:rPr>
      </w:pPr>
      <w:r>
        <w:rPr>
          <w:shd w:fill="auto" w:val="clear"/>
        </w:rPr>
        <w:t>Each component is recursively loaded from the VARC table, if it is present in this table; if it is not found in VARC, it is loaded from ‘GLYF’/’GVAR’, ‘glyf’/’gvar’, or ‘CFF2’ as appropriate. An exception to the recursive rule is that if a component refers to the glyphID of the current glyph, instead of recursing (which would result in infinite recursion), the glyph outline for the component shall be loaded directly instead, as if the glyphID had no VARC entry.</w:t>
      </w:r>
    </w:p>
    <w:p>
      <w:pPr>
        <w:pStyle w:val="NOTE2"/>
        <w:rPr/>
      </w:pPr>
      <w:r>
        <w:rPr>
          <w:shd w:fill="auto" w:val="clear"/>
        </w:rPr>
        <w:t>NOTE</w:t>
        <w:tab/>
      </w:r>
      <w:r>
        <w:rPr>
          <w:shd w:fill="auto" w:val="clear"/>
        </w:rPr>
        <w:t>While it is the customarily implemented behavior of the glyf table that glyphs loaded are shifted to align their LSB to that specified in the hmtx table, much like regular Composite glyphs, this does not apply to component glyphs being loaded as part of a variable-composite glyph.</w:t>
      </w:r>
    </w:p>
    <w:p>
      <w:pPr>
        <w:pStyle w:val="NOTE2"/>
        <w:rPr/>
      </w:pPr>
      <w:r>
        <w:rPr>
          <w:shd w:fill="auto" w:val="clear"/>
        </w:rPr>
        <w:t>NOTE</w:t>
        <w:tab/>
      </w:r>
      <w:r>
        <w:rPr>
          <w:shd w:fill="auto" w:val="clear"/>
        </w:rPr>
        <w:t>A static (non-variable) font that uses the VARC table would not have fvar / avar tables but would have the GVAR or gvar table in a TrueType-flavored font, or CFF2 variations in a CFF-flavored font. This is because the components themselves store their variables in the classic way. The exception to this situation is a font with VARC table that does NOT vary the component locations and transforms, and does not encode any axis values for the components either. In practice, such a font would just use the VARC table in the manner of classic components in a glyf table.</w:t>
      </w:r>
    </w:p>
    <w:p>
      <w:pPr>
        <w:pStyle w:val="BodyText"/>
        <w:rPr/>
      </w:pPr>
      <w:r>
        <w:rPr/>
      </w:r>
    </w:p>
    <w:p>
      <w:pPr>
        <w:pStyle w:val="BodyText"/>
        <w:bidi w:val="0"/>
        <w:ind w:hanging="0" w:left="0" w:right="0"/>
        <w:rPr>
          <w:shd w:fill="auto" w:val="clear"/>
        </w:rPr>
      </w:pPr>
      <w:r>
        <w:rPr>
          <w:shd w:fill="auto" w:val="clear"/>
        </w:rPr>
      </w:r>
    </w:p>
    <w:p>
      <w:pPr>
        <w:pStyle w:val="BodyText"/>
        <w:rPr/>
      </w:pPr>
      <w:r>
        <w:rPr/>
        <w:br/>
      </w:r>
    </w:p>
    <w:p>
      <w:pPr>
        <w:pStyle w:val="BodyText"/>
        <w:rPr/>
      </w:pPr>
      <w:r>
        <w:rPr/>
      </w:r>
    </w:p>
    <w:p>
      <w:pPr>
        <w:pStyle w:val="BodyText"/>
        <w:rPr/>
      </w:pPr>
      <w:r>
        <w:rPr/>
      </w:r>
    </w:p>
    <w:p>
      <w:pPr>
        <w:pStyle w:val="BodyText"/>
        <w:rPr/>
      </w:pPr>
      <w:r>
        <w:rPr/>
      </w:r>
    </w:p>
    <w:p>
      <w:pPr>
        <w:pStyle w:val="NormalWeb"/>
        <w:rPr/>
      </w:pPr>
      <w:r>
        <w:rPr/>
        <w:t>[end]</w:t>
      </w:r>
    </w:p>
    <w:p>
      <w:pPr>
        <w:pStyle w:val="NormalWeb"/>
        <w:spacing w:before="280" w:after="280"/>
        <w:rPr/>
      </w:pPr>
      <w:r>
        <w:rPr/>
      </w:r>
    </w:p>
    <w:sectPr>
      <w:headerReference w:type="even" r:id="rId7"/>
      <w:headerReference w:type="default" r:id="rId8"/>
      <w:footerReference w:type="even" r:id="rId9"/>
      <w:footerReference w:type="default" r:id="rId10"/>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Franklin Gothic Heavy">
    <w:charset w:val="01"/>
    <w:family w:val="roman"/>
    <w:pitch w:val="variable"/>
  </w:font>
  <w:font w:name="Georgia">
    <w:charset w:val="01"/>
    <w:family w:val="roman"/>
    <w:pitch w:val="variable"/>
  </w:font>
  <w:font w:name="Cambria">
    <w:altName w:val="serif"/>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80</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rPr>
        <w:sz w:val="28"/>
        <w:b/>
        <w:rFonts w:ascii="Cambria" w:hAnsi="Cambria"/>
      </w:rPr>
    </w:lvl>
    <w:lvl w:ilvl="1">
      <w:start w:val="1"/>
      <w:pStyle w:val="Heading2"/>
      <w:numFmt w:val="none"/>
      <w:suff w:val="nothing"/>
      <w:lvlText w:val="%1.%2"/>
      <w:lvlJc w:val="left"/>
      <w:pPr>
        <w:tabs>
          <w:tab w:val="num" w:pos="0"/>
        </w:tabs>
        <w:ind w:left="0" w:hanging="0"/>
      </w:pPr>
      <w:rPr>
        <w:sz w:val="26"/>
        <w:b/>
        <w:rFonts w:ascii="Cambria" w:hAnsi="Cambria"/>
      </w:rPr>
    </w:lvl>
    <w:lvl w:ilvl="2">
      <w:start w:val="1"/>
      <w:pStyle w:val="Heading3"/>
      <w:numFmt w:val="none"/>
      <w:suff w:val="nothing"/>
      <w:lvlText w:val="%1.%2.%3"/>
      <w:lvlJc w:val="left"/>
      <w:pPr>
        <w:tabs>
          <w:tab w:val="num" w:pos="0"/>
        </w:tabs>
        <w:ind w:left="0" w:hanging="0"/>
      </w:pPr>
      <w:rPr>
        <w:sz w:val="24"/>
        <w:b/>
        <w:rFonts w:ascii="Cambria" w:hAnsi="Cambria"/>
      </w:rPr>
    </w:lvl>
    <w:lvl w:ilvl="3">
      <w:start w:val="1"/>
      <w:pStyle w:val="Heading4"/>
      <w:numFmt w:val="none"/>
      <w:suff w:val="nothing"/>
      <w:lvlText w:val="%1.%2.%3.%4"/>
      <w:lvlJc w:val="left"/>
      <w:pPr>
        <w:tabs>
          <w:tab w:val="num" w:pos="0"/>
        </w:tabs>
        <w:ind w:left="0" w:hanging="0"/>
      </w:pPr>
      <w:rPr>
        <w:sz w:val="22"/>
        <w:b/>
        <w:rFonts w:ascii="Cambria" w:hAnsi="Cambria"/>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isplayBackgroundShape/>
  <w:mirrorMargins/>
  <w:defaultTabStop w:val="720"/>
  <w:autoHyphenation w:val="true"/>
  <w:evenAndOddHeaders/>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left"/>
    </w:pPr>
    <w:rPr>
      <w:rFonts w:ascii="Cambria" w:hAnsi="Cambria" w:eastAsia="Arial" w:cs="Arial"/>
      <w:color w:val="auto"/>
      <w:kern w:val="2"/>
      <w:sz w:val="22"/>
      <w:szCs w:val="22"/>
      <w:lang w:val="en-US" w:eastAsia="en-US" w:bidi="ar-SA"/>
    </w:rPr>
  </w:style>
  <w:style w:type="paragraph" w:styleId="Heading1">
    <w:name w:val="Heading 1"/>
    <w:basedOn w:val="Normal"/>
    <w:qFormat/>
    <w:pPr>
      <w:numPr>
        <w:ilvl w:val="0"/>
        <w:numId w:val="1"/>
      </w:numPr>
      <w:spacing w:lineRule="auto" w:line="276" w:before="357" w:after="0"/>
      <w:ind w:hanging="0" w:left="0" w:right="0"/>
      <w:outlineLvl w:val="0"/>
    </w:pPr>
    <w:rPr>
      <w:b/>
      <w:bCs/>
      <w:sz w:val="28"/>
      <w:szCs w:val="24"/>
    </w:rPr>
  </w:style>
  <w:style w:type="paragraph" w:styleId="Heading2">
    <w:name w:val="Heading 2"/>
    <w:basedOn w:val="Heading1"/>
    <w:next w:val="BodyText"/>
    <w:qFormat/>
    <w:pPr>
      <w:numPr>
        <w:ilvl w:val="1"/>
        <w:numId w:val="1"/>
      </w:numPr>
      <w:tabs>
        <w:tab w:val="left" w:pos="720" w:leader="none"/>
      </w:tabs>
      <w:spacing w:lineRule="atLeast" w:line="249" w:before="278" w:after="238"/>
      <w:ind w:hanging="431" w:left="431" w:right="0"/>
      <w:outlineLvl w:val="1"/>
    </w:pPr>
    <w:rPr>
      <w:rFonts w:ascii="Cambria" w:hAnsi="Cambria"/>
      <w:b/>
      <w:bCs/>
      <w:sz w:val="26"/>
      <w:szCs w:val="32"/>
    </w:rPr>
  </w:style>
  <w:style w:type="paragraph" w:styleId="Heading3">
    <w:name w:val="Heading 3"/>
    <w:basedOn w:val="Heading"/>
    <w:next w:val="BodyText"/>
    <w:qFormat/>
    <w:pPr>
      <w:numPr>
        <w:ilvl w:val="2"/>
        <w:numId w:val="1"/>
      </w:numPr>
      <w:spacing w:before="140" w:after="120"/>
      <w:outlineLvl w:val="2"/>
    </w:pPr>
    <w:rPr>
      <w:rFonts w:ascii="Cambria" w:hAnsi="Cambria"/>
      <w:b/>
      <w:bCs/>
      <w:sz w:val="24"/>
    </w:rPr>
  </w:style>
  <w:style w:type="paragraph" w:styleId="Heading4">
    <w:name w:val="Heading 4"/>
    <w:basedOn w:val="Heading"/>
    <w:next w:val="BodyText"/>
    <w:qFormat/>
    <w:pPr>
      <w:numPr>
        <w:ilvl w:val="3"/>
        <w:numId w:val="1"/>
      </w:numPr>
      <w:tabs>
        <w:tab w:val="clear" w:pos="720"/>
      </w:tabs>
      <w:spacing w:lineRule="atLeast" w:line="238" w:before="278" w:after="238"/>
      <w:ind w:hanging="1083" w:left="1083" w:right="0"/>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hanging="1440" w:left="1440" w:right="0"/>
      <w:outlineLvl w:val="5"/>
    </w:pPr>
    <w:rPr/>
  </w:style>
  <w:style w:type="paragraph" w:styleId="Heading7">
    <w:name w:val="Heading 7"/>
    <w:basedOn w:val="Normal"/>
    <w:next w:val="BodyText"/>
    <w:link w:val="Heading7Char"/>
    <w:qFormat/>
    <w:pPr>
      <w:keepNext w:val="true"/>
      <w:keepLines/>
      <w:numPr>
        <w:ilvl w:val="0"/>
        <w:numId w:val="0"/>
      </w:numPr>
      <w:tabs>
        <w:tab w:val="clear" w:pos="720"/>
      </w:tabs>
      <w:spacing w:lineRule="auto" w:line="240" w:before="200" w:after="0"/>
      <w:jc w:val="left"/>
      <w:outlineLvl w:val="6"/>
    </w:pPr>
    <w:rPr>
      <w:rFonts w:ascii="Calibri Light" w:hAnsi="Calibri Light" w:eastAsia="宋体" w:cs="Angsana New"/>
      <w:color w:val="5B9BD5"/>
      <w:sz w:val="24"/>
      <w:szCs w:val="24"/>
      <w:lang w:val="en-US"/>
    </w:rPr>
  </w:style>
  <w:style w:type="paragraph" w:styleId="Heading8">
    <w:name w:val="Heading 8"/>
    <w:basedOn w:val="Normal"/>
    <w:next w:val="BodyText"/>
    <w:link w:val="Heading8Char"/>
    <w:qFormat/>
    <w:pPr>
      <w:keepNext w:val="true"/>
      <w:keepLines/>
      <w:numPr>
        <w:ilvl w:val="0"/>
        <w:numId w:val="0"/>
      </w:numPr>
      <w:tabs>
        <w:tab w:val="clear" w:pos="720"/>
      </w:tabs>
      <w:spacing w:lineRule="auto" w:line="240" w:before="200" w:after="0"/>
      <w:jc w:val="left"/>
      <w:outlineLvl w:val="7"/>
    </w:pPr>
    <w:rPr>
      <w:rFonts w:ascii="Calibri Light" w:hAnsi="Calibri Light" w:eastAsia="宋体" w:cs="Angsana New"/>
      <w:color w:val="5B9BD5"/>
      <w:sz w:val="24"/>
      <w:szCs w:val="24"/>
      <w:lang w:val="en-US"/>
    </w:rPr>
  </w:style>
  <w:style w:type="paragraph" w:styleId="Heading9">
    <w:name w:val="Heading 9"/>
    <w:basedOn w:val="Normal"/>
    <w:next w:val="BodyText"/>
    <w:link w:val="Heading9Char"/>
    <w:qFormat/>
    <w:pPr>
      <w:keepNext w:val="true"/>
      <w:keepLines/>
      <w:numPr>
        <w:ilvl w:val="0"/>
        <w:numId w:val="0"/>
      </w:numPr>
      <w:tabs>
        <w:tab w:val="clear" w:pos="720"/>
      </w:tabs>
      <w:spacing w:lineRule="auto" w:line="240" w:before="200" w:after="0"/>
      <w:jc w:val="lef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Hyper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1">
    <w:name w:val="Strong1"/>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FollowedHyperlink">
    <w:name w:val="FollowedHyperlink"/>
    <w:basedOn w:val="DefaultParagraphFont"/>
    <w:rPr>
      <w:color w:val="954F72"/>
      <w:u w:val="single"/>
    </w:rPr>
  </w:style>
  <w:style w:type="character" w:styleId="Strong">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Text"/>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1"/>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Text"/>
    <w:qFormat/>
    <w:rPr>
      <w:rFonts w:ascii="Arial" w:hAnsi="Arial" w:eastAsia="MS Mincho"/>
      <w:lang w:val="en-GB" w:eastAsia="ja-JP"/>
    </w:rPr>
  </w:style>
  <w:style w:type="character" w:styleId="ExtXref">
    <w:name w:val="ExtXref"/>
    <w:qFormat/>
    <w:rPr>
      <w:color w:val="auto"/>
      <w:lang w:val="fr-FR"/>
    </w:rPr>
  </w:style>
  <w:style w:type="character" w:styleId="Linenumber1">
    <w:name w:val="line number1"/>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SC" w:cs="Mangal"/>
      <w:sz w:val="28"/>
      <w:szCs w:val="28"/>
    </w:rPr>
  </w:style>
  <w:style w:type="paragraph" w:styleId="BodyText">
    <w:name w:val="Body Text"/>
    <w:basedOn w:val="Normal"/>
    <w:link w:val="BodyTextChar"/>
    <w:pPr>
      <w:spacing w:lineRule="atLeast" w:line="238" w:before="0" w:after="238"/>
    </w:pPr>
    <w:rPr>
      <w:rFonts w:ascii="Cambria" w:hAnsi="Cambria"/>
      <w:sz w:val="22"/>
      <w:szCs w:val="24"/>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2"/>
    <w:basedOn w:val="Normal"/>
    <w:qFormat/>
    <w:pPr>
      <w:suppressLineNumbers/>
      <w:spacing w:before="120" w:after="120"/>
    </w:pPr>
    <w:rPr>
      <w:rFonts w:cs="Mangal"/>
      <w:i/>
      <w:iCs/>
      <w:sz w:val="24"/>
      <w:szCs w:val="24"/>
    </w:rPr>
  </w:style>
  <w:style w:type="paragraph" w:styleId="Title">
    <w:name w:val="Title"/>
    <w:basedOn w:val="Normal"/>
    <w:qFormat/>
    <w:pPr>
      <w:spacing w:before="90" w:after="0"/>
      <w:ind w:hanging="0" w:left="1194" w:right="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Times New Roman" w:hAnsi="Times New Roman" w:eastAsia="Times New Roman" w:cs="Times New Roman"/>
      <w:sz w:val="24"/>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TOC2">
    <w:name w:val="TOC 2"/>
    <w:basedOn w:val="Index"/>
    <w:pPr>
      <w:tabs>
        <w:tab w:val="clear" w:pos="720"/>
        <w:tab w:val="right" w:pos="8743" w:leader="dot"/>
      </w:tabs>
      <w:ind w:hanging="0" w:left="283" w:right="0"/>
    </w:pPr>
    <w:rPr/>
  </w:style>
  <w:style w:type="paragraph" w:styleId="TOC3">
    <w:name w:val="TOC 3"/>
    <w:basedOn w:val="Index"/>
    <w:pPr>
      <w:tabs>
        <w:tab w:val="clear" w:pos="720"/>
        <w:tab w:val="right" w:pos="8459" w:leader="dot"/>
      </w:tabs>
      <w:ind w:hanging="0" w:left="567" w:right="0"/>
    </w:pPr>
    <w:rPr/>
  </w:style>
  <w:style w:type="paragraph" w:styleId="TOC4">
    <w:name w:val="TOC 4"/>
    <w:basedOn w:val="Index"/>
    <w:pPr>
      <w:tabs>
        <w:tab w:val="clear" w:pos="720"/>
        <w:tab w:val="right" w:pos="8176" w:leader="dot"/>
      </w:tabs>
      <w:ind w:hanging="0" w:left="850" w:right="0"/>
    </w:pPr>
    <w:rPr/>
  </w:style>
  <w:style w:type="paragraph" w:styleId="TOC1">
    <w:name w:val="TOC 1"/>
    <w:basedOn w:val="Index"/>
    <w:pPr>
      <w:tabs>
        <w:tab w:val="clear" w:pos="720"/>
        <w:tab w:val="right" w:pos="9026" w:leader="dot"/>
      </w:tabs>
    </w:pPr>
    <w:rPr>
      <w:b/>
    </w:rPr>
  </w:style>
  <w:style w:type="paragraph" w:styleId="ListBullet3">
    <w:name w:val="List Bullet 3"/>
    <w:basedOn w:val="List"/>
    <w:pPr>
      <w:spacing w:before="0" w:after="120"/>
      <w:ind w:hanging="360" w:left="360" w:right="0"/>
    </w:pPr>
    <w:rPr/>
  </w:style>
  <w:style w:type="paragraph" w:styleId="BlockQuotation">
    <w:name w:val="Block Quotation"/>
    <w:basedOn w:val="Normal"/>
    <w:qFormat/>
    <w:pPr>
      <w:spacing w:before="0" w:after="283"/>
      <w:ind w:hanging="0" w:left="567" w:right="567"/>
    </w:pPr>
    <w:rPr/>
  </w:style>
  <w:style w:type="paragraph" w:styleId="FootnoteText">
    <w:name w:val="Footnote Text"/>
    <w:basedOn w:val="Normal"/>
    <w:pPr>
      <w:suppressLineNumbers/>
      <w:ind w:hanging="340" w:left="340" w:right="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lef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lef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lef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lef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lef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left"/>
    </w:pPr>
    <w:rPr>
      <w:b/>
    </w:rPr>
  </w:style>
  <w:style w:type="paragraph" w:styleId="TermNum">
    <w:name w:val="TermNum"/>
    <w:basedOn w:val="Normal"/>
    <w:next w:val="Terms"/>
    <w:qFormat/>
    <w:pPr>
      <w:keepNext w:val="true"/>
      <w:spacing w:before="0" w:after="0"/>
      <w:jc w:val="left"/>
    </w:pPr>
    <w:rPr>
      <w:b/>
    </w:rPr>
  </w:style>
  <w:style w:type="paragraph" w:styleId="ZzContents">
    <w:name w:val="zzContents"/>
    <w:basedOn w:val="Normal"/>
    <w:next w:val="TOC1"/>
    <w:qFormat/>
    <w:pPr>
      <w:keepNext w:val="true"/>
      <w:pageBreakBefore/>
      <w:suppressAutoHyphens w:val="true"/>
      <w:spacing w:lineRule="exact" w:line="310" w:before="960" w:after="310"/>
      <w:jc w:val="lef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hanging="0" w:left="284" w:right="284"/>
    </w:pPr>
    <w:rPr>
      <w:color w:val="0000FF"/>
    </w:rPr>
  </w:style>
  <w:style w:type="paragraph" w:styleId="ZzSTDTitle">
    <w:name w:val="zzSTDTitle"/>
    <w:basedOn w:val="Normal"/>
    <w:next w:val="Normal"/>
    <w:qFormat/>
    <w:pPr>
      <w:suppressAutoHyphens w:val="true"/>
      <w:spacing w:lineRule="exact" w:line="350" w:before="400" w:after="760"/>
      <w:jc w:val="left"/>
    </w:pPr>
    <w:rPr>
      <w:b/>
      <w:color w:val="0000FF"/>
      <w:sz w:val="32"/>
    </w:rPr>
  </w:style>
  <w:style w:type="paragraph" w:styleId="Code">
    <w:name w:val="Code"/>
    <w:basedOn w:val="Normal"/>
    <w:qFormat/>
    <w:pPr>
      <w:spacing w:lineRule="atLeast" w:line="200" w:before="0" w:after="0"/>
      <w:jc w:val="left"/>
    </w:pPr>
    <w:rPr>
      <w:rFonts w:ascii="Courier New" w:hAnsi="Courier New"/>
      <w:sz w:val="20"/>
    </w:rPr>
  </w:style>
  <w:style w:type="paragraph" w:styleId="Formula">
    <w:name w:val="Formula"/>
    <w:basedOn w:val="Normal"/>
    <w:qFormat/>
    <w:pPr>
      <w:tabs>
        <w:tab w:val="clear" w:pos="720"/>
        <w:tab w:val="right" w:pos="9749" w:leader="none"/>
      </w:tabs>
      <w:spacing w:before="0" w:after="220"/>
      <w:ind w:hanging="0" w:left="403" w:right="0"/>
      <w:jc w:val="left"/>
    </w:pPr>
    <w:rPr>
      <w:rFonts w:eastAsia="Times New Roman"/>
    </w:rPr>
  </w:style>
  <w:style w:type="paragraph" w:styleId="Tablebody">
    <w:name w:val="Table body"/>
    <w:basedOn w:val="Normal"/>
    <w:qFormat/>
    <w:pPr>
      <w:tabs>
        <w:tab w:val="clear" w:pos="720"/>
      </w:tabs>
      <w:spacing w:lineRule="atLeast" w:line="210" w:before="60" w:after="60"/>
      <w:jc w:val="lef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BodyText"/>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left"/>
    </w:pPr>
    <w:rPr>
      <w:rFonts w:ascii="Calibri" w:hAnsi="Calibri" w:eastAsia="Calibri" w:cs="Cordia New"/>
      <w:sz w:val="24"/>
      <w:szCs w:val="24"/>
    </w:rPr>
  </w:style>
  <w:style w:type="paragraph" w:styleId="Compact">
    <w:name w:val="Compact"/>
    <w:basedOn w:val="BodyText"/>
    <w:qFormat/>
    <w:pPr>
      <w:spacing w:lineRule="auto" w:line="240" w:before="36" w:after="36"/>
      <w:jc w:val="left"/>
    </w:pPr>
    <w:rPr>
      <w:rFonts w:eastAsia="Calibri" w:cs="Cordia New"/>
      <w:szCs w:val="24"/>
    </w:rPr>
  </w:style>
  <w:style w:type="paragraph" w:styleId="BlockText">
    <w:name w:val="Block Text"/>
    <w:basedOn w:val="BodyText"/>
    <w:next w:val="BodyText"/>
    <w:qFormat/>
    <w:pPr>
      <w:spacing w:lineRule="auto" w:line="240" w:before="100" w:after="100"/>
      <w:ind w:hanging="0" w:left="480" w:right="480"/>
      <w:jc w:val="lef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lef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left"/>
    </w:pPr>
    <w:rPr>
      <w:rFonts w:ascii="Arial" w:hAnsi="Arial" w:eastAsia="Arial" w:cs="Arial"/>
      <w:sz w:val="20"/>
      <w:szCs w:val="20"/>
    </w:rPr>
  </w:style>
  <w:style w:type="paragraph" w:styleId="Subtitle">
    <w:name w:val="Subtitle"/>
    <w:basedOn w:val="Title"/>
    <w:next w:val="BodyText"/>
    <w:link w:val="SubtitleChar"/>
    <w:qFormat/>
    <w:pPr>
      <w:keepNext w:val="true"/>
      <w:keepLines/>
      <w:widowControl/>
      <w:spacing w:before="240" w:after="240"/>
      <w:ind w:hanging="0" w:left="0" w:right="0"/>
      <w:jc w:val="center"/>
    </w:pPr>
    <w:rPr>
      <w:rFonts w:ascii="Calibri Light" w:hAnsi="Calibri Light" w:eastAsia="宋体" w:cs="Angsana New"/>
      <w:color w:val="2C6EAB"/>
      <w:sz w:val="30"/>
      <w:szCs w:val="30"/>
      <w:u w:val="none"/>
      <w:lang w:val="en-US"/>
    </w:rPr>
  </w:style>
  <w:style w:type="paragraph" w:styleId="Author">
    <w:name w:val="Author"/>
    <w:next w:val="BodyText"/>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BodyText"/>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BodyText"/>
    <w:qFormat/>
    <w:pPr>
      <w:keepNext w:val="true"/>
      <w:keepLines/>
      <w:tabs>
        <w:tab w:val="clear" w:pos="720"/>
      </w:tabs>
      <w:spacing w:lineRule="auto" w:line="240" w:before="300" w:after="300"/>
      <w:jc w:val="lef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lef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lef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lef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lef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hanging="403" w:left="403" w:right="0"/>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hanging="660" w:left="660" w:right="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1">
    <w:name w:val="Body Text Indent1"/>
    <w:basedOn w:val="BodyText"/>
    <w:link w:val="BodyTextFirstIndentChar"/>
    <w:qFormat/>
    <w:pPr>
      <w:spacing w:lineRule="atLeast" w:line="210"/>
      <w:ind w:firstLine="210" w:left="0" w:right="0"/>
    </w:pPr>
    <w:rPr>
      <w:rFonts w:ascii="Arial" w:hAnsi="Arial" w:eastAsia="MS Mincho"/>
      <w:sz w:val="18"/>
      <w:szCs w:val="20"/>
      <w:lang w:val="en-GB" w:eastAsia="ja-JP"/>
    </w:rPr>
  </w:style>
  <w:style w:type="paragraph" w:styleId="BodyTextIndent">
    <w:name w:val="Body Text Indent"/>
    <w:basedOn w:val="Normal"/>
    <w:link w:val="BodyTextIndentChar"/>
    <w:pPr>
      <w:tabs>
        <w:tab w:val="clear" w:pos="720"/>
      </w:tabs>
      <w:spacing w:lineRule="atLeast" w:line="230" w:before="0" w:after="120"/>
      <w:ind w:hanging="0" w:left="283" w:right="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firstLine="210" w:left="0" w:right="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hanging="0" w:left="283" w:right="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hanging="0" w:left="283" w:right="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hanging="0" w:left="4252" w:right="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hanging="400" w:left="800" w:right="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Text">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hanging="0" w:left="2835" w:right="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left"/>
    </w:pPr>
    <w:rPr>
      <w:rFonts w:ascii="Arial" w:hAnsi="Arial" w:eastAsia="MS Mincho"/>
      <w:b/>
      <w:sz w:val="28"/>
      <w:szCs w:val="20"/>
      <w:lang w:val="en-GB" w:eastAsia="ja-JP"/>
    </w:rPr>
  </w:style>
  <w:style w:type="paragraph" w:styleId="ListBullet2">
    <w:name w:val="List Bullet 2"/>
    <w:basedOn w:val="Normal"/>
    <w:pPr>
      <w:tabs>
        <w:tab w:val="clear" w:pos="720"/>
      </w:tabs>
      <w:spacing w:lineRule="atLeast" w:line="230"/>
      <w:ind w:hanging="283" w:left="566" w:right="0"/>
    </w:pPr>
    <w:rPr>
      <w:rFonts w:ascii="Arial" w:hAnsi="Arial" w:eastAsia="MS Mincho"/>
      <w:sz w:val="20"/>
      <w:szCs w:val="20"/>
      <w:lang w:val="en-GB" w:eastAsia="ja-JP"/>
    </w:rPr>
  </w:style>
  <w:style w:type="paragraph" w:styleId="ListBullet4">
    <w:name w:val="List Bullet 4"/>
    <w:basedOn w:val="Normal"/>
    <w:pPr>
      <w:tabs>
        <w:tab w:val="clear" w:pos="720"/>
      </w:tabs>
      <w:spacing w:lineRule="atLeast" w:line="230"/>
      <w:ind w:hanging="283" w:left="1132" w:right="0"/>
    </w:pPr>
    <w:rPr>
      <w:rFonts w:ascii="Arial" w:hAnsi="Arial" w:eastAsia="MS Mincho"/>
      <w:sz w:val="20"/>
      <w:szCs w:val="20"/>
      <w:lang w:val="en-GB" w:eastAsia="ja-JP"/>
    </w:rPr>
  </w:style>
  <w:style w:type="paragraph" w:styleId="ListBullet5">
    <w:name w:val="List Bullet 5"/>
    <w:basedOn w:val="Normal"/>
    <w:pPr>
      <w:tabs>
        <w:tab w:val="clear" w:pos="720"/>
      </w:tabs>
      <w:spacing w:lineRule="atLeast" w:line="230"/>
      <w:ind w:hanging="283" w:left="1415" w:right="0"/>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1">
    <w:name w:val="List Bullet 21"/>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1">
    <w:name w:val="List Bullet 31"/>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1">
    <w:name w:val="List Bullet 41"/>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1">
    <w:name w:val="List Bullet 51"/>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hanging="0" w:left="1415" w:right="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hanging="1134" w:left="1134" w:right="0"/>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hanging="0" w:left="708" w:right="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Salutation">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hanging="0" w:left="4252" w:right="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TOC5">
    <w:name w:val="TOC 5"/>
    <w:basedOn w:val="TOC4"/>
    <w:next w:val="Normal"/>
    <w:pPr/>
    <w:rPr/>
  </w:style>
  <w:style w:type="paragraph" w:styleId="TOC6">
    <w:name w:val="TOC 6"/>
    <w:basedOn w:val="TOC4"/>
    <w:next w:val="Normal"/>
    <w:pPr>
      <w:tabs>
        <w:tab w:val="clear" w:pos="8176"/>
        <w:tab w:val="left" w:pos="1440" w:leader="none"/>
        <w:tab w:val="right" w:pos="9752" w:leader="dot"/>
      </w:tabs>
      <w:ind w:hanging="1440" w:left="1440" w:right="500"/>
    </w:pPr>
    <w:rPr/>
  </w:style>
  <w:style w:type="paragraph" w:styleId="TOC7">
    <w:name w:val="TOC 7"/>
    <w:basedOn w:val="TOC4"/>
    <w:next w:val="Normal"/>
    <w:pPr>
      <w:tabs>
        <w:tab w:val="clear" w:pos="8176"/>
        <w:tab w:val="left" w:pos="1440" w:leader="none"/>
        <w:tab w:val="right" w:pos="9752" w:leader="dot"/>
      </w:tabs>
      <w:ind w:hanging="1440" w:left="1440" w:right="500"/>
    </w:pPr>
    <w:rPr/>
  </w:style>
  <w:style w:type="paragraph" w:styleId="TOC8">
    <w:name w:val="TOC 8"/>
    <w:basedOn w:val="TOC4"/>
    <w:next w:val="Normal"/>
    <w:pPr>
      <w:tabs>
        <w:tab w:val="clear" w:pos="8176"/>
        <w:tab w:val="left" w:pos="1440" w:leader="none"/>
        <w:tab w:val="right" w:pos="9752" w:leader="dot"/>
      </w:tabs>
      <w:ind w:hanging="1440" w:left="1440" w:right="500"/>
    </w:pPr>
    <w:rPr/>
  </w:style>
  <w:style w:type="paragraph" w:styleId="TOC9">
    <w:name w:val="TOC 9"/>
    <w:basedOn w:val="TOC1"/>
    <w:next w:val="Normal"/>
    <w:pPr>
      <w:tabs>
        <w:tab w:val="clear" w:pos="9026"/>
        <w:tab w:val="right" w:pos="9752" w:leader="dot"/>
      </w:tabs>
      <w:spacing w:lineRule="atLeast" w:line="230"/>
      <w:ind w:hanging="0" w:left="0" w:right="50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right"/>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1"/>
    <w:qFormat/>
    <w:pPr/>
    <w:rPr/>
  </w:style>
  <w:style w:type="paragraph" w:styleId="Index1">
    <w:name w:val="index 1"/>
    <w:basedOn w:val="Normal"/>
    <w:qFormat/>
    <w:pPr>
      <w:tabs>
        <w:tab w:val="clear" w:pos="720"/>
      </w:tabs>
      <w:spacing w:lineRule="atLeast" w:line="210" w:before="0" w:after="0"/>
      <w:ind w:hanging="142" w:left="142" w:right="0"/>
      <w:jc w:val="lef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hanging="0" w:left="0" w:right="960"/>
      <w:jc w:val="lef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lef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MS Mincho" w:cs="Courier New"/>
      <w:sz w:val="20"/>
      <w:szCs w:val="20"/>
      <w:lang w:eastAsia="ja-JP"/>
    </w:rPr>
  </w:style>
  <w:style w:type="paragraph" w:styleId="Caption11">
    <w:name w:val="Caption11"/>
    <w:basedOn w:val="Normal"/>
    <w:link w:val="Caption1Char"/>
    <w:qFormat/>
    <w:pPr>
      <w:tabs>
        <w:tab w:val="clear" w:pos="720"/>
      </w:tabs>
      <w:spacing w:lineRule="auto" w:line="240" w:before="280" w:after="280"/>
      <w:jc w:val="lef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left"/>
    </w:pPr>
    <w:rPr>
      <w:rFonts w:ascii="Franklin Gothic Heavy" w:hAnsi="Franklin Gothic Heavy" w:eastAsia="MS Mincho"/>
      <w:sz w:val="72"/>
      <w:szCs w:val="72"/>
      <w:lang w:eastAsia="ja-JP"/>
    </w:rPr>
  </w:style>
  <w:style w:type="paragraph" w:styleId="Heading11">
    <w:name w:val="heading1"/>
    <w:basedOn w:val="Normal"/>
    <w:qFormat/>
    <w:pPr>
      <w:tabs>
        <w:tab w:val="clear" w:pos="720"/>
      </w:tabs>
      <w:spacing w:lineRule="auto" w:line="240" w:before="280" w:after="280"/>
      <w:jc w:val="lef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lef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lef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lef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lef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lef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lef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lef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lef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hanging="0" w:left="48" w:right="24"/>
      <w:jc w:val="lef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hanging="1680" w:left="1680" w:right="960"/>
    </w:pPr>
    <w:rPr/>
  </w:style>
  <w:style w:type="paragraph" w:styleId="Tinfo">
    <w:name w:val="tinfo"/>
    <w:basedOn w:val="Normal"/>
    <w:qFormat/>
    <w:pPr>
      <w:tabs>
        <w:tab w:val="clear" w:pos="720"/>
        <w:tab w:val="left" w:pos="5160" w:leader="none"/>
      </w:tabs>
      <w:spacing w:lineRule="atLeast" w:line="280" w:before="0" w:after="0"/>
      <w:jc w:val="lef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lef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hanging="0" w:left="0" w:right="0"/>
    </w:pPr>
    <w:rPr/>
  </w:style>
  <w:style w:type="paragraph" w:styleId="List1">
    <w:name w:val="List1"/>
    <w:basedOn w:val="1text"/>
    <w:qFormat/>
    <w:pPr>
      <w:spacing w:before="80" w:after="0"/>
      <w:ind w:hanging="280" w:left="280" w:right="960"/>
    </w:pPr>
    <w:rPr/>
  </w:style>
  <w:style w:type="paragraph" w:styleId="Note1">
    <w:name w:val="note1"/>
    <w:basedOn w:val="Normal"/>
    <w:next w:val="1text"/>
    <w:qFormat/>
    <w:pPr>
      <w:keepLines/>
      <w:tabs>
        <w:tab w:val="clear" w:pos="720"/>
        <w:tab w:val="left" w:pos="360" w:leader="none"/>
      </w:tabs>
      <w:spacing w:before="160" w:after="0"/>
      <w:ind w:hanging="0" w:left="0" w:right="960"/>
      <w:jc w:val="lef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
    <w:name w:val="list2"/>
    <w:basedOn w:val="List1"/>
    <w:qFormat/>
    <w:pPr>
      <w:tabs>
        <w:tab w:val="clear" w:pos="720"/>
        <w:tab w:val="left" w:pos="1440" w:leader="none"/>
        <w:tab w:val="left" w:pos="1700" w:leader="none"/>
      </w:tabs>
      <w:ind w:hanging="280" w:left="580" w:right="96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1"/>
    <w:basedOn w:val="1text"/>
    <w:qFormat/>
    <w:pPr>
      <w:keepNext w:val="true"/>
      <w:spacing w:before="240" w:after="0"/>
    </w:pPr>
    <w:rPr>
      <w:rFonts w:eastAsia="Times New Roman"/>
      <w:i/>
      <w:iCs/>
      <w:sz w:val="20"/>
      <w:lang w:eastAsia="en-US"/>
    </w:rPr>
  </w:style>
  <w:style w:type="paragraph" w:styleId="Note11">
    <w:name w:val="note1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hanging="0" w:left="0" w:right="960"/>
      <w:jc w:val="lef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left"/>
    </w:pPr>
    <w:rPr>
      <w:rFonts w:ascii="Times New Roman" w:hAnsi="Times New Roman" w:eastAsia="MS Mincho"/>
      <w:sz w:val="20"/>
      <w:szCs w:val="20"/>
      <w:lang w:eastAsia="ja-JP"/>
    </w:rPr>
  </w:style>
  <w:style w:type="paragraph" w:styleId="List3">
    <w:name w:val="list3"/>
    <w:basedOn w:val="List2"/>
    <w:qFormat/>
    <w:pPr>
      <w:tabs>
        <w:tab w:val="clear" w:pos="1440"/>
        <w:tab w:val="clear" w:pos="1700"/>
        <w:tab w:val="left" w:pos="620" w:leader="none"/>
      </w:tabs>
      <w:overflowPunct w:val="true"/>
      <w:ind w:hanging="0" w:left="300" w:right="96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hanging="360" w:left="360" w:right="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hanging="720" w:left="720" w:right="0"/>
    </w:pPr>
    <w:rPr>
      <w:rFonts w:cs="Arial"/>
      <w:bCs/>
      <w:szCs w:val="32"/>
      <w:lang w:val="en-GB"/>
    </w:rPr>
  </w:style>
  <w:style w:type="paragraph" w:styleId="Style11">
    <w:name w:val="Style1"/>
    <w:basedOn w:val="Normal"/>
    <w:autoRedefine/>
    <w:qFormat/>
    <w:pPr>
      <w:tabs>
        <w:tab w:val="clear" w:pos="720"/>
      </w:tabs>
      <w:spacing w:lineRule="auto" w:line="240" w:before="0" w:after="0"/>
      <w:jc w:val="lef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lef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lef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lef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lef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lef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hanging="360" w:left="720" w:right="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lef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2"/>
    <w:basedOn w:val="NormalWeb"/>
    <w:link w:val="NOTEChar"/>
    <w:qFormat/>
    <w:pPr>
      <w:ind w:hanging="900" w:left="900" w:right="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30885</TotalTime>
  <Application>LibreOffice/7.6.4.1$Linux_X86_64 LibreOffice_project/60$Build-1</Application>
  <AppVersion>15.0000</AppVersion>
  <Pages>80</Pages>
  <Words>24666</Words>
  <Characters>134600</Characters>
  <CharactersWithSpaces>156871</CharactersWithSpaces>
  <Paragraphs>2769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Liam Quin</cp:lastModifiedBy>
  <cp:lastPrinted>2024-01-23T16:53:32Z</cp:lastPrinted>
  <dcterms:modified xsi:type="dcterms:W3CDTF">2024-01-23T16:53:18Z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file>