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INTERNATIONAL ORGANISATION FOR STANDARDISATION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ORGANISATION INTERNATIONALE DE NORMALISATION</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ISO/IEC JTC 1/SC 29/WG 3</w:t>
      </w:r>
    </w:p>
    <w:p>
      <w:pPr>
        <w:pStyle w:val="Normal"/>
        <w:widowControl/>
        <w:jc w:val="center"/>
        <w:rPr>
          <w:rFonts w:ascii="Times New Roman" w:hAnsi="Times New Roman" w:eastAsia="SimSun" w:cs="Times New Roman"/>
          <w:b/>
          <w:sz w:val="28"/>
          <w:szCs w:val="24"/>
          <w:lang w:val="fr-FR" w:eastAsia="zh-CN"/>
        </w:rPr>
      </w:pPr>
      <w:r>
        <w:rPr>
          <w:rFonts w:eastAsia="SimSun" w:cs="Times New Roman" w:ascii="Times New Roman" w:hAnsi="Times New Roman"/>
          <w:b/>
          <w:sz w:val="28"/>
          <w:szCs w:val="24"/>
          <w:lang w:val="fr-FR" w:eastAsia="zh-CN"/>
        </w:rPr>
        <w:t>CODING OF MOVING PICTURES AND AUDIO</w:t>
      </w:r>
    </w:p>
    <w:p>
      <w:pPr>
        <w:pStyle w:val="Normal"/>
        <w:rPr>
          <w:lang w:val="en-GB"/>
        </w:rPr>
      </w:pPr>
      <w:r>
        <w:rPr>
          <w:lang w:val="en-GB"/>
        </w:rPr>
      </w:r>
    </w:p>
    <w:p>
      <w:pPr>
        <w:pStyle w:val="Normal"/>
        <w:widowControl/>
        <w:jc w:val="right"/>
        <w:rPr>
          <w:rFonts w:ascii="Times New Roman" w:hAnsi="Times New Roman" w:eastAsia="SimSun" w:cs="Times New Roman"/>
          <w:b/>
          <w:sz w:val="48"/>
          <w:szCs w:val="24"/>
          <w:lang w:val="en-GB" w:eastAsia="zh-CN"/>
        </w:rPr>
      </w:pPr>
      <w:r>
        <w:rPr>
          <w:rFonts w:eastAsia="SimSun" w:cs="Times New Roman" w:ascii="Times New Roman" w:hAnsi="Times New Roman"/>
          <w:b/>
          <w:sz w:val="28"/>
          <w:szCs w:val="24"/>
          <w:lang w:val="en-GB" w:eastAsia="zh-CN"/>
        </w:rPr>
        <w:t xml:space="preserve">ISO/IEC JTC 1/SC 29/WG 3 </w:t>
      </w:r>
      <w:r>
        <w:rPr>
          <w:rFonts w:eastAsia="SimSun" w:cs="Times New Roman" w:ascii="Times New Roman" w:hAnsi="Times New Roman"/>
          <w:b/>
          <w:sz w:val="48"/>
          <w:szCs w:val="24"/>
          <w:lang w:val="en-GB" w:eastAsia="zh-CN"/>
        </w:rPr>
        <w:t>m</w:t>
      </w:r>
      <w:r>
        <w:rPr>
          <w:rFonts w:cs="Times New Roman" w:ascii="Times New Roman" w:hAnsi="Times New Roman"/>
          <w:lang w:val="en-GB"/>
        </w:rPr>
        <w:t xml:space="preserve"> </w:t>
      </w:r>
      <w:bookmarkStart w:id="0" w:name="_GoBack"/>
      <w:bookmarkEnd w:id="0"/>
      <w:r>
        <w:rPr>
          <w:rFonts w:eastAsia="SimSun" w:cs="Times New Roman" w:ascii="Times New Roman" w:hAnsi="Times New Roman"/>
          <w:b/>
          <w:sz w:val="48"/>
          <w:szCs w:val="24"/>
          <w:lang w:val="en-GB" w:eastAsia="zh-CN"/>
        </w:rPr>
        <w:t>62937</w:t>
      </w:r>
    </w:p>
    <w:p>
      <w:pPr>
        <w:pStyle w:val="Normal"/>
        <w:widowControl/>
        <w:jc w:val="right"/>
        <w:rPr>
          <w:rFonts w:ascii="Times New Roman" w:hAnsi="Times New Roman" w:eastAsia="SimSun" w:cs="Times New Roman"/>
          <w:b/>
          <w:sz w:val="28"/>
          <w:szCs w:val="24"/>
          <w:lang w:val="en-GB" w:eastAsia="zh-CN"/>
        </w:rPr>
      </w:pPr>
      <w:r>
        <w:rPr>
          <w:rFonts w:eastAsia="SimSun" w:cs="Times New Roman" w:ascii="Times New Roman" w:hAnsi="Times New Roman"/>
          <w:b/>
          <w:sz w:val="28"/>
          <w:szCs w:val="24"/>
          <w:lang w:val="en-GB" w:eastAsia="zh-CN"/>
        </w:rPr>
        <w:t>Antalya, TR – April 2023</w:t>
      </w:r>
    </w:p>
    <w:p>
      <w:pPr>
        <w:pStyle w:val="Normal"/>
        <w:rPr>
          <w:rFonts w:ascii="Times New Roman" w:hAnsi="Times New Roman" w:cs="Times New Roman"/>
          <w:sz w:val="24"/>
        </w:rPr>
      </w:pPr>
      <w:r>
        <w:rPr>
          <w:rFonts w:cs="Times New Roman" w:ascii="Times New Roman" w:hAnsi="Times New Roman"/>
          <w:sz w:val="24"/>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Title: </w:t>
      </w:r>
      <w:r>
        <w:rPr>
          <w:rFonts w:eastAsia="SimSun" w:cs="Times New Roman" w:ascii="Times New Roman" w:hAnsi="Times New Roman"/>
          <w:b/>
          <w:i w:val="false"/>
          <w:caps w:val="false"/>
          <w:smallCaps w:val="false"/>
          <w:color w:val="202124"/>
          <w:spacing w:val="0"/>
          <w:sz w:val="28"/>
          <w:szCs w:val="24"/>
          <w:lang w:eastAsia="zh-CN"/>
        </w:rPr>
        <w:t>Proposed improvements and new functional</w:t>
      </w:r>
      <w:r>
        <w:rPr>
          <w:rFonts w:eastAsia="SimSun" w:cs="Times New Roman" w:ascii="Times New Roman" w:hAnsi="Times New Roman"/>
          <w:b/>
          <w:i w:val="false"/>
          <w:caps w:val="false"/>
          <w:smallCaps w:val="false"/>
          <w:color w:val="202124"/>
          <w:spacing w:val="0"/>
          <w:sz w:val="28"/>
          <w:szCs w:val="24"/>
          <w:lang w:eastAsia="zh-CN"/>
        </w:rPr>
        <w:t>ity</w:t>
      </w:r>
      <w:r>
        <w:rPr>
          <w:rFonts w:eastAsia="SimSun" w:cs="Times New Roman" w:ascii="Times New Roman" w:hAnsi="Times New Roman"/>
          <w:b/>
          <w:i w:val="false"/>
          <w:caps w:val="false"/>
          <w:smallCaps w:val="false"/>
          <w:color w:val="202124"/>
          <w:spacing w:val="0"/>
          <w:sz w:val="28"/>
          <w:szCs w:val="24"/>
          <w:lang w:eastAsia="zh-CN"/>
        </w:rPr>
        <w:t xml:space="preserve"> </w:t>
      </w:r>
      <w:r>
        <w:rPr>
          <w:rFonts w:eastAsia="SimSun" w:cs="Times New Roman" w:ascii="Times New Roman" w:hAnsi="Times New Roman"/>
          <w:b/>
          <w:i w:val="false"/>
          <w:caps w:val="false"/>
          <w:smallCaps w:val="false"/>
          <w:color w:val="202124"/>
          <w:spacing w:val="0"/>
          <w:sz w:val="28"/>
          <w:szCs w:val="24"/>
          <w:lang w:eastAsia="zh-CN"/>
        </w:rPr>
        <w:t>for</w:t>
      </w:r>
      <w:r>
        <w:rPr>
          <w:rFonts w:eastAsia="SimSun" w:cs="Times New Roman" w:ascii="Times New Roman" w:hAnsi="Times New Roman"/>
          <w:b/>
          <w:i w:val="false"/>
          <w:caps w:val="false"/>
          <w:smallCaps w:val="false"/>
          <w:color w:val="202124"/>
          <w:spacing w:val="0"/>
          <w:sz w:val="28"/>
          <w:szCs w:val="24"/>
          <w:lang w:eastAsia="zh-CN"/>
        </w:rPr>
        <w:t xml:space="preserve"> the Open Font Format standard </w:t>
      </w:r>
      <w:r>
        <w:rPr>
          <w:rFonts w:eastAsia="SimSun" w:cs="Times New Roman" w:ascii="Times New Roman" w:hAnsi="Times New Roman"/>
          <w:b/>
          <w:i w:val="false"/>
          <w:caps w:val="false"/>
          <w:smallCaps w:val="false"/>
          <w:color w:val="202124"/>
          <w:spacing w:val="0"/>
          <w:sz w:val="28"/>
          <w:szCs w:val="24"/>
          <w:lang w:eastAsia="zh-CN"/>
        </w:rPr>
        <w:t>for global font support</w:t>
      </w:r>
      <w:r>
        <w:rPr>
          <w:rFonts w:eastAsia="SimSun" w:cs="Times New Roman" w:ascii="Times New Roman" w:hAnsi="Times New Roman"/>
          <w:b/>
          <w:i w:val="false"/>
          <w:caps w:val="false"/>
          <w:smallCaps w:val="false"/>
          <w:color w:val="202124"/>
          <w:spacing w:val="0"/>
          <w:sz w:val="28"/>
          <w:szCs w:val="24"/>
          <w:lang w:eastAsia="zh-CN"/>
        </w:rPr>
        <w:t>.</w:t>
      </w:r>
    </w:p>
    <w:p>
      <w:pPr>
        <w:pStyle w:val="Normal"/>
        <w:widowControl/>
        <w:rPr>
          <w:rFonts w:ascii="Times New Roman" w:hAnsi="Times New Roman" w:eastAsia="SimSun" w:cs="Times New Roman"/>
          <w:b/>
          <w:i w:val="false"/>
          <w:caps w:val="false"/>
          <w:smallCaps w:val="false"/>
          <w:color w:val="202124"/>
          <w:spacing w:val="0"/>
          <w:sz w:val="28"/>
          <w:szCs w:val="24"/>
          <w:lang w:eastAsia="zh-CN"/>
        </w:rPr>
      </w:pPr>
      <w:r>
        <w:rPr/>
      </w:r>
    </w:p>
    <w:p>
      <w:pPr>
        <w:pStyle w:val="Normal"/>
        <w:widowControl/>
        <w:rPr>
          <w:rFonts w:ascii="Times New Roman" w:hAnsi="Times New Roman" w:eastAsia="SimSun" w:cs="Times New Roman"/>
          <w:b/>
          <w:sz w:val="28"/>
          <w:szCs w:val="24"/>
          <w:lang w:eastAsia="zh-CN"/>
        </w:rPr>
      </w:pPr>
      <w:r>
        <w:rPr>
          <w:rFonts w:eastAsia="SimSun" w:cs="Times New Roman" w:ascii="Times New Roman" w:hAnsi="Times New Roman"/>
          <w:b/>
          <w:sz w:val="28"/>
          <w:szCs w:val="24"/>
          <w:lang w:eastAsia="zh-CN"/>
        </w:rPr>
        <w:t xml:space="preserve">Author: </w:t>
      </w:r>
      <w:r>
        <w:rPr>
          <w:rFonts w:eastAsia="SimSun" w:cs="Times New Roman" w:ascii="Times New Roman" w:hAnsi="Times New Roman"/>
          <w:b/>
          <w:sz w:val="28"/>
          <w:szCs w:val="24"/>
          <w:lang w:eastAsia="zh-CN"/>
        </w:rPr>
        <w:t>Dave Crossland (Google Inc., dcrossland@google.com), Behdad Esfahbod (behdad@behdad.org), La</w:t>
      </w:r>
      <w:r>
        <w:rPr>
          <w:rFonts w:eastAsia="SimSun" w:cs="Times New Roman" w:ascii="Times New Roman" w:hAnsi="Times New Roman"/>
          <w:b/>
          <w:sz w:val="28"/>
          <w:szCs w:val="24"/>
          <w:lang w:eastAsia="zh-CN"/>
        </w:rPr>
        <w:t>u</w:t>
      </w:r>
      <w:r>
        <w:rPr>
          <w:rFonts w:eastAsia="SimSun" w:cs="Times New Roman" w:ascii="Times New Roman" w:hAnsi="Times New Roman"/>
          <w:b/>
          <w:sz w:val="28"/>
          <w:szCs w:val="24"/>
          <w:lang w:eastAsia="zh-CN"/>
        </w:rPr>
        <w:t>rence Penny (lorp@lorp.org), Liam Quin (Delightful Computing, liam@delightfulcomputing.com), Rod Sheeter (Google Inc.,  rsheeter@google.com)</w:t>
      </w:r>
    </w:p>
    <w:p>
      <w:pPr>
        <w:pStyle w:val="Normal"/>
        <w:widowControl/>
        <w:rPr>
          <w:rFonts w:ascii="Times New Roman" w:hAnsi="Times New Roman" w:eastAsia="SimSun" w:cs="Times New Roman"/>
          <w:b/>
          <w:sz w:val="28"/>
          <w:szCs w:val="24"/>
          <w:lang w:eastAsia="zh-CN"/>
        </w:rPr>
      </w:pPr>
      <w:r>
        <w:rPr/>
      </w:r>
    </w:p>
    <w:p>
      <w:pPr>
        <w:pStyle w:val="Normal"/>
        <w:widowControl/>
        <w:rPr>
          <w:rFonts w:ascii="Times New Roman" w:hAnsi="Times New Roman" w:eastAsia="SimSun" w:cs="Times New Roman"/>
          <w:b/>
          <w:sz w:val="28"/>
          <w:szCs w:val="24"/>
          <w:lang w:eastAsia="zh-CN"/>
        </w:rPr>
      </w:pPr>
      <w:r>
        <w:rPr/>
      </w:r>
    </w:p>
    <w:p>
      <w:pPr>
        <w:pStyle w:val="Heading1"/>
        <w:ind w:left="104" w:right="0" w:hanging="0"/>
        <w:rPr>
          <w:rFonts w:ascii="Times New Roman" w:hAnsi="Times New Roman" w:eastAsia="SimSun" w:cs="Times New Roman"/>
          <w:b/>
          <w:sz w:val="28"/>
          <w:szCs w:val="24"/>
          <w:lang w:eastAsia="zh-CN"/>
        </w:rPr>
      </w:pPr>
      <w:bookmarkStart w:id="1" w:name="__RefHeading___Toc21896_2335824944"/>
      <w:bookmarkEnd w:id="1"/>
      <w:r>
        <w:rPr/>
        <w:t>Contents</w:t>
      </w:r>
    </w:p>
    <w:sdt>
      <w:sdtPr>
        <w:docPartObj>
          <w:docPartGallery w:val="Table of Contents"/>
          <w:docPartUnique w:val="true"/>
        </w:docPartObj>
      </w:sdtPr>
      <w:sdtContent>
        <w:p>
          <w:pPr>
            <w:pStyle w:val="ContentsHeading"/>
            <w:suppressLineNumbers/>
            <w:ind w:left="0" w:right="0" w:hanging="0"/>
            <w:rPr>
              <w:b/>
              <w:bCs/>
              <w:sz w:val="32"/>
              <w:szCs w:val="32"/>
            </w:rPr>
          </w:pPr>
          <w:r>
            <w:rPr>
              <w:b/>
              <w:bCs/>
              <w:sz w:val="32"/>
              <w:szCs w:val="32"/>
            </w:rPr>
            <w:t>Table of Contents</w:t>
          </w:r>
        </w:p>
        <w:p>
          <w:pPr>
            <w:pStyle w:val="Contents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21896_2335824944">
            <w:r>
              <w:rPr>
                <w:rStyle w:val="IndexLink"/>
              </w:rPr>
              <w:t>1. Contents</w:t>
              <w:tab/>
              <w:t>1</w:t>
            </w:r>
          </w:hyperlink>
        </w:p>
        <w:p>
          <w:pPr>
            <w:pStyle w:val="Contents1"/>
            <w:tabs>
              <w:tab w:val="right" w:pos="9026" w:leader="dot"/>
            </w:tabs>
            <w:rPr/>
          </w:pPr>
          <w:hyperlink w:anchor="__RefHeading___Toc21898_2335824944">
            <w:r>
              <w:rPr>
                <w:rStyle w:val="IndexLink"/>
              </w:rPr>
              <w:t>2. Introduction</w:t>
              <w:tab/>
              <w:t>2</w:t>
            </w:r>
          </w:hyperlink>
        </w:p>
        <w:p>
          <w:pPr>
            <w:pStyle w:val="Contents1"/>
            <w:tabs>
              <w:tab w:val="right" w:pos="9026" w:leader="dot"/>
            </w:tabs>
            <w:rPr/>
          </w:pPr>
          <w:hyperlink w:anchor="__RefHeading___Toc21900_2335824944">
            <w:r>
              <w:rPr>
                <w:rStyle w:val="IndexLink"/>
              </w:rPr>
              <w:t>3. The glyf table: Support Cubic Bézier Curves</w:t>
              <w:tab/>
              <w:t>2</w:t>
            </w:r>
          </w:hyperlink>
        </w:p>
        <w:p>
          <w:pPr>
            <w:pStyle w:val="Contents2"/>
            <w:tabs>
              <w:tab w:val="clear" w:pos="8743"/>
              <w:tab w:val="right" w:pos="9026" w:leader="dot"/>
            </w:tabs>
            <w:rPr/>
          </w:pPr>
          <w:hyperlink w:anchor="__RefHeading___Toc21902_2335824944">
            <w:r>
              <w:rPr>
                <w:rStyle w:val="IndexLink"/>
              </w:rPr>
              <w:t>3.1. Specification Change</w:t>
              <w:tab/>
              <w:t>3</w:t>
            </w:r>
          </w:hyperlink>
        </w:p>
        <w:p>
          <w:pPr>
            <w:pStyle w:val="Contents2"/>
            <w:tabs>
              <w:tab w:val="clear" w:pos="8743"/>
              <w:tab w:val="right" w:pos="9026" w:leader="dot"/>
            </w:tabs>
            <w:rPr/>
          </w:pPr>
          <w:hyperlink w:anchor="__RefHeading___Toc21904_2335824944">
            <w:r>
              <w:rPr>
                <w:rStyle w:val="IndexLink"/>
              </w:rPr>
              <w:t>3.2. Processing</w:t>
              <w:tab/>
              <w:t>3</w:t>
            </w:r>
          </w:hyperlink>
        </w:p>
        <w:p>
          <w:pPr>
            <w:pStyle w:val="Contents1"/>
            <w:tabs>
              <w:tab w:val="right" w:pos="9026" w:leader="dot"/>
            </w:tabs>
            <w:rPr/>
          </w:pPr>
          <w:hyperlink w:anchor="__RefHeading___Toc21906_2335824944">
            <w:r>
              <w:rPr>
                <w:rStyle w:val="IndexLink"/>
              </w:rPr>
              <w:t>4. The glyf table: Variable Composites / Components</w:t>
              <w:tab/>
              <w:t>3</w:t>
            </w:r>
          </w:hyperlink>
        </w:p>
        <w:p>
          <w:pPr>
            <w:pStyle w:val="Contents2"/>
            <w:tabs>
              <w:tab w:val="clear" w:pos="8743"/>
              <w:tab w:val="right" w:pos="9026" w:leader="dot"/>
            </w:tabs>
            <w:rPr/>
          </w:pPr>
          <w:hyperlink w:anchor="__RefHeading___Toc21908_2335824944">
            <w:r>
              <w:rPr>
                <w:rStyle w:val="IndexLink"/>
              </w:rPr>
              <w:t>4.1. Variable Composite Description</w:t>
              <w:tab/>
              <w:t>4</w:t>
            </w:r>
          </w:hyperlink>
        </w:p>
        <w:p>
          <w:pPr>
            <w:pStyle w:val="Contents2"/>
            <w:tabs>
              <w:tab w:val="clear" w:pos="8743"/>
              <w:tab w:val="right" w:pos="9026" w:leader="dot"/>
            </w:tabs>
            <w:rPr/>
          </w:pPr>
          <w:hyperlink w:anchor="__RefHeading___Toc21910_2335824944">
            <w:r>
              <w:rPr>
                <w:rStyle w:val="IndexLink"/>
              </w:rPr>
              <w:t>4.2. Variable Component Record</w:t>
              <w:tab/>
              <w:t>4</w:t>
            </w:r>
          </w:hyperlink>
        </w:p>
        <w:p>
          <w:pPr>
            <w:pStyle w:val="Contents2"/>
            <w:tabs>
              <w:tab w:val="clear" w:pos="8743"/>
              <w:tab w:val="right" w:pos="9026" w:leader="dot"/>
            </w:tabs>
            <w:rPr/>
          </w:pPr>
          <w:hyperlink w:anchor="__RefHeading___Toc21912_2335824944">
            <w:r>
              <w:rPr>
                <w:rStyle w:val="IndexLink"/>
              </w:rPr>
              <w:t>4.3. Variable Component Transformation</w:t>
              <w:tab/>
              <w:t>4</w:t>
            </w:r>
          </w:hyperlink>
        </w:p>
        <w:p>
          <w:pPr>
            <w:pStyle w:val="Contents3"/>
            <w:tabs>
              <w:tab w:val="clear" w:pos="8459"/>
              <w:tab w:val="right" w:pos="9026" w:leader="dot"/>
            </w:tabs>
            <w:rPr/>
          </w:pPr>
          <w:hyperlink w:anchor="__RefHeading___Toc21914_2335824944">
            <w:r>
              <w:rPr>
                <w:rStyle w:val="IndexLink"/>
              </w:rPr>
              <w:t>4.3.1. Variable Component Flags</w:t>
              <w:tab/>
              <w:t>5</w:t>
            </w:r>
          </w:hyperlink>
        </w:p>
        <w:p>
          <w:pPr>
            <w:pStyle w:val="Contents2"/>
            <w:tabs>
              <w:tab w:val="clear" w:pos="8743"/>
              <w:tab w:val="right" w:pos="9026" w:leader="dot"/>
            </w:tabs>
            <w:rPr/>
          </w:pPr>
          <w:hyperlink w:anchor="__RefHeading___Toc21916_2335824944">
            <w:r>
              <w:rPr>
                <w:rStyle w:val="IndexLink"/>
              </w:rPr>
              <w:t>4.4. Processing</w:t>
              <w:tab/>
              <w:t>5</w:t>
            </w:r>
          </w:hyperlink>
        </w:p>
        <w:p>
          <w:pPr>
            <w:pStyle w:val="Contents1"/>
            <w:tabs>
              <w:tab w:val="right" w:pos="9026" w:leader="dot"/>
            </w:tabs>
            <w:rPr/>
          </w:pPr>
          <w:hyperlink w:anchor="__RefHeading___Toc21918_2335824944">
            <w:r>
              <w:rPr>
                <w:rStyle w:val="IndexLink"/>
              </w:rPr>
              <w:t>5. Increased capacity: support more than 65535 glyphs in a font.</w:t>
              <w:tab/>
              <w:t>6</w:t>
            </w:r>
          </w:hyperlink>
        </w:p>
        <w:p>
          <w:pPr>
            <w:pStyle w:val="Contents2"/>
            <w:tabs>
              <w:tab w:val="clear" w:pos="8743"/>
              <w:tab w:val="right" w:pos="9026" w:leader="dot"/>
            </w:tabs>
            <w:rPr/>
          </w:pPr>
          <w:hyperlink w:anchor="__RefHeading___Toc21920_2335824944">
            <w:r>
              <w:rPr>
                <w:rStyle w:val="IndexLink"/>
              </w:rPr>
              <w:t>5.1. Per-table changes</w:t>
              <w:tab/>
              <w:t>7</w:t>
            </w:r>
          </w:hyperlink>
        </w:p>
        <w:p>
          <w:pPr>
            <w:pStyle w:val="Contents3"/>
            <w:tabs>
              <w:tab w:val="clear" w:pos="8459"/>
              <w:tab w:val="right" w:pos="9026" w:leader="dot"/>
            </w:tabs>
            <w:rPr/>
          </w:pPr>
          <w:hyperlink w:anchor="__RefHeading___Toc21922_2335824944">
            <w:r>
              <w:rPr>
                <w:rStyle w:val="IndexLink"/>
              </w:rPr>
              <w:t>5.1.1. maxp table</w:t>
              <w:tab/>
              <w:t>7</w:t>
            </w:r>
          </w:hyperlink>
        </w:p>
        <w:p>
          <w:pPr>
            <w:pStyle w:val="Contents3"/>
            <w:tabs>
              <w:tab w:val="clear" w:pos="8459"/>
              <w:tab w:val="right" w:pos="9026" w:leader="dot"/>
            </w:tabs>
            <w:rPr/>
          </w:pPr>
          <w:hyperlink w:anchor="__RefHeading___Toc21924_2335824944">
            <w:r>
              <w:rPr>
                <w:rStyle w:val="IndexLink"/>
              </w:rPr>
              <w:t>5.1.2. loca / glyf tables</w:t>
              <w:tab/>
              <w:t>7</w:t>
            </w:r>
          </w:hyperlink>
        </w:p>
        <w:p>
          <w:pPr>
            <w:pStyle w:val="Contents4"/>
            <w:tabs>
              <w:tab w:val="clear" w:pos="8176"/>
              <w:tab w:val="right" w:pos="9026" w:leader="dot"/>
            </w:tabs>
            <w:rPr/>
          </w:pPr>
          <w:hyperlink w:anchor="__RefHeading___Toc21926_2335824944">
            <w:r>
              <w:rPr>
                <w:rStyle w:val="IndexLink"/>
              </w:rPr>
              <w:t>5.1.2.1. Composite glyphs</w:t>
              <w:tab/>
              <w:t>7</w:t>
            </w:r>
          </w:hyperlink>
        </w:p>
        <w:p>
          <w:pPr>
            <w:pStyle w:val="Contents3"/>
            <w:tabs>
              <w:tab w:val="clear" w:pos="8459"/>
              <w:tab w:val="right" w:pos="9026" w:leader="dot"/>
            </w:tabs>
            <w:rPr/>
          </w:pPr>
          <w:hyperlink w:anchor="__RefHeading___Toc21928_2335824944">
            <w:r>
              <w:rPr>
                <w:rStyle w:val="IndexLink"/>
              </w:rPr>
              <w:t>5.1.3. gvar table</w:t>
              <w:tab/>
              <w:t>7</w:t>
            </w:r>
          </w:hyperlink>
        </w:p>
        <w:p>
          <w:pPr>
            <w:pStyle w:val="Contents3"/>
            <w:tabs>
              <w:tab w:val="clear" w:pos="8459"/>
              <w:tab w:val="right" w:pos="9026" w:leader="dot"/>
            </w:tabs>
            <w:rPr/>
          </w:pPr>
          <w:hyperlink w:anchor="__RefHeading___Toc22266_2925186988">
            <w:r>
              <w:rPr>
                <w:rStyle w:val="IndexLink"/>
              </w:rPr>
              <w:t>5.1.4. cmap table</w:t>
              <w:tab/>
              <w:t>8</w:t>
            </w:r>
          </w:hyperlink>
        </w:p>
        <w:p>
          <w:pPr>
            <w:pStyle w:val="Contents3"/>
            <w:tabs>
              <w:tab w:val="clear" w:pos="8459"/>
              <w:tab w:val="right" w:pos="9026" w:leader="dot"/>
            </w:tabs>
            <w:rPr/>
          </w:pPr>
          <w:hyperlink w:anchor="__RefHeading___Toc22268_2925186988">
            <w:r>
              <w:rPr>
                <w:rStyle w:val="IndexLink"/>
              </w:rPr>
              <w:t>5.1.5. hmtx / vmtx tables</w:t>
              <w:tab/>
              <w:t>8</w:t>
            </w:r>
          </w:hyperlink>
        </w:p>
        <w:p>
          <w:pPr>
            <w:pStyle w:val="Contents4"/>
            <w:tabs>
              <w:tab w:val="clear" w:pos="8176"/>
              <w:tab w:val="right" w:pos="9026" w:leader="dot"/>
            </w:tabs>
            <w:rPr/>
          </w:pPr>
          <w:hyperlink w:anchor="__RefHeading___Toc22270_2925186988">
            <w:r>
              <w:rPr>
                <w:rStyle w:val="IndexLink"/>
              </w:rPr>
              <w:t>5.1.5.1. lsb offsetting of glyphs</w:t>
              <w:tab/>
              <w:t>9</w:t>
            </w:r>
          </w:hyperlink>
        </w:p>
        <w:p>
          <w:pPr>
            <w:pStyle w:val="Contents4"/>
            <w:tabs>
              <w:tab w:val="clear" w:pos="8176"/>
              <w:tab w:val="right" w:pos="9026" w:leader="dot"/>
            </w:tabs>
            <w:rPr/>
          </w:pPr>
          <w:hyperlink w:anchor="__RefHeading___Toc22272_2925186988">
            <w:r>
              <w:rPr>
                <w:rStyle w:val="IndexLink"/>
              </w:rPr>
              <w:t>5.1.5.2. tsb and vertical glyphs</w:t>
              <w:tab/>
              <w:t>9</w:t>
            </w:r>
          </w:hyperlink>
        </w:p>
        <w:p>
          <w:pPr>
            <w:pStyle w:val="Contents3"/>
            <w:tabs>
              <w:tab w:val="clear" w:pos="8459"/>
              <w:tab w:val="right" w:pos="9026" w:leader="dot"/>
            </w:tabs>
            <w:rPr/>
          </w:pPr>
          <w:hyperlink w:anchor="__RefHeading___Toc22274_2925186988">
            <w:r>
              <w:rPr>
                <w:rStyle w:val="IndexLink"/>
              </w:rPr>
              <w:t>5.1.6. HVAR / VVAR tables</w:t>
              <w:tab/>
              <w:t>9</w:t>
            </w:r>
          </w:hyperlink>
        </w:p>
        <w:p>
          <w:pPr>
            <w:pStyle w:val="Contents3"/>
            <w:tabs>
              <w:tab w:val="clear" w:pos="8459"/>
              <w:tab w:val="right" w:pos="9026" w:leader="dot"/>
            </w:tabs>
            <w:rPr/>
          </w:pPr>
          <w:hyperlink w:anchor="__RefHeading___Toc22276_2925186988">
            <w:r>
              <w:rPr>
                <w:rStyle w:val="IndexLink"/>
              </w:rPr>
              <w:t>5.1.7. VORG table</w:t>
              <w:tab/>
              <w:t>9</w:t>
            </w:r>
          </w:hyperlink>
        </w:p>
        <w:p>
          <w:pPr>
            <w:pStyle w:val="Contents3"/>
            <w:tabs>
              <w:tab w:val="clear" w:pos="8459"/>
              <w:tab w:val="right" w:pos="9026" w:leader="dot"/>
            </w:tabs>
            <w:rPr/>
          </w:pPr>
          <w:hyperlink w:anchor="__RefHeading___Toc22278_2925186988">
            <w:r>
              <w:rPr>
                <w:rStyle w:val="IndexLink"/>
              </w:rPr>
              <w:t>5.1.8. COLR table</w:t>
              <w:tab/>
              <w:t>9</w:t>
            </w:r>
          </w:hyperlink>
        </w:p>
        <w:p>
          <w:pPr>
            <w:pStyle w:val="Contents3"/>
            <w:tabs>
              <w:tab w:val="clear" w:pos="8459"/>
              <w:tab w:val="right" w:pos="9026" w:leader="dot"/>
            </w:tabs>
            <w:rPr/>
          </w:pPr>
          <w:hyperlink w:anchor="__RefHeading___Toc22280_2925186988">
            <w:r>
              <w:rPr>
                <w:rStyle w:val="IndexLink"/>
              </w:rPr>
              <w:t>5.1.9. sbix table</w:t>
              <w:tab/>
              <w:t>9</w:t>
            </w:r>
          </w:hyperlink>
        </w:p>
        <w:p>
          <w:pPr>
            <w:pStyle w:val="Contents3"/>
            <w:tabs>
              <w:tab w:val="clear" w:pos="8459"/>
              <w:tab w:val="right" w:pos="9026" w:leader="dot"/>
            </w:tabs>
            <w:rPr/>
          </w:pPr>
          <w:hyperlink w:anchor="__RefHeading___Toc22282_2925186988">
            <w:r>
              <w:rPr>
                <w:rStyle w:val="IndexLink"/>
              </w:rPr>
              <w:t>5.1.10. GDEF / GSUB / GPOS tables</w:t>
              <w:tab/>
              <w:t>10</w:t>
            </w:r>
          </w:hyperlink>
        </w:p>
        <w:p>
          <w:pPr>
            <w:pStyle w:val="Contents4"/>
            <w:tabs>
              <w:tab w:val="clear" w:pos="8176"/>
              <w:tab w:val="right" w:pos="9026" w:leader="dot"/>
            </w:tabs>
            <w:rPr/>
          </w:pPr>
          <w:hyperlink w:anchor="__RefHeading___Toc22284_2925186988">
            <w:r>
              <w:rPr>
                <w:rStyle w:val="IndexLink"/>
              </w:rPr>
              <w:t>5.1.10.1. GDEF version 2</w:t>
              <w:tab/>
              <w:t>10</w:t>
            </w:r>
          </w:hyperlink>
        </w:p>
        <w:p>
          <w:pPr>
            <w:pStyle w:val="Contents4"/>
            <w:tabs>
              <w:tab w:val="clear" w:pos="8176"/>
              <w:tab w:val="right" w:pos="9026" w:leader="dot"/>
            </w:tabs>
            <w:rPr/>
          </w:pPr>
          <w:hyperlink w:anchor="__RefHeading___Toc22286_2925186988">
            <w:r>
              <w:rPr>
                <w:rStyle w:val="IndexLink"/>
              </w:rPr>
              <w:t>5.1.10.2. GSUB</w:t>
              <w:tab/>
              <w:t>10</w:t>
            </w:r>
          </w:hyperlink>
        </w:p>
        <w:p>
          <w:pPr>
            <w:pStyle w:val="Contents4"/>
            <w:tabs>
              <w:tab w:val="clear" w:pos="8176"/>
              <w:tab w:val="right" w:pos="9026" w:leader="dot"/>
            </w:tabs>
            <w:rPr/>
          </w:pPr>
          <w:hyperlink w:anchor="__RefHeading___Toc22288_2925186988">
            <w:r>
              <w:rPr>
                <w:rStyle w:val="IndexLink"/>
              </w:rPr>
              <w:t>5.1.10.3. GPOS</w:t>
              <w:tab/>
              <w:t>10</w:t>
            </w:r>
          </w:hyperlink>
        </w:p>
        <w:p>
          <w:pPr>
            <w:pStyle w:val="Contents4"/>
            <w:tabs>
              <w:tab w:val="clear" w:pos="8176"/>
              <w:tab w:val="right" w:pos="9026" w:leader="dot"/>
            </w:tabs>
            <w:rPr/>
          </w:pPr>
          <w:hyperlink w:anchor="__RefHeading___Toc22290_2925186988">
            <w:r>
              <w:rPr>
                <w:rStyle w:val="IndexLink"/>
              </w:rPr>
              <w:t>5.1.10.4. GSUB / GPOS version 2</w:t>
              <w:tab/>
              <w:t>10</w:t>
            </w:r>
          </w:hyperlink>
        </w:p>
        <w:p>
          <w:pPr>
            <w:pStyle w:val="Contents4"/>
            <w:tabs>
              <w:tab w:val="clear" w:pos="8176"/>
              <w:tab w:val="right" w:pos="9026" w:leader="dot"/>
            </w:tabs>
            <w:rPr/>
          </w:pPr>
          <w:hyperlink w:anchor="__RefHeading___Toc22292_2925186988">
            <w:r>
              <w:rPr>
                <w:rStyle w:val="IndexLink"/>
              </w:rPr>
              <w:t>5.1.10.5. Coverage / ClassDef formats 3 &amp; 4</w:t>
              <w:tab/>
              <w:t>11</w:t>
            </w:r>
          </w:hyperlink>
        </w:p>
        <w:p>
          <w:pPr>
            <w:pStyle w:val="Contents4"/>
            <w:tabs>
              <w:tab w:val="clear" w:pos="8176"/>
              <w:tab w:val="right" w:pos="9026" w:leader="dot"/>
            </w:tabs>
            <w:rPr/>
          </w:pPr>
          <w:hyperlink w:anchor="__RefHeading___Toc22294_2925186988">
            <w:r>
              <w:rPr>
                <w:rStyle w:val="IndexLink"/>
              </w:rPr>
              <w:t>5.1.10.6. GSUB SingleSubst formats 3 &amp; 4</w:t>
              <w:tab/>
              <w:t>11</w:t>
            </w:r>
          </w:hyperlink>
        </w:p>
        <w:p>
          <w:pPr>
            <w:pStyle w:val="Contents4"/>
            <w:tabs>
              <w:tab w:val="clear" w:pos="8176"/>
              <w:tab w:val="right" w:pos="9026" w:leader="dot"/>
            </w:tabs>
            <w:rPr/>
          </w:pPr>
          <w:hyperlink w:anchor="__RefHeading___Toc22296_2925186988">
            <w:r>
              <w:rPr>
                <w:rStyle w:val="IndexLink"/>
              </w:rPr>
              <w:t>5.1.10.7. GSUB MultipleSubst / AlternateSubst format 2</w:t>
              <w:tab/>
              <w:t>12</w:t>
            </w:r>
          </w:hyperlink>
        </w:p>
        <w:p>
          <w:pPr>
            <w:pStyle w:val="Contents4"/>
            <w:tabs>
              <w:tab w:val="clear" w:pos="8176"/>
              <w:tab w:val="right" w:pos="9026" w:leader="dot"/>
            </w:tabs>
            <w:rPr/>
          </w:pPr>
          <w:hyperlink w:anchor="__RefHeading___Toc22298_2925186988">
            <w:r>
              <w:rPr>
                <w:rStyle w:val="IndexLink"/>
              </w:rPr>
              <w:t>5.1.10.8. GSUB LigatureSubst format 2</w:t>
              <w:tab/>
              <w:t>12</w:t>
            </w:r>
          </w:hyperlink>
        </w:p>
        <w:p>
          <w:pPr>
            <w:pStyle w:val="Contents4"/>
            <w:tabs>
              <w:tab w:val="clear" w:pos="8176"/>
              <w:tab w:val="right" w:pos="9026" w:leader="dot"/>
            </w:tabs>
            <w:rPr/>
          </w:pPr>
          <w:hyperlink w:anchor="__RefHeading___Toc22300_2925186988">
            <w:r>
              <w:rPr>
                <w:rStyle w:val="IndexLink"/>
              </w:rPr>
              <w:t>5.1.10.9. GPOS PairPos formats 3 &amp; 4</w:t>
              <w:tab/>
              <w:t>12</w:t>
            </w:r>
          </w:hyperlink>
        </w:p>
        <w:p>
          <w:pPr>
            <w:pStyle w:val="Contents4"/>
            <w:tabs>
              <w:tab w:val="clear" w:pos="8176"/>
              <w:tab w:val="right" w:pos="9026" w:leader="dot"/>
            </w:tabs>
            <w:rPr/>
          </w:pPr>
          <w:hyperlink w:anchor="__RefHeading___Toc22302_2925186988">
            <w:r>
              <w:rPr>
                <w:rStyle w:val="IndexLink"/>
              </w:rPr>
              <w:t>5.1.10.10. GPOS MarkBasePos / MarkLigPos / MarkMarkPos format 2</w:t>
              <w:tab/>
              <w:t>13</w:t>
            </w:r>
          </w:hyperlink>
        </w:p>
        <w:p>
          <w:pPr>
            <w:pStyle w:val="Contents4"/>
            <w:tabs>
              <w:tab w:val="clear" w:pos="8176"/>
              <w:tab w:val="right" w:pos="9026" w:leader="dot"/>
            </w:tabs>
            <w:rPr/>
          </w:pPr>
          <w:hyperlink w:anchor="__RefHeading___Toc22304_2925186988">
            <w:r>
              <w:rPr>
                <w:rStyle w:val="IndexLink"/>
              </w:rPr>
              <w:t>5.1.10.11. GSUB / GPOS (Chain)Context format 4 &amp; 5</w:t>
              <w:tab/>
              <w:t>14</w:t>
            </w:r>
          </w:hyperlink>
        </w:p>
        <w:p>
          <w:pPr>
            <w:pStyle w:val="Contents1"/>
            <w:tabs>
              <w:tab w:val="right" w:pos="9026" w:leader="dot"/>
            </w:tabs>
            <w:rPr/>
          </w:pPr>
          <w:hyperlink w:anchor="__RefHeading___Toc21930_2335824944">
            <w:r>
              <w:rPr>
                <w:rStyle w:val="IndexLink"/>
              </w:rPr>
              <w:t>6. The avar Table: Axis Variations Table Version 2</w:t>
              <w:tab/>
              <w:t>15</w:t>
            </w:r>
          </w:hyperlink>
        </w:p>
        <w:p>
          <w:pPr>
            <w:pStyle w:val="Contents2"/>
            <w:tabs>
              <w:tab w:val="clear" w:pos="8743"/>
              <w:tab w:val="right" w:pos="9026" w:leader="dot"/>
            </w:tabs>
            <w:rPr/>
          </w:pPr>
          <w:hyperlink w:anchor="__RefHeading___Toc21932_2335824944">
            <w:r>
              <w:rPr>
                <w:rStyle w:val="IndexLink"/>
              </w:rPr>
              <w:t>6.1. The avar version 2.0 header format</w:t>
              <w:tab/>
              <w:t>16</w:t>
            </w:r>
          </w:hyperlink>
        </w:p>
        <w:p>
          <w:pPr>
            <w:pStyle w:val="Contents2"/>
            <w:tabs>
              <w:tab w:val="clear" w:pos="8743"/>
              <w:tab w:val="right" w:pos="9026" w:leader="dot"/>
            </w:tabs>
            <w:rPr/>
          </w:pPr>
          <w:hyperlink w:anchor="__RefHeading___Toc21934_2335824944">
            <w:r>
              <w:rPr>
                <w:rStyle w:val="IndexLink"/>
              </w:rPr>
              <w:t>6.2. Processing</w:t>
              <w:tab/>
              <w:t>16</w:t>
            </w:r>
          </w:hyperlink>
        </w:p>
        <w:p>
          <w:pPr>
            <w:pStyle w:val="Contents2"/>
            <w:tabs>
              <w:tab w:val="clear" w:pos="8743"/>
              <w:tab w:val="right" w:pos="9026" w:leader="dot"/>
            </w:tabs>
            <w:rPr/>
          </w:pPr>
          <w:hyperlink w:anchor="__RefHeading___Toc22306_2925186988">
            <w:r>
              <w:rPr>
                <w:rStyle w:val="IndexLink"/>
              </w:rPr>
              <w:t>6.3. Construction</w:t>
              <w:tab/>
              <w:t>18</w:t>
            </w:r>
          </w:hyperlink>
        </w:p>
        <w:p>
          <w:pPr>
            <w:pStyle w:val="Contents2"/>
            <w:tabs>
              <w:tab w:val="clear" w:pos="8743"/>
              <w:tab w:val="right" w:pos="9026" w:leader="dot"/>
            </w:tabs>
            <w:rPr/>
          </w:pPr>
          <w:hyperlink w:anchor="__RefHeading___Toc22308_2925186988">
            <w:r>
              <w:rPr>
                <w:rStyle w:val="IndexLink"/>
              </w:rPr>
              <w:t>6.4. Use cases</w:t>
              <w:tab/>
              <w:t>18</w:t>
            </w:r>
          </w:hyperlink>
        </w:p>
        <w:p>
          <w:pPr>
            <w:pStyle w:val="Contents3"/>
            <w:tabs>
              <w:tab w:val="clear" w:pos="8459"/>
              <w:tab w:val="right" w:pos="9026" w:leader="dot"/>
            </w:tabs>
            <w:rPr/>
          </w:pPr>
          <w:hyperlink w:anchor="__RefHeading___Toc22310_2925186988">
            <w:r>
              <w:rPr>
                <w:rStyle w:val="IndexLink"/>
              </w:rPr>
              <w:t>6.4.1. Designspace warping</w:t>
              <w:tab/>
              <w:t>18</w:t>
            </w:r>
          </w:hyperlink>
        </w:p>
        <w:p>
          <w:pPr>
            <w:pStyle w:val="Contents3"/>
            <w:tabs>
              <w:tab w:val="clear" w:pos="8459"/>
              <w:tab w:val="right" w:pos="9026" w:leader="dot"/>
            </w:tabs>
            <w:rPr/>
          </w:pPr>
          <w:hyperlink w:anchor="__RefHeading___Toc22312_2925186988">
            <w:r>
              <w:rPr>
                <w:rStyle w:val="IndexLink"/>
              </w:rPr>
              <w:t>6.4.2. Duplication of axis values for non-linear interpolation</w:t>
              <w:tab/>
              <w:t>19</w:t>
            </w:r>
          </w:hyperlink>
        </w:p>
        <w:p>
          <w:pPr>
            <w:pStyle w:val="Contents3"/>
            <w:tabs>
              <w:tab w:val="clear" w:pos="8459"/>
              <w:tab w:val="right" w:pos="9026" w:leader="dot"/>
            </w:tabs>
            <w:rPr/>
          </w:pPr>
          <w:hyperlink w:anchor="__RefHeading___Toc22314_2925186988">
            <w:r>
              <w:rPr>
                <w:rStyle w:val="IndexLink"/>
              </w:rPr>
              <w:t>6.4.3. Simplified controls for parametric fonts without redundant data</w:t>
              <w:tab/>
              <w:t>20</w:t>
            </w:r>
          </w:hyperlink>
        </w:p>
        <w:p>
          <w:pPr>
            <w:pStyle w:val="Contents2"/>
            <w:tabs>
              <w:tab w:val="clear" w:pos="8743"/>
              <w:tab w:val="right" w:pos="9026" w:leader="dot"/>
            </w:tabs>
            <w:rPr/>
          </w:pPr>
          <w:hyperlink w:anchor="__RefHeading___Toc22316_2925186988">
            <w:r>
              <w:rPr>
                <w:rStyle w:val="IndexLink"/>
              </w:rPr>
              <w:t>6.5. Inverse avar processing</w:t>
              <w:tab/>
              <w:t>21</w:t>
            </w:r>
          </w:hyperlink>
        </w:p>
        <w:p>
          <w:pPr>
            <w:pStyle w:val="Contents2"/>
            <w:tabs>
              <w:tab w:val="clear" w:pos="8743"/>
              <w:tab w:val="right" w:pos="9026" w:leader="dot"/>
            </w:tabs>
            <w:rPr/>
          </w:pPr>
          <w:hyperlink w:anchor="__RefHeading___Toc22318_2925186988">
            <w:r>
              <w:rPr>
                <w:rStyle w:val="IndexLink"/>
              </w:rPr>
              <w:t>6.6. Recommendations and notes</w:t>
              <w:tab/>
              <w:t>22</w:t>
            </w:r>
          </w:hyperlink>
        </w:p>
        <w:p>
          <w:pPr>
            <w:pStyle w:val="Contents3"/>
            <w:tabs>
              <w:tab w:val="clear" w:pos="8459"/>
              <w:tab w:val="right" w:pos="9026" w:leader="dot"/>
            </w:tabs>
            <w:rPr/>
          </w:pPr>
          <w:hyperlink w:anchor="__RefHeading___Toc22320_2925186988">
            <w:r>
              <w:rPr>
                <w:rStyle w:val="IndexLink"/>
              </w:rPr>
              <w:t>6.6.1. Hidden axes</w:t>
              <w:tab/>
              <w:t>22</w:t>
            </w:r>
          </w:hyperlink>
        </w:p>
        <w:p>
          <w:pPr>
            <w:pStyle w:val="Contents3"/>
            <w:tabs>
              <w:tab w:val="clear" w:pos="8459"/>
              <w:tab w:val="right" w:pos="9026" w:leader="dot"/>
            </w:tabs>
            <w:rPr/>
          </w:pPr>
          <w:hyperlink w:anchor="__RefHeading___Toc22322_2925186988">
            <w:r>
              <w:rPr>
                <w:rStyle w:val="IndexLink"/>
              </w:rPr>
              <w:t>6.6.2. Efficient axisIdxMap and ItemVariationData construction</w:t>
              <w:tab/>
              <w:t>22</w:t>
            </w:r>
          </w:hyperlink>
        </w:p>
        <w:p>
          <w:pPr>
            <w:pStyle w:val="Contents3"/>
            <w:tabs>
              <w:tab w:val="clear" w:pos="8459"/>
              <w:tab w:val="right" w:pos="9026" w:leader="dot"/>
            </w:tabs>
            <w:rPr/>
          </w:pPr>
          <w:hyperlink w:anchor="__RefHeading___Toc22324_2925186988">
            <w:r>
              <w:rPr>
                <w:rStyle w:val="IndexLink"/>
              </w:rPr>
              <w:t>6.6.3. Other notes</w:t>
              <w:tab/>
              <w:t>22</w:t>
            </w:r>
          </w:hyperlink>
          <w:r>
            <w:rPr>
              <w:rStyle w:val="IndexLink"/>
            </w:rPr>
            <w:fldChar w:fldCharType="end"/>
          </w:r>
        </w:p>
      </w:sdtContent>
    </w:sdt>
    <w:p>
      <w:pPr>
        <w:pStyle w:val="TextBody"/>
        <w:rPr/>
      </w:pPr>
      <w:r>
        <w:rPr/>
      </w:r>
    </w:p>
    <w:p>
      <w:pPr>
        <w:pStyle w:val="Heading1"/>
        <w:ind w:left="104" w:right="0" w:hanging="0"/>
        <w:rPr>
          <w:rFonts w:ascii="Times New Roman" w:hAnsi="Times New Roman" w:eastAsia="SimSun" w:cs="Times New Roman"/>
          <w:b/>
          <w:sz w:val="28"/>
          <w:szCs w:val="24"/>
          <w:lang w:eastAsia="zh-CN"/>
        </w:rPr>
      </w:pPr>
      <w:bookmarkStart w:id="2" w:name="__RefHeading___Toc21898_2335824944"/>
      <w:bookmarkEnd w:id="2"/>
      <w:r>
        <w:rPr/>
        <w:t>Introduction</w:t>
      </w:r>
    </w:p>
    <w:p>
      <w:pPr>
        <w:pStyle w:val="TextBody"/>
        <w:rPr>
          <w:rFonts w:ascii="Times New Roman" w:hAnsi="Times New Roman" w:eastAsia="SimSun" w:cs="Times New Roman"/>
          <w:b/>
          <w:sz w:val="28"/>
          <w:szCs w:val="24"/>
          <w:lang w:eastAsia="zh-CN"/>
        </w:rPr>
      </w:pPr>
      <w:r>
        <w:rPr>
          <w:lang w:eastAsia="zh-CN"/>
        </w:rPr>
        <w:t>The changes proposed in this documen</w:t>
      </w:r>
      <w:r>
        <w:rPr>
          <w:lang w:eastAsia="zh-CN"/>
        </w:rPr>
        <w:t>t improve support for languages requiring large numbers of glyphs; enable more space-efficient glyph representations; improve variable font functionality; enable greater leveraging of composite glyphs.</w:t>
      </w:r>
    </w:p>
    <w:p>
      <w:pPr>
        <w:pStyle w:val="Heading1"/>
        <w:ind w:left="104" w:right="0" w:hanging="0"/>
        <w:rPr>
          <w:rFonts w:ascii="Times New Roman" w:hAnsi="Times New Roman" w:eastAsia="SimSun" w:cs="Times New Roman"/>
          <w:b/>
          <w:sz w:val="28"/>
          <w:szCs w:val="24"/>
          <w:lang w:eastAsia="zh-CN"/>
        </w:rPr>
      </w:pPr>
      <w:bookmarkStart w:id="3" w:name="__RefHeading___Toc21900_2335824944"/>
      <w:bookmarkEnd w:id="3"/>
      <w:r>
        <w:rPr/>
        <w:t xml:space="preserve">The </w:t>
      </w:r>
      <w:r>
        <w:rPr>
          <w:rFonts w:ascii="Courier New" w:hAnsi="Courier New"/>
        </w:rPr>
        <w:t>glyf</w:t>
      </w:r>
      <w:r>
        <w:rPr/>
        <w:t xml:space="preserve"> table: </w:t>
      </w:r>
      <w:r>
        <w:rPr/>
        <w:t>Support Cubic Bézier Curve</w:t>
      </w:r>
      <w:r>
        <w:rPr/>
        <w:t>s</w:t>
      </w:r>
    </w:p>
    <w:p>
      <w:pPr>
        <w:pStyle w:val="TextBody"/>
        <w:rPr>
          <w:rFonts w:ascii="Times New Roman" w:hAnsi="Times New Roman" w:eastAsia="SimSun" w:cs="Times New Roman"/>
          <w:b/>
          <w:sz w:val="28"/>
          <w:szCs w:val="24"/>
          <w:lang w:eastAsia="zh-CN"/>
        </w:rPr>
      </w:pPr>
      <w:r>
        <w:rPr>
          <w:lang w:eastAsia="zh-CN"/>
        </w:rPr>
        <w:t xml:space="preserve">The glyf data table </w:t>
      </w:r>
      <w:r>
        <w:rPr>
          <w:lang w:eastAsia="zh-CN"/>
        </w:rPr>
        <w:t>(</w:t>
      </w:r>
      <w:r>
        <w:rPr>
          <w:rFonts w:ascii="Courier New" w:hAnsi="Courier New"/>
          <w:lang w:eastAsia="zh-CN"/>
        </w:rPr>
        <w:t>glyf</w:t>
      </w:r>
      <w:r>
        <w:rPr>
          <w:lang w:eastAsia="zh-CN"/>
        </w:rPr>
        <w:t>)</w:t>
      </w:r>
      <w:r>
        <w:rPr>
          <w:lang w:eastAsia="zh-CN"/>
        </w:rPr>
        <w:t xml:space="preserve"> stores the glyph outline data. The version number for this table is stored in the </w:t>
      </w:r>
      <w:r>
        <w:rPr>
          <w:lang w:eastAsia="zh-CN"/>
        </w:rPr>
        <w:t>head t</w:t>
      </w:r>
      <w:r>
        <w:rPr>
          <w:lang w:eastAsia="zh-CN"/>
        </w:rPr>
        <w:t xml:space="preserve">able's </w:t>
      </w:r>
      <w:r>
        <w:rPr>
          <w:rStyle w:val="SourceText"/>
          <w:rFonts w:ascii="Courier New" w:hAnsi="Courier New"/>
          <w:lang w:eastAsia="zh-CN"/>
        </w:rPr>
        <w:t>glyphDataFormat</w:t>
      </w:r>
      <w:r>
        <w:rPr>
          <w:lang w:eastAsia="zh-CN"/>
        </w:rPr>
        <w:t xml:space="preserve"> field. </w:t>
      </w:r>
      <w:r>
        <w:rPr>
          <w:lang w:eastAsia="zh-CN"/>
        </w:rPr>
        <w:t>Before this change, t</w:t>
      </w:r>
      <w:r>
        <w:rPr>
          <w:lang w:eastAsia="zh-CN"/>
        </w:rPr>
        <w:t xml:space="preserve">he only defined version of the </w:t>
      </w:r>
      <w:r>
        <w:rPr>
          <w:rStyle w:val="SourceText"/>
          <w:lang w:eastAsia="zh-CN"/>
        </w:rPr>
        <w:t>glyf</w:t>
      </w:r>
      <w:r>
        <w:rPr>
          <w:lang w:eastAsia="zh-CN"/>
        </w:rPr>
        <w:t xml:space="preserve"> table </w:t>
      </w:r>
      <w:r>
        <w:rPr>
          <w:lang w:eastAsia="zh-CN"/>
        </w:rPr>
        <w:t>was</w:t>
      </w:r>
      <w:r>
        <w:rPr>
          <w:lang w:eastAsia="zh-CN"/>
        </w:rPr>
        <w:t xml:space="preserve"> version 0.</w:t>
      </w:r>
    </w:p>
    <w:p>
      <w:pPr>
        <w:pStyle w:val="TextBody"/>
        <w:rPr/>
      </w:pPr>
      <w:r>
        <w:rPr/>
      </w:r>
    </w:p>
    <w:p>
      <w:pPr>
        <w:pStyle w:val="TextBody"/>
        <w:rPr>
          <w:rFonts w:ascii="Times New Roman" w:hAnsi="Times New Roman" w:eastAsia="SimSun" w:cs="Times New Roman"/>
          <w:b/>
          <w:sz w:val="28"/>
          <w:szCs w:val="24"/>
          <w:lang w:eastAsia="zh-CN"/>
        </w:rPr>
      </w:pPr>
      <w:r>
        <w:rPr/>
        <w:t>We add glyph version 1.</w:t>
      </w:r>
    </w:p>
    <w:p>
      <w:pPr>
        <w:pStyle w:val="TextBody"/>
        <w:rPr/>
      </w:pPr>
      <w:r>
        <w:rPr/>
      </w:r>
    </w:p>
    <w:p>
      <w:pPr>
        <w:pStyle w:val="TextBody"/>
        <w:rPr>
          <w:rFonts w:ascii="Times New Roman" w:hAnsi="Times New Roman" w:eastAsia="SimSun" w:cs="Times New Roman"/>
          <w:b/>
          <w:sz w:val="28"/>
          <w:szCs w:val="24"/>
          <w:lang w:eastAsia="zh-CN"/>
        </w:rPr>
      </w:pPr>
      <w:r>
        <w:rPr/>
        <w:t xml:space="preserve">In </w:t>
      </w:r>
      <w:r>
        <w:rPr>
          <w:rStyle w:val="SourceText"/>
        </w:rPr>
        <w:t>glyf</w:t>
      </w:r>
      <w:r>
        <w:rPr/>
        <w:t xml:space="preserve"> table format 0, glyph outlines use quadratic Bezier curve segments.</w:t>
      </w:r>
    </w:p>
    <w:p>
      <w:pPr>
        <w:pStyle w:val="TextBody"/>
        <w:rPr/>
      </w:pPr>
      <w:r>
        <w:rPr/>
      </w:r>
    </w:p>
    <w:p>
      <w:pPr>
        <w:pStyle w:val="TextBody"/>
        <w:rPr>
          <w:rFonts w:ascii="Times New Roman" w:hAnsi="Times New Roman" w:eastAsia="SimSun" w:cs="Times New Roman"/>
          <w:b/>
          <w:sz w:val="28"/>
          <w:szCs w:val="24"/>
          <w:lang w:eastAsia="zh-CN"/>
        </w:rPr>
      </w:pPr>
      <w:r>
        <w:rPr/>
        <w:t xml:space="preserve">In </w:t>
      </w:r>
      <w:r>
        <w:rPr>
          <w:rStyle w:val="SourceText"/>
        </w:rPr>
        <w:t>glyf</w:t>
      </w:r>
      <w:r>
        <w:rPr/>
        <w:t xml:space="preserve"> table format 1, glyph outlines can mix quadratic and cubic Bezier curve segments.</w:t>
      </w:r>
    </w:p>
    <w:p>
      <w:pPr>
        <w:pStyle w:val="TextBody"/>
        <w:rPr>
          <w:rFonts w:ascii="Times New Roman" w:hAnsi="Times New Roman" w:eastAsia="SimSun" w:cs="Times New Roman"/>
          <w:b/>
          <w:sz w:val="28"/>
          <w:szCs w:val="24"/>
          <w:lang w:eastAsia="zh-CN"/>
        </w:rPr>
      </w:pPr>
      <w:r>
        <w:rPr/>
      </w:r>
    </w:p>
    <w:p>
      <w:pPr>
        <w:pStyle w:val="TextBody"/>
        <w:rPr>
          <w:rFonts w:ascii="Times New Roman" w:hAnsi="Times New Roman" w:eastAsia="SimSun" w:cs="Times New Roman"/>
          <w:b/>
          <w:sz w:val="28"/>
          <w:szCs w:val="24"/>
          <w:lang w:eastAsia="zh-CN"/>
        </w:rPr>
      </w:pPr>
      <w:r>
        <w:rPr>
          <w:b/>
          <w:bCs/>
        </w:rPr>
        <w:t>Note</w:t>
      </w:r>
      <w:r>
        <w:rPr/>
        <w:t xml:space="preserve">: since format 1 extends format 0, any format 0 </w:t>
      </w:r>
      <w:r>
        <w:rPr>
          <w:rFonts w:ascii="Courier New" w:hAnsi="Courier New"/>
        </w:rPr>
        <w:t>glyf</w:t>
      </w:r>
      <w:r>
        <w:rPr/>
        <w:t xml:space="preserve"> table is also a valid Format 1 </w:t>
      </w:r>
      <w:r>
        <w:rPr>
          <w:rFonts w:ascii="Courier New" w:hAnsi="Courier New"/>
        </w:rPr>
        <w:t>glyf</w:t>
      </w:r>
      <w:r>
        <w:rPr/>
        <w:t xml:space="preserve"> table.</w:t>
      </w:r>
    </w:p>
    <w:p>
      <w:pPr>
        <w:pStyle w:val="TextBody"/>
        <w:rPr/>
      </w:pPr>
      <w:r>
        <w:rPr/>
      </w:r>
    </w:p>
    <w:p>
      <w:pPr>
        <w:pStyle w:val="Heading2"/>
        <w:rPr>
          <w:rFonts w:ascii="Times New Roman" w:hAnsi="Times New Roman" w:eastAsia="SimSun" w:cs="Times New Roman"/>
          <w:b/>
          <w:sz w:val="28"/>
          <w:szCs w:val="24"/>
          <w:lang w:eastAsia="zh-CN"/>
        </w:rPr>
      </w:pPr>
      <w:bookmarkStart w:id="4" w:name="__RefHeading___Toc21902_2335824944"/>
      <w:bookmarkEnd w:id="4"/>
      <w:r>
        <w:rPr/>
        <w:t>Specification</w:t>
      </w:r>
      <w:r>
        <w:rPr/>
        <w:t xml:space="preserve"> Change</w:t>
      </w:r>
    </w:p>
    <w:p>
      <w:pPr>
        <w:pStyle w:val="TextBody"/>
        <w:rPr>
          <w:rFonts w:ascii="Times New Roman" w:hAnsi="Times New Roman" w:eastAsia="SimSun" w:cs="Times New Roman"/>
          <w:b/>
          <w:sz w:val="28"/>
          <w:szCs w:val="24"/>
          <w:lang w:eastAsia="zh-CN"/>
        </w:rPr>
      </w:pPr>
      <w:r>
        <w:rPr/>
        <w:t xml:space="preserve">Add the following flag to the Simple Glyph Description section's </w:t>
      </w:r>
      <w:r>
        <w:rPr>
          <w:rStyle w:val="Emphasis"/>
        </w:rPr>
        <w:t>Simple Glyph Flags</w:t>
      </w:r>
      <w:r>
        <w:rPr/>
        <w:t>:</w:t>
      </w:r>
    </w:p>
    <w:p>
      <w:pPr>
        <w:pStyle w:val="TextBody"/>
        <w:rPr/>
      </w:pPr>
      <w:r>
        <w:rPr/>
      </w:r>
    </w:p>
    <w:tbl>
      <w:tblPr>
        <w:tblW w:w="7029" w:type="dxa"/>
        <w:jc w:val="left"/>
        <w:tblInd w:w="0" w:type="dxa"/>
        <w:tblLayout w:type="fixed"/>
        <w:tblCellMar>
          <w:top w:w="28" w:type="dxa"/>
          <w:left w:w="28" w:type="dxa"/>
          <w:bottom w:w="28" w:type="dxa"/>
          <w:right w:w="28" w:type="dxa"/>
        </w:tblCellMar>
      </w:tblPr>
      <w:tblGrid>
        <w:gridCol w:w="671"/>
        <w:gridCol w:w="766"/>
        <w:gridCol w:w="5592"/>
      </w:tblGrid>
      <w:tr>
        <w:trPr>
          <w:tblHeader w:val="true"/>
        </w:trPr>
        <w:tc>
          <w:tcPr>
            <w:tcW w:w="671" w:type="dxa"/>
            <w:tcBorders/>
            <w:vAlign w:val="center"/>
          </w:tcPr>
          <w:p>
            <w:pPr>
              <w:pStyle w:val="TableHeading"/>
              <w:rPr/>
            </w:pPr>
            <w:r>
              <w:rPr/>
              <w:t>Mask</w:t>
            </w:r>
          </w:p>
        </w:tc>
        <w:tc>
          <w:tcPr>
            <w:tcW w:w="766" w:type="dxa"/>
            <w:tcBorders/>
            <w:vAlign w:val="center"/>
          </w:tcPr>
          <w:p>
            <w:pPr>
              <w:pStyle w:val="TableHeading"/>
              <w:rPr/>
            </w:pPr>
            <w:r>
              <w:rPr/>
              <w:t>Name</w:t>
            </w:r>
          </w:p>
        </w:tc>
        <w:tc>
          <w:tcPr>
            <w:tcW w:w="5592" w:type="dxa"/>
            <w:tcBorders/>
            <w:vAlign w:val="center"/>
          </w:tcPr>
          <w:p>
            <w:pPr>
              <w:pStyle w:val="TableHeading"/>
              <w:rPr/>
            </w:pPr>
            <w:r>
              <w:rPr/>
              <w:t>Description</w:t>
            </w:r>
          </w:p>
        </w:tc>
      </w:tr>
      <w:tr>
        <w:trPr/>
        <w:tc>
          <w:tcPr>
            <w:tcW w:w="671" w:type="dxa"/>
            <w:tcBorders/>
            <w:vAlign w:val="center"/>
          </w:tcPr>
          <w:p>
            <w:pPr>
              <w:pStyle w:val="TableContents"/>
              <w:rPr/>
            </w:pPr>
            <w:r>
              <w:rPr/>
              <w:t>0x80</w:t>
            </w:r>
          </w:p>
        </w:tc>
        <w:tc>
          <w:tcPr>
            <w:tcW w:w="766" w:type="dxa"/>
            <w:tcBorders/>
            <w:vAlign w:val="center"/>
          </w:tcPr>
          <w:p>
            <w:pPr>
              <w:pStyle w:val="TableContents"/>
              <w:rPr/>
            </w:pPr>
            <w:r>
              <w:rPr>
                <w:rStyle w:val="SourceText"/>
              </w:rPr>
              <w:t>CUBIC</w:t>
            </w:r>
          </w:p>
        </w:tc>
        <w:tc>
          <w:tcPr>
            <w:tcW w:w="5592" w:type="dxa"/>
            <w:tcBorders/>
            <w:vAlign w:val="center"/>
          </w:tcPr>
          <w:p>
            <w:pPr>
              <w:pStyle w:val="TableContents"/>
              <w:rPr/>
            </w:pPr>
            <w:r>
              <w:rPr/>
              <w:t>Bit 7: Off-curve point belongs to a cubic-Bezier segment</w:t>
            </w:r>
          </w:p>
        </w:tc>
      </w:tr>
    </w:tbl>
    <w:p>
      <w:pPr>
        <w:pStyle w:val="TextBody"/>
        <w:rPr/>
      </w:pPr>
      <w:r>
        <w:rPr/>
      </w:r>
    </w:p>
    <w:p>
      <w:pPr>
        <w:pStyle w:val="Normal"/>
        <w:widowControl/>
        <w:rPr>
          <w:rFonts w:ascii="Times New Roman" w:hAnsi="Times New Roman" w:eastAsia="SimSun" w:cs="Times New Roman"/>
          <w:b/>
          <w:sz w:val="28"/>
          <w:szCs w:val="24"/>
          <w:lang w:eastAsia="zh-CN"/>
        </w:rPr>
      </w:pPr>
      <w:r>
        <w:rPr/>
      </w:r>
    </w:p>
    <w:p>
      <w:pPr>
        <w:pStyle w:val="TextBody"/>
        <w:rPr>
          <w:rFonts w:ascii="Times New Roman" w:hAnsi="Times New Roman" w:eastAsia="SimSun" w:cs="Times New Roman"/>
          <w:b/>
          <w:sz w:val="28"/>
          <w:szCs w:val="24"/>
          <w:lang w:eastAsia="zh-CN"/>
        </w:rPr>
      </w:pPr>
      <w:r>
        <w:rPr>
          <w:lang w:eastAsia="zh-CN"/>
        </w:rPr>
        <w:t>T</w:t>
      </w:r>
      <w:r>
        <w:rPr>
          <w:lang w:eastAsia="zh-CN"/>
        </w:rPr>
        <w:t xml:space="preserve">here are several restrictions on how the </w:t>
      </w:r>
      <w:r>
        <w:rPr>
          <w:rStyle w:val="SourceText"/>
          <w:rFonts w:ascii="Courier New" w:hAnsi="Courier New"/>
          <w:lang w:eastAsia="zh-CN"/>
        </w:rPr>
        <w:t>CUBIC</w:t>
      </w:r>
      <w:r>
        <w:rPr>
          <w:lang w:eastAsia="zh-CN"/>
        </w:rPr>
        <w:t xml:space="preserve"> flag can be used. If any of the conditions below are not met, the behavior is undefined.</w:t>
      </w:r>
    </w:p>
    <w:p>
      <w:pPr>
        <w:pStyle w:val="TextBody"/>
        <w:rPr/>
      </w:pPr>
      <w:r>
        <w:rPr/>
      </w:r>
    </w:p>
    <w:p>
      <w:pPr>
        <w:pStyle w:val="TextBody"/>
        <w:spacing w:before="1" w:after="283"/>
        <w:rPr>
          <w:rFonts w:ascii="Times New Roman" w:hAnsi="Times New Roman" w:eastAsia="SimSun" w:cs="Times New Roman"/>
          <w:b/>
          <w:sz w:val="28"/>
          <w:szCs w:val="24"/>
          <w:lang w:eastAsia="zh-CN"/>
        </w:rPr>
      </w:pPr>
      <w:r>
        <w:rPr/>
        <w:t xml:space="preserve">The number of consecutive cubic off-curve points within a contour (without wrap-around) </w:t>
      </w:r>
      <w:r>
        <w:rPr>
          <w:rStyle w:val="Emphasis"/>
        </w:rPr>
        <w:t>must</w:t>
      </w:r>
      <w:r>
        <w:rPr/>
        <w:t xml:space="preserve"> be even.</w:t>
      </w:r>
    </w:p>
    <w:p>
      <w:pPr>
        <w:pStyle w:val="TextBody"/>
        <w:spacing w:before="1" w:after="283"/>
        <w:rPr>
          <w:rFonts w:ascii="Times New Roman" w:hAnsi="Times New Roman" w:eastAsia="SimSun" w:cs="Times New Roman"/>
          <w:b/>
          <w:sz w:val="28"/>
          <w:szCs w:val="24"/>
          <w:lang w:eastAsia="zh-CN"/>
        </w:rPr>
      </w:pPr>
      <w:r>
        <w:rPr/>
        <w:t xml:space="preserve">All the off-curve points between two on-curve points (with wrap-around) </w:t>
      </w:r>
      <w:r>
        <w:rPr>
          <w:rStyle w:val="SourceText"/>
          <w:i/>
          <w:iCs/>
        </w:rPr>
        <w:t>must</w:t>
      </w:r>
      <w:r>
        <w:rPr/>
        <w:t xml:space="preserve"> either have the </w:t>
      </w:r>
      <w:r>
        <w:rPr>
          <w:rStyle w:val="SourceText"/>
          <w:rFonts w:ascii="Courier New" w:hAnsi="Courier New"/>
        </w:rPr>
        <w:t>CUBIC</w:t>
      </w:r>
      <w:r>
        <w:rPr/>
        <w:t xml:space="preserve"> flag clear, or have the </w:t>
      </w:r>
      <w:r>
        <w:rPr>
          <w:rStyle w:val="SourceText"/>
          <w:rFonts w:ascii="Courier New" w:hAnsi="Courier New"/>
        </w:rPr>
        <w:t>CUBIC</w:t>
      </w:r>
      <w:r>
        <w:rPr/>
        <w:t xml:space="preserve"> flag set.</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Fonts w:ascii="Courier New" w:hAnsi="Courier New"/>
        </w:rPr>
        <w:t>CUBIC</w:t>
      </w:r>
      <w:r>
        <w:rPr/>
        <w:t xml:space="preserve"> flag </w:t>
      </w:r>
      <w:r>
        <w:rPr>
          <w:rStyle w:val="Emphasis"/>
        </w:rPr>
        <w:t>must</w:t>
      </w:r>
      <w:r>
        <w:rPr/>
        <w:t xml:space="preserve"> only be used on off-curve points. It is </w:t>
      </w:r>
      <w:r>
        <w:rPr>
          <w:rStyle w:val="Emphasis"/>
        </w:rPr>
        <w:t>reserved</w:t>
      </w:r>
      <w:r>
        <w:rPr/>
        <w:t xml:space="preserve"> and </w:t>
      </w:r>
      <w:r>
        <w:rPr>
          <w:rStyle w:val="Emphasis"/>
        </w:rPr>
        <w:t>must</w:t>
      </w:r>
      <w:r>
        <w:rPr/>
        <w:t xml:space="preserve"> be set to zero for on-curve points.</w:t>
      </w:r>
    </w:p>
    <w:p>
      <w:pPr>
        <w:pStyle w:val="Heading2"/>
        <w:rPr>
          <w:rFonts w:ascii="Times New Roman" w:hAnsi="Times New Roman" w:eastAsia="SimSun" w:cs="Times New Roman"/>
          <w:b/>
          <w:sz w:val="28"/>
          <w:szCs w:val="24"/>
          <w:lang w:eastAsia="zh-CN"/>
        </w:rPr>
      </w:pPr>
      <w:bookmarkStart w:id="5" w:name="__RefHeading___Toc21904_2335824944"/>
      <w:bookmarkEnd w:id="5"/>
      <w:r>
        <w:rPr/>
        <w:t>Processing</w:t>
      </w:r>
    </w:p>
    <w:p>
      <w:pPr>
        <w:pStyle w:val="TextBody"/>
        <w:spacing w:before="1" w:after="283"/>
        <w:rPr>
          <w:rFonts w:ascii="Times New Roman" w:hAnsi="Times New Roman" w:eastAsia="SimSun" w:cs="Times New Roman"/>
          <w:b/>
          <w:sz w:val="28"/>
          <w:szCs w:val="24"/>
          <w:lang w:eastAsia="zh-CN"/>
        </w:rPr>
      </w:pPr>
      <w:r>
        <w:rPr/>
        <w:t xml:space="preserve">Every successive two off-curve points that have the </w:t>
      </w:r>
      <w:r>
        <w:rPr>
          <w:rStyle w:val="SourceText"/>
          <w:rFonts w:ascii="Courier New" w:hAnsi="Courier New"/>
        </w:rPr>
        <w:t>CUBIC</w:t>
      </w:r>
      <w:r>
        <w:rPr/>
        <w:t xml:space="preserve"> bit set define a cubic Bezier segment. Within any consecutive set of cubic off-curve points within a contour (with wrap-around), an implied on-curve point is inserted at the mid-point between every second off-curve point and the next one.</w:t>
      </w:r>
    </w:p>
    <w:p>
      <w:pPr>
        <w:pStyle w:val="TextBody"/>
        <w:spacing w:before="1" w:after="283"/>
        <w:rPr>
          <w:rFonts w:ascii="Times New Roman" w:hAnsi="Times New Roman" w:eastAsia="SimSun" w:cs="Times New Roman"/>
          <w:b/>
          <w:sz w:val="28"/>
          <w:szCs w:val="24"/>
          <w:lang w:eastAsia="zh-CN"/>
        </w:rPr>
      </w:pPr>
      <w:r>
        <w:rPr/>
        <w:t xml:space="preserve">If there are no on-curve points and all (even number of) off-curve points are </w:t>
      </w:r>
      <w:r>
        <w:rPr>
          <w:rStyle w:val="SourceText"/>
          <w:rFonts w:ascii="Courier New" w:hAnsi="Courier New"/>
        </w:rPr>
        <w:t>CUBIC</w:t>
      </w:r>
      <w:r>
        <w:rPr/>
        <w:t>, the first off-curve point is considered the first control-point of a cubic-Bezier, and implied on-curve points are inserted between the every second point and the next one as usual.</w:t>
      </w:r>
    </w:p>
    <w:p>
      <w:pPr>
        <w:pStyle w:val="TextBody"/>
        <w:spacing w:before="1" w:after="283"/>
        <w:rPr>
          <w:rFonts w:ascii="Times New Roman" w:hAnsi="Times New Roman" w:eastAsia="SimSun" w:cs="Times New Roman"/>
          <w:b/>
          <w:sz w:val="28"/>
          <w:szCs w:val="24"/>
          <w:lang w:eastAsia="zh-CN"/>
        </w:rPr>
      </w:pPr>
      <w:r>
        <w:rPr/>
        <w:t xml:space="preserve">As in the </w:t>
      </w:r>
      <w:r>
        <w:rPr>
          <w:rStyle w:val="SourceText"/>
          <w:rFonts w:ascii="Courier New" w:hAnsi="Courier New"/>
        </w:rPr>
        <w:t>glyf</w:t>
      </w:r>
      <w:r>
        <w:rPr/>
        <w:t xml:space="preserve"> version 0 table, an implied on-curve point is inserted between any two neighboring quadratic off-curve points.</w:t>
      </w:r>
    </w:p>
    <w:p>
      <w:pPr>
        <w:pStyle w:val="Heading1"/>
        <w:ind w:left="104" w:right="0" w:hanging="0"/>
        <w:rPr>
          <w:rFonts w:ascii="Times New Roman" w:hAnsi="Times New Roman" w:eastAsia="SimSun" w:cs="Times New Roman"/>
          <w:b/>
          <w:sz w:val="28"/>
          <w:szCs w:val="24"/>
          <w:lang w:eastAsia="zh-CN"/>
        </w:rPr>
      </w:pPr>
      <w:bookmarkStart w:id="6" w:name="__RefHeading___Toc21906_2335824944"/>
      <w:bookmarkEnd w:id="6"/>
      <w:r>
        <w:rPr/>
        <w:t>The glyf table: Variable Composites / Components</w:t>
      </w:r>
    </w:p>
    <w:p>
      <w:pPr>
        <w:pStyle w:val="TextBody"/>
        <w:rPr>
          <w:rFonts w:ascii="Times New Roman" w:hAnsi="Times New Roman" w:eastAsia="SimSun" w:cs="Times New Roman"/>
          <w:b/>
          <w:sz w:val="28"/>
          <w:szCs w:val="24"/>
          <w:lang w:eastAsia="zh-CN"/>
        </w:rPr>
      </w:pPr>
      <w:r>
        <w:rPr>
          <w:lang w:eastAsia="zh-CN"/>
        </w:rPr>
        <w:t xml:space="preserve">In </w:t>
      </w:r>
      <w:r>
        <w:rPr>
          <w:rStyle w:val="SourceText"/>
          <w:rFonts w:ascii="Courier New" w:hAnsi="Courier New"/>
          <w:lang w:eastAsia="zh-CN"/>
        </w:rPr>
        <w:t>glyf</w:t>
      </w:r>
      <w:r>
        <w:rPr>
          <w:lang w:eastAsia="zh-CN"/>
        </w:rPr>
        <w:t xml:space="preserve"> table format 0, there exist two types of glyphs: Simple glyphs which have a </w:t>
      </w:r>
      <w:r>
        <w:rPr>
          <w:rStyle w:val="SourceText"/>
          <w:rFonts w:ascii="Courier New" w:hAnsi="Courier New"/>
          <w:lang w:eastAsia="zh-CN"/>
        </w:rPr>
        <w:t>numberOfContours</w:t>
      </w:r>
      <w:r>
        <w:rPr>
          <w:lang w:eastAsia="zh-CN"/>
        </w:rPr>
        <w:t xml:space="preserve"> of &gt;= 0, and Composite glyphs that have a </w:t>
      </w:r>
      <w:r>
        <w:rPr>
          <w:rStyle w:val="SourceText"/>
          <w:rFonts w:ascii="Courier New" w:hAnsi="Courier New"/>
          <w:lang w:eastAsia="zh-CN"/>
        </w:rPr>
        <w:t>numberOfContours</w:t>
      </w:r>
      <w:r>
        <w:rPr>
          <w:lang w:eastAsia="zh-CN"/>
        </w:rPr>
        <w:t xml:space="preserve"> of &lt; 0, with a recommended value of -1.</w:t>
      </w:r>
    </w:p>
    <w:p>
      <w:pPr>
        <w:pStyle w:val="TextBody"/>
        <w:rPr/>
      </w:pPr>
      <w:r>
        <w:rPr/>
      </w:r>
    </w:p>
    <w:p>
      <w:pPr>
        <w:pStyle w:val="TextBody"/>
        <w:spacing w:before="1" w:after="283"/>
        <w:rPr>
          <w:rFonts w:ascii="Times New Roman" w:hAnsi="Times New Roman" w:eastAsia="SimSun" w:cs="Times New Roman"/>
          <w:b/>
          <w:sz w:val="28"/>
          <w:szCs w:val="24"/>
          <w:lang w:eastAsia="zh-CN"/>
        </w:rPr>
      </w:pPr>
      <w:r>
        <w:rPr/>
        <w:t xml:space="preserve">In </w:t>
      </w:r>
      <w:r>
        <w:rPr>
          <w:rStyle w:val="SourceText"/>
        </w:rPr>
        <w:t>glyf</w:t>
      </w:r>
      <w:r>
        <w:rPr/>
        <w:t xml:space="preserve"> table format 1, the old-style Simple and Composite glyphs exist as well. The old-style Composite glyphs shall always use a </w:t>
      </w:r>
      <w:r>
        <w:rPr>
          <w:rStyle w:val="SourceText"/>
          <w:rFonts w:ascii="Courier New" w:hAnsi="Courier New"/>
        </w:rPr>
        <w:t>numberOfContours</w:t>
      </w:r>
      <w:r>
        <w:rPr/>
        <w:t xml:space="preserve"> of -1. A new composite glyph type </w:t>
      </w:r>
      <w:r>
        <w:rPr/>
        <w:t>named</w:t>
      </w:r>
      <w:r>
        <w:rPr/>
        <w:t xml:space="preserve"> </w:t>
      </w:r>
      <w:r>
        <w:rPr>
          <w:rFonts w:ascii="Courier New" w:hAnsi="Courier New"/>
        </w:rPr>
        <w:t>VariableComposite</w:t>
      </w:r>
      <w:r>
        <w:rPr/>
        <w:t xml:space="preserve"> </w:t>
      </w:r>
      <w:r>
        <w:rPr/>
        <w:t>is</w:t>
      </w:r>
      <w:r>
        <w:rPr/>
        <w:t xml:space="preserve"> introduced which uses </w:t>
      </w:r>
      <w:r>
        <w:rPr>
          <w:rStyle w:val="SourceText"/>
          <w:rFonts w:ascii="Courier New" w:hAnsi="Courier New"/>
        </w:rPr>
        <w:t>numberOfContours</w:t>
      </w:r>
      <w:r>
        <w:rPr/>
        <w:t xml:space="preserve"> of -2. A </w:t>
      </w:r>
      <w:r>
        <w:rPr>
          <w:rFonts w:ascii="Courier New" w:hAnsi="Courier New"/>
        </w:rPr>
        <w:t>VariableComposite</w:t>
      </w:r>
      <w:r>
        <w:rPr/>
        <w:t xml:space="preserve"> glyph has the ability to refer to </w:t>
      </w:r>
      <w:r>
        <w:rPr>
          <w:rStyle w:val="Emphasis"/>
        </w:rPr>
        <w:t>variable components</w:t>
      </w:r>
      <w:r>
        <w:rPr/>
        <w:t>.</w:t>
      </w:r>
    </w:p>
    <w:p>
      <w:pPr>
        <w:pStyle w:val="Heading2"/>
        <w:rPr>
          <w:rFonts w:ascii="Times New Roman" w:hAnsi="Times New Roman" w:eastAsia="SimSun" w:cs="Times New Roman"/>
          <w:b/>
          <w:sz w:val="28"/>
          <w:szCs w:val="24"/>
          <w:lang w:eastAsia="zh-CN"/>
        </w:rPr>
      </w:pPr>
      <w:bookmarkStart w:id="7" w:name="__RefHeading___Toc21908_2335824944"/>
      <w:bookmarkStart w:id="8" w:name="user-content-variable-composite-descript"/>
      <w:bookmarkEnd w:id="7"/>
      <w:bookmarkEnd w:id="8"/>
      <w:r>
        <w:rPr/>
        <w:t>Variable Composite Description</w:t>
      </w:r>
    </w:p>
    <w:p>
      <w:pPr>
        <w:pStyle w:val="TextBody"/>
        <w:spacing w:before="1" w:after="283"/>
        <w:rPr>
          <w:rFonts w:ascii="Times New Roman" w:hAnsi="Times New Roman" w:eastAsia="SimSun" w:cs="Times New Roman"/>
          <w:b/>
          <w:sz w:val="28"/>
          <w:szCs w:val="24"/>
          <w:lang w:eastAsia="zh-CN"/>
        </w:rPr>
      </w:pPr>
      <w:r>
        <w:rPr/>
        <w:t xml:space="preserve">A Variable Composite glyph starts with the standard glyph header with a </w:t>
      </w:r>
      <w:r>
        <w:rPr>
          <w:rStyle w:val="SourceText"/>
        </w:rPr>
        <w:t>numberOfContours</w:t>
      </w:r>
      <w:r>
        <w:rPr/>
        <w:t xml:space="preserve"> of -2, followed by a number of Variable Component records. Each Variable Component record is at least five bytes long.</w:t>
      </w:r>
    </w:p>
    <w:p>
      <w:pPr>
        <w:pStyle w:val="Heading2"/>
        <w:rPr>
          <w:rFonts w:ascii="Times New Roman" w:hAnsi="Times New Roman" w:eastAsia="SimSun" w:cs="Times New Roman"/>
          <w:b/>
          <w:sz w:val="28"/>
          <w:szCs w:val="24"/>
          <w:lang w:eastAsia="zh-CN"/>
        </w:rPr>
      </w:pPr>
      <w:bookmarkStart w:id="9" w:name="__RefHeading___Toc21910_2335824944"/>
      <w:bookmarkEnd w:id="9"/>
      <w:r>
        <w:rPr/>
        <w:t>Variable Component Record</w:t>
      </w:r>
    </w:p>
    <w:tbl>
      <w:tblPr>
        <w:tblW w:w="9026" w:type="dxa"/>
        <w:jc w:val="left"/>
        <w:tblInd w:w="0" w:type="dxa"/>
        <w:tblLayout w:type="fixed"/>
        <w:tblCellMar>
          <w:top w:w="28" w:type="dxa"/>
          <w:left w:w="28" w:type="dxa"/>
          <w:bottom w:w="28" w:type="dxa"/>
          <w:right w:w="28" w:type="dxa"/>
        </w:tblCellMar>
      </w:tblPr>
      <w:tblGrid>
        <w:gridCol w:w="2162"/>
        <w:gridCol w:w="1977"/>
        <w:gridCol w:w="4887"/>
      </w:tblGrid>
      <w:tr>
        <w:trPr>
          <w:tblHeader w:val="true"/>
        </w:trPr>
        <w:tc>
          <w:tcPr>
            <w:tcW w:w="2162" w:type="dxa"/>
            <w:tcBorders/>
            <w:vAlign w:val="center"/>
          </w:tcPr>
          <w:p>
            <w:pPr>
              <w:pStyle w:val="TableHeading"/>
              <w:rPr/>
            </w:pPr>
            <w:r>
              <w:rPr/>
              <w:t>type</w:t>
            </w:r>
          </w:p>
        </w:tc>
        <w:tc>
          <w:tcPr>
            <w:tcW w:w="1977" w:type="dxa"/>
            <w:tcBorders/>
            <w:vAlign w:val="center"/>
          </w:tcPr>
          <w:p>
            <w:pPr>
              <w:pStyle w:val="TableHeading"/>
              <w:rPr/>
            </w:pPr>
            <w:r>
              <w:rPr/>
              <w:t>name</w:t>
            </w:r>
          </w:p>
        </w:tc>
        <w:tc>
          <w:tcPr>
            <w:tcW w:w="4887" w:type="dxa"/>
            <w:tcBorders/>
            <w:vAlign w:val="center"/>
          </w:tcPr>
          <w:p>
            <w:pPr>
              <w:pStyle w:val="TableHeading"/>
              <w:rPr/>
            </w:pPr>
            <w:r>
              <w:rPr/>
              <w:t>notes</w:t>
            </w:r>
          </w:p>
        </w:tc>
      </w:tr>
      <w:tr>
        <w:trPr/>
        <w:tc>
          <w:tcPr>
            <w:tcW w:w="2162" w:type="dxa"/>
            <w:tcBorders/>
            <w:vAlign w:val="center"/>
          </w:tcPr>
          <w:p>
            <w:pPr>
              <w:pStyle w:val="TableContents"/>
              <w:rPr/>
            </w:pPr>
            <w:r>
              <w:rPr/>
              <w:t>uint16</w:t>
            </w:r>
          </w:p>
        </w:tc>
        <w:tc>
          <w:tcPr>
            <w:tcW w:w="1977" w:type="dxa"/>
            <w:tcBorders/>
            <w:vAlign w:val="center"/>
          </w:tcPr>
          <w:p>
            <w:pPr>
              <w:pStyle w:val="TableContents"/>
              <w:rPr/>
            </w:pPr>
            <w:r>
              <w:rPr/>
              <w:t>flags</w:t>
            </w:r>
          </w:p>
        </w:tc>
        <w:tc>
          <w:tcPr>
            <w:tcW w:w="4887" w:type="dxa"/>
            <w:tcBorders/>
            <w:vAlign w:val="center"/>
          </w:tcPr>
          <w:p>
            <w:pPr>
              <w:pStyle w:val="TableContents"/>
              <w:rPr/>
            </w:pPr>
            <w:r>
              <w:rPr/>
              <w:t>see below</w:t>
            </w:r>
          </w:p>
        </w:tc>
      </w:tr>
      <w:tr>
        <w:trPr/>
        <w:tc>
          <w:tcPr>
            <w:tcW w:w="2162" w:type="dxa"/>
            <w:tcBorders/>
            <w:vAlign w:val="center"/>
          </w:tcPr>
          <w:p>
            <w:pPr>
              <w:pStyle w:val="TableContents"/>
              <w:rPr/>
            </w:pPr>
            <w:r>
              <w:rPr/>
              <w:t>uint8</w:t>
            </w:r>
          </w:p>
        </w:tc>
        <w:tc>
          <w:tcPr>
            <w:tcW w:w="1977" w:type="dxa"/>
            <w:tcBorders/>
            <w:vAlign w:val="center"/>
          </w:tcPr>
          <w:p>
            <w:pPr>
              <w:pStyle w:val="TableContents"/>
              <w:rPr/>
            </w:pPr>
            <w:r>
              <w:rPr/>
              <w:t>numAxes</w:t>
            </w:r>
          </w:p>
        </w:tc>
        <w:tc>
          <w:tcPr>
            <w:tcW w:w="4887" w:type="dxa"/>
            <w:tcBorders/>
            <w:vAlign w:val="center"/>
          </w:tcPr>
          <w:p>
            <w:pPr>
              <w:pStyle w:val="TableContents"/>
              <w:rPr/>
            </w:pPr>
            <w:r>
              <w:rPr/>
              <w:t>Number of axes to follow</w:t>
            </w:r>
          </w:p>
        </w:tc>
      </w:tr>
      <w:tr>
        <w:trPr/>
        <w:tc>
          <w:tcPr>
            <w:tcW w:w="2162" w:type="dxa"/>
            <w:tcBorders/>
            <w:vAlign w:val="center"/>
          </w:tcPr>
          <w:p>
            <w:pPr>
              <w:pStyle w:val="TableContents"/>
              <w:rPr/>
            </w:pPr>
            <w:r>
              <w:rPr/>
              <w:t>GlyphID16 or GlyphID24</w:t>
            </w:r>
          </w:p>
        </w:tc>
        <w:tc>
          <w:tcPr>
            <w:tcW w:w="1977" w:type="dxa"/>
            <w:tcBorders/>
            <w:vAlign w:val="center"/>
          </w:tcPr>
          <w:p>
            <w:pPr>
              <w:pStyle w:val="TableContents"/>
              <w:rPr/>
            </w:pPr>
            <w:r>
              <w:rPr/>
              <w:t>gid</w:t>
            </w:r>
          </w:p>
        </w:tc>
        <w:tc>
          <w:tcPr>
            <w:tcW w:w="4887" w:type="dxa"/>
            <w:tcBorders/>
            <w:vAlign w:val="center"/>
          </w:tcPr>
          <w:p>
            <w:pPr>
              <w:pStyle w:val="TableContents"/>
              <w:rPr/>
            </w:pPr>
            <w:r>
              <w:rPr/>
              <w:t xml:space="preserve">This is a GlyphID16 if bit 12 of </w:t>
            </w:r>
            <w:r>
              <w:rPr>
                <w:rStyle w:val="SourceText"/>
              </w:rPr>
              <w:t>flags</w:t>
            </w:r>
            <w:r>
              <w:rPr/>
              <w:t xml:space="preserve"> is clear, else GlyphID24</w:t>
            </w:r>
          </w:p>
        </w:tc>
      </w:tr>
      <w:tr>
        <w:trPr/>
        <w:tc>
          <w:tcPr>
            <w:tcW w:w="2162" w:type="dxa"/>
            <w:tcBorders/>
            <w:vAlign w:val="center"/>
          </w:tcPr>
          <w:p>
            <w:pPr>
              <w:pStyle w:val="TableContents"/>
              <w:rPr/>
            </w:pPr>
            <w:r>
              <w:rPr/>
              <w:t>uint8 or uint16</w:t>
            </w:r>
          </w:p>
        </w:tc>
        <w:tc>
          <w:tcPr>
            <w:tcW w:w="1977" w:type="dxa"/>
            <w:tcBorders/>
            <w:vAlign w:val="center"/>
          </w:tcPr>
          <w:p>
            <w:pPr>
              <w:pStyle w:val="TableContents"/>
              <w:rPr/>
            </w:pPr>
            <w:r>
              <w:rPr/>
              <w:t>axisIndices[numAxes]</w:t>
            </w:r>
          </w:p>
        </w:tc>
        <w:tc>
          <w:tcPr>
            <w:tcW w:w="4887" w:type="dxa"/>
            <w:tcBorders/>
            <w:vAlign w:val="center"/>
          </w:tcPr>
          <w:p>
            <w:pPr>
              <w:pStyle w:val="TableContents"/>
              <w:rPr/>
            </w:pPr>
            <w:r>
              <w:rPr/>
              <w:t xml:space="preserve">This is a uint16 if bit 1 of </w:t>
            </w:r>
            <w:r>
              <w:rPr>
                <w:rStyle w:val="SourceText"/>
              </w:rPr>
              <w:t>flags</w:t>
            </w:r>
            <w:r>
              <w:rPr/>
              <w:t xml:space="preserve"> is set, else a uint8</w:t>
            </w:r>
          </w:p>
        </w:tc>
      </w:tr>
      <w:tr>
        <w:trPr/>
        <w:tc>
          <w:tcPr>
            <w:tcW w:w="2162" w:type="dxa"/>
            <w:tcBorders/>
            <w:vAlign w:val="center"/>
          </w:tcPr>
          <w:p>
            <w:pPr>
              <w:pStyle w:val="TableContents"/>
              <w:rPr/>
            </w:pPr>
            <w:r>
              <w:rPr/>
              <w:t>F2DOT14</w:t>
            </w:r>
          </w:p>
        </w:tc>
        <w:tc>
          <w:tcPr>
            <w:tcW w:w="1977" w:type="dxa"/>
            <w:tcBorders/>
            <w:vAlign w:val="center"/>
          </w:tcPr>
          <w:p>
            <w:pPr>
              <w:pStyle w:val="TableContents"/>
              <w:rPr/>
            </w:pPr>
            <w:r>
              <w:rPr/>
              <w:t>axisValues[numAxes]</w:t>
            </w:r>
          </w:p>
        </w:tc>
        <w:tc>
          <w:tcPr>
            <w:tcW w:w="4887" w:type="dxa"/>
            <w:tcBorders/>
            <w:vAlign w:val="center"/>
          </w:tcPr>
          <w:p>
            <w:pPr>
              <w:pStyle w:val="TableContents"/>
              <w:rPr/>
            </w:pPr>
            <w:r>
              <w:rPr/>
              <w:t>The axis value for each axis</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TranslateX</w:t>
            </w:r>
          </w:p>
        </w:tc>
        <w:tc>
          <w:tcPr>
            <w:tcW w:w="4887" w:type="dxa"/>
            <w:tcBorders/>
            <w:vAlign w:val="center"/>
          </w:tcPr>
          <w:p>
            <w:pPr>
              <w:pStyle w:val="TableContents"/>
              <w:rPr/>
            </w:pPr>
            <w:r>
              <w:rPr/>
              <w:t xml:space="preserve">Optional, only present if bit 3 of </w:t>
            </w:r>
            <w:r>
              <w:rPr>
                <w:rStyle w:val="SourceText"/>
              </w:rPr>
              <w:t>flags</w:t>
            </w:r>
            <w:r>
              <w:rPr/>
              <w:t xml:space="preserve"> is set</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TranslateY</w:t>
            </w:r>
          </w:p>
        </w:tc>
        <w:tc>
          <w:tcPr>
            <w:tcW w:w="4887" w:type="dxa"/>
            <w:tcBorders/>
            <w:vAlign w:val="center"/>
          </w:tcPr>
          <w:p>
            <w:pPr>
              <w:pStyle w:val="TableContents"/>
              <w:rPr/>
            </w:pPr>
            <w:r>
              <w:rPr/>
              <w:t xml:space="preserve">Optional, only present if bit 4 of </w:t>
            </w:r>
            <w:r>
              <w:rPr>
                <w:rStyle w:val="SourceText"/>
              </w:rPr>
              <w:t>flags</w:t>
            </w:r>
            <w:r>
              <w:rPr/>
              <w:t xml:space="preserve"> is set</w:t>
            </w:r>
          </w:p>
        </w:tc>
      </w:tr>
      <w:tr>
        <w:trPr/>
        <w:tc>
          <w:tcPr>
            <w:tcW w:w="2162" w:type="dxa"/>
            <w:tcBorders/>
            <w:vAlign w:val="center"/>
          </w:tcPr>
          <w:p>
            <w:pPr>
              <w:pStyle w:val="TableContents"/>
              <w:rPr/>
            </w:pPr>
            <w:r>
              <w:rPr/>
              <w:t>F4DOT12</w:t>
            </w:r>
          </w:p>
        </w:tc>
        <w:tc>
          <w:tcPr>
            <w:tcW w:w="1977" w:type="dxa"/>
            <w:tcBorders/>
            <w:vAlign w:val="center"/>
          </w:tcPr>
          <w:p>
            <w:pPr>
              <w:pStyle w:val="TableContents"/>
              <w:rPr/>
            </w:pPr>
            <w:r>
              <w:rPr/>
              <w:t>Rotation</w:t>
            </w:r>
          </w:p>
        </w:tc>
        <w:tc>
          <w:tcPr>
            <w:tcW w:w="4887" w:type="dxa"/>
            <w:tcBorders/>
            <w:vAlign w:val="center"/>
          </w:tcPr>
          <w:p>
            <w:pPr>
              <w:pStyle w:val="TableContents"/>
              <w:rPr/>
            </w:pPr>
            <w:r>
              <w:rPr/>
              <w:t xml:space="preserve">Optional, only present if bit 5 of </w:t>
            </w:r>
            <w:r>
              <w:rPr>
                <w:rStyle w:val="SourceText"/>
              </w:rPr>
              <w:t>flags</w:t>
            </w:r>
            <w:r>
              <w:rPr/>
              <w:t xml:space="preserve"> is set</w:t>
            </w:r>
          </w:p>
        </w:tc>
      </w:tr>
      <w:tr>
        <w:trPr/>
        <w:tc>
          <w:tcPr>
            <w:tcW w:w="2162" w:type="dxa"/>
            <w:tcBorders/>
            <w:vAlign w:val="center"/>
          </w:tcPr>
          <w:p>
            <w:pPr>
              <w:pStyle w:val="TableContents"/>
              <w:rPr/>
            </w:pPr>
            <w:r>
              <w:rPr/>
              <w:t>F6DOT10</w:t>
            </w:r>
          </w:p>
        </w:tc>
        <w:tc>
          <w:tcPr>
            <w:tcW w:w="1977" w:type="dxa"/>
            <w:tcBorders/>
            <w:vAlign w:val="center"/>
          </w:tcPr>
          <w:p>
            <w:pPr>
              <w:pStyle w:val="TableContents"/>
              <w:rPr/>
            </w:pPr>
            <w:r>
              <w:rPr/>
              <w:t>ScaleX</w:t>
            </w:r>
          </w:p>
        </w:tc>
        <w:tc>
          <w:tcPr>
            <w:tcW w:w="4887" w:type="dxa"/>
            <w:tcBorders/>
            <w:vAlign w:val="center"/>
          </w:tcPr>
          <w:p>
            <w:pPr>
              <w:pStyle w:val="TableContents"/>
              <w:rPr/>
            </w:pPr>
            <w:r>
              <w:rPr/>
              <w:t xml:space="preserve">Optional, only present if bit 6 of </w:t>
            </w:r>
            <w:r>
              <w:rPr>
                <w:rStyle w:val="SourceText"/>
              </w:rPr>
              <w:t>flags</w:t>
            </w:r>
            <w:r>
              <w:rPr/>
              <w:t xml:space="preserve"> is set</w:t>
            </w:r>
          </w:p>
        </w:tc>
      </w:tr>
      <w:tr>
        <w:trPr/>
        <w:tc>
          <w:tcPr>
            <w:tcW w:w="2162" w:type="dxa"/>
            <w:tcBorders/>
            <w:vAlign w:val="center"/>
          </w:tcPr>
          <w:p>
            <w:pPr>
              <w:pStyle w:val="TableContents"/>
              <w:rPr/>
            </w:pPr>
            <w:r>
              <w:rPr/>
              <w:t>F6DOT10</w:t>
            </w:r>
          </w:p>
        </w:tc>
        <w:tc>
          <w:tcPr>
            <w:tcW w:w="1977" w:type="dxa"/>
            <w:tcBorders/>
            <w:vAlign w:val="center"/>
          </w:tcPr>
          <w:p>
            <w:pPr>
              <w:pStyle w:val="TableContents"/>
              <w:rPr/>
            </w:pPr>
            <w:r>
              <w:rPr/>
              <w:t>ScaleY</w:t>
            </w:r>
          </w:p>
        </w:tc>
        <w:tc>
          <w:tcPr>
            <w:tcW w:w="4887" w:type="dxa"/>
            <w:tcBorders/>
            <w:vAlign w:val="center"/>
          </w:tcPr>
          <w:p>
            <w:pPr>
              <w:pStyle w:val="TableContents"/>
              <w:rPr/>
            </w:pPr>
            <w:r>
              <w:rPr/>
              <w:t xml:space="preserve">Optional, only present if bit 7 of </w:t>
            </w:r>
            <w:r>
              <w:rPr>
                <w:rStyle w:val="SourceText"/>
              </w:rPr>
              <w:t>flags</w:t>
            </w:r>
            <w:r>
              <w:rPr/>
              <w:t xml:space="preserve"> is set</w:t>
            </w:r>
          </w:p>
        </w:tc>
      </w:tr>
      <w:tr>
        <w:trPr/>
        <w:tc>
          <w:tcPr>
            <w:tcW w:w="2162" w:type="dxa"/>
            <w:tcBorders/>
            <w:vAlign w:val="center"/>
          </w:tcPr>
          <w:p>
            <w:pPr>
              <w:pStyle w:val="TableContents"/>
              <w:rPr/>
            </w:pPr>
            <w:r>
              <w:rPr/>
              <w:t>F4DOT12</w:t>
            </w:r>
          </w:p>
        </w:tc>
        <w:tc>
          <w:tcPr>
            <w:tcW w:w="1977" w:type="dxa"/>
            <w:tcBorders/>
            <w:vAlign w:val="center"/>
          </w:tcPr>
          <w:p>
            <w:pPr>
              <w:pStyle w:val="TableContents"/>
              <w:rPr/>
            </w:pPr>
            <w:r>
              <w:rPr/>
              <w:t>SkewX</w:t>
            </w:r>
          </w:p>
        </w:tc>
        <w:tc>
          <w:tcPr>
            <w:tcW w:w="4887" w:type="dxa"/>
            <w:tcBorders/>
            <w:vAlign w:val="center"/>
          </w:tcPr>
          <w:p>
            <w:pPr>
              <w:pStyle w:val="TableContents"/>
              <w:rPr/>
            </w:pPr>
            <w:r>
              <w:rPr/>
              <w:t xml:space="preserve">Optional, only present if bit 8 of </w:t>
            </w:r>
            <w:r>
              <w:rPr>
                <w:rStyle w:val="SourceText"/>
              </w:rPr>
              <w:t>flags</w:t>
            </w:r>
            <w:r>
              <w:rPr/>
              <w:t xml:space="preserve"> is set</w:t>
            </w:r>
          </w:p>
        </w:tc>
      </w:tr>
      <w:tr>
        <w:trPr/>
        <w:tc>
          <w:tcPr>
            <w:tcW w:w="2162" w:type="dxa"/>
            <w:tcBorders/>
            <w:vAlign w:val="center"/>
          </w:tcPr>
          <w:p>
            <w:pPr>
              <w:pStyle w:val="TableContents"/>
              <w:rPr/>
            </w:pPr>
            <w:r>
              <w:rPr/>
              <w:t>F4DOT12</w:t>
            </w:r>
          </w:p>
        </w:tc>
        <w:tc>
          <w:tcPr>
            <w:tcW w:w="1977" w:type="dxa"/>
            <w:tcBorders/>
            <w:vAlign w:val="center"/>
          </w:tcPr>
          <w:p>
            <w:pPr>
              <w:pStyle w:val="TableContents"/>
              <w:rPr/>
            </w:pPr>
            <w:r>
              <w:rPr/>
              <w:t>SkewY</w:t>
            </w:r>
          </w:p>
        </w:tc>
        <w:tc>
          <w:tcPr>
            <w:tcW w:w="4887" w:type="dxa"/>
            <w:tcBorders/>
            <w:vAlign w:val="center"/>
          </w:tcPr>
          <w:p>
            <w:pPr>
              <w:pStyle w:val="TableContents"/>
              <w:rPr/>
            </w:pPr>
            <w:r>
              <w:rPr/>
              <w:t xml:space="preserve">Optional, only present if bit 9 of </w:t>
            </w:r>
            <w:r>
              <w:rPr>
                <w:rStyle w:val="SourceText"/>
              </w:rPr>
              <w:t>flags</w:t>
            </w:r>
            <w:r>
              <w:rPr/>
              <w:t xml:space="preserve"> is set</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TCenterX</w:t>
            </w:r>
          </w:p>
        </w:tc>
        <w:tc>
          <w:tcPr>
            <w:tcW w:w="4887" w:type="dxa"/>
            <w:tcBorders/>
            <w:vAlign w:val="center"/>
          </w:tcPr>
          <w:p>
            <w:pPr>
              <w:pStyle w:val="TableContents"/>
              <w:rPr/>
            </w:pPr>
            <w:r>
              <w:rPr/>
              <w:t xml:space="preserve">Optional, only present if bit 10 of </w:t>
            </w:r>
            <w:r>
              <w:rPr>
                <w:rStyle w:val="SourceText"/>
              </w:rPr>
              <w:t>flags</w:t>
            </w:r>
            <w:r>
              <w:rPr/>
              <w:t xml:space="preserve"> is set</w:t>
            </w:r>
          </w:p>
        </w:tc>
      </w:tr>
      <w:tr>
        <w:trPr/>
        <w:tc>
          <w:tcPr>
            <w:tcW w:w="2162" w:type="dxa"/>
            <w:tcBorders/>
            <w:vAlign w:val="center"/>
          </w:tcPr>
          <w:p>
            <w:pPr>
              <w:pStyle w:val="TableContents"/>
              <w:rPr/>
            </w:pPr>
            <w:r>
              <w:rPr/>
              <w:t>FWORD</w:t>
            </w:r>
          </w:p>
        </w:tc>
        <w:tc>
          <w:tcPr>
            <w:tcW w:w="1977" w:type="dxa"/>
            <w:tcBorders/>
            <w:vAlign w:val="center"/>
          </w:tcPr>
          <w:p>
            <w:pPr>
              <w:pStyle w:val="TableContents"/>
              <w:rPr/>
            </w:pPr>
            <w:r>
              <w:rPr/>
              <w:t>TCenterY</w:t>
            </w:r>
          </w:p>
        </w:tc>
        <w:tc>
          <w:tcPr>
            <w:tcW w:w="4887" w:type="dxa"/>
            <w:tcBorders/>
            <w:vAlign w:val="center"/>
          </w:tcPr>
          <w:p>
            <w:pPr>
              <w:pStyle w:val="TableContents"/>
              <w:rPr/>
            </w:pPr>
            <w:r>
              <w:rPr/>
              <w:t xml:space="preserve">Optional, only present if bit 11 of </w:t>
            </w:r>
            <w:r>
              <w:rPr>
                <w:rStyle w:val="SourceText"/>
              </w:rPr>
              <w:t>flags</w:t>
            </w:r>
            <w:r>
              <w:rPr/>
              <w:t xml:space="preserve"> is set</w:t>
            </w:r>
          </w:p>
        </w:tc>
      </w:tr>
    </w:tbl>
    <w:p>
      <w:pPr>
        <w:pStyle w:val="Heading2"/>
        <w:rPr>
          <w:rFonts w:ascii="Times New Roman" w:hAnsi="Times New Roman" w:eastAsia="SimSun" w:cs="Times New Roman"/>
          <w:b/>
          <w:sz w:val="28"/>
          <w:szCs w:val="24"/>
          <w:lang w:eastAsia="zh-CN"/>
        </w:rPr>
      </w:pPr>
      <w:bookmarkStart w:id="10" w:name="__RefHeading___Toc21912_2335824944"/>
      <w:bookmarkStart w:id="11" w:name="user-content-variable-component-transfor"/>
      <w:bookmarkEnd w:id="10"/>
      <w:bookmarkEnd w:id="11"/>
      <w:r>
        <w:rPr/>
        <w:t>Variable Component Transformation</w:t>
      </w:r>
    </w:p>
    <w:p>
      <w:pPr>
        <w:pStyle w:val="TextBody"/>
        <w:spacing w:before="1" w:after="283"/>
        <w:rPr>
          <w:rFonts w:ascii="Times New Roman" w:hAnsi="Times New Roman" w:eastAsia="SimSun" w:cs="Times New Roman"/>
          <w:b/>
          <w:sz w:val="28"/>
          <w:szCs w:val="24"/>
          <w:lang w:eastAsia="zh-CN"/>
        </w:rPr>
      </w:pPr>
      <w:r>
        <w:rPr/>
        <w:t>The transformation data consists of individual optional fields, which can be used to construct a transformation matrix.</w:t>
      </w:r>
    </w:p>
    <w:p>
      <w:pPr>
        <w:pStyle w:val="TextBody"/>
        <w:spacing w:before="1" w:after="283"/>
        <w:rPr>
          <w:rFonts w:ascii="Times New Roman" w:hAnsi="Times New Roman" w:eastAsia="SimSun" w:cs="Times New Roman"/>
          <w:b/>
          <w:sz w:val="28"/>
          <w:szCs w:val="24"/>
          <w:lang w:eastAsia="zh-CN"/>
        </w:rPr>
      </w:pPr>
      <w:r>
        <w:rPr/>
        <w:t>Transformation fields:</w:t>
      </w:r>
    </w:p>
    <w:tbl>
      <w:tblPr>
        <w:tblW w:w="2681" w:type="dxa"/>
        <w:jc w:val="left"/>
        <w:tblInd w:w="0" w:type="dxa"/>
        <w:tblLayout w:type="fixed"/>
        <w:tblCellMar>
          <w:top w:w="28" w:type="dxa"/>
          <w:left w:w="28" w:type="dxa"/>
          <w:bottom w:w="28" w:type="dxa"/>
          <w:right w:w="28" w:type="dxa"/>
        </w:tblCellMar>
      </w:tblPr>
      <w:tblGrid>
        <w:gridCol w:w="1185"/>
        <w:gridCol w:w="1496"/>
      </w:tblGrid>
      <w:tr>
        <w:trPr>
          <w:tblHeader w:val="true"/>
        </w:trPr>
        <w:tc>
          <w:tcPr>
            <w:tcW w:w="1185" w:type="dxa"/>
            <w:tcBorders/>
            <w:vAlign w:val="center"/>
          </w:tcPr>
          <w:p>
            <w:pPr>
              <w:pStyle w:val="TableHeading"/>
              <w:rPr/>
            </w:pPr>
            <w:r>
              <w:rPr/>
              <w:t>name</w:t>
            </w:r>
          </w:p>
        </w:tc>
        <w:tc>
          <w:tcPr>
            <w:tcW w:w="1496" w:type="dxa"/>
            <w:tcBorders/>
            <w:vAlign w:val="center"/>
          </w:tcPr>
          <w:p>
            <w:pPr>
              <w:pStyle w:val="TableHeading"/>
              <w:rPr/>
            </w:pPr>
            <w:r>
              <w:rPr/>
              <w:t>default value</w:t>
            </w:r>
          </w:p>
        </w:tc>
      </w:tr>
      <w:tr>
        <w:trPr/>
        <w:tc>
          <w:tcPr>
            <w:tcW w:w="1185" w:type="dxa"/>
            <w:tcBorders/>
            <w:vAlign w:val="center"/>
          </w:tcPr>
          <w:p>
            <w:pPr>
              <w:pStyle w:val="TableContents"/>
              <w:rPr/>
            </w:pPr>
            <w:r>
              <w:rPr/>
              <w:t>TranslateX</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TranslateY</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Rotation</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ScaleX</w:t>
            </w:r>
          </w:p>
        </w:tc>
        <w:tc>
          <w:tcPr>
            <w:tcW w:w="1496" w:type="dxa"/>
            <w:tcBorders/>
            <w:vAlign w:val="center"/>
          </w:tcPr>
          <w:p>
            <w:pPr>
              <w:pStyle w:val="TableContents"/>
              <w:rPr/>
            </w:pPr>
            <w:r>
              <w:rPr/>
              <w:t>1</w:t>
            </w:r>
          </w:p>
        </w:tc>
      </w:tr>
      <w:tr>
        <w:trPr/>
        <w:tc>
          <w:tcPr>
            <w:tcW w:w="1185" w:type="dxa"/>
            <w:tcBorders/>
            <w:vAlign w:val="center"/>
          </w:tcPr>
          <w:p>
            <w:pPr>
              <w:pStyle w:val="TableContents"/>
              <w:rPr/>
            </w:pPr>
            <w:r>
              <w:rPr/>
              <w:t>ScaleY</w:t>
            </w:r>
          </w:p>
        </w:tc>
        <w:tc>
          <w:tcPr>
            <w:tcW w:w="1496" w:type="dxa"/>
            <w:tcBorders/>
            <w:vAlign w:val="center"/>
          </w:tcPr>
          <w:p>
            <w:pPr>
              <w:pStyle w:val="TableContents"/>
              <w:rPr/>
            </w:pPr>
            <w:r>
              <w:rPr/>
              <w:t>1</w:t>
            </w:r>
          </w:p>
        </w:tc>
      </w:tr>
      <w:tr>
        <w:trPr/>
        <w:tc>
          <w:tcPr>
            <w:tcW w:w="1185" w:type="dxa"/>
            <w:tcBorders/>
            <w:vAlign w:val="center"/>
          </w:tcPr>
          <w:p>
            <w:pPr>
              <w:pStyle w:val="TableContents"/>
              <w:rPr/>
            </w:pPr>
            <w:r>
              <w:rPr/>
              <w:t>SkewX</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SkewY</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TCenterX</w:t>
            </w:r>
          </w:p>
        </w:tc>
        <w:tc>
          <w:tcPr>
            <w:tcW w:w="1496" w:type="dxa"/>
            <w:tcBorders/>
            <w:vAlign w:val="center"/>
          </w:tcPr>
          <w:p>
            <w:pPr>
              <w:pStyle w:val="TableContents"/>
              <w:rPr/>
            </w:pPr>
            <w:r>
              <w:rPr/>
              <w:t>0</w:t>
            </w:r>
          </w:p>
        </w:tc>
      </w:tr>
      <w:tr>
        <w:trPr/>
        <w:tc>
          <w:tcPr>
            <w:tcW w:w="1185" w:type="dxa"/>
            <w:tcBorders/>
            <w:vAlign w:val="center"/>
          </w:tcPr>
          <w:p>
            <w:pPr>
              <w:pStyle w:val="TableContents"/>
              <w:rPr/>
            </w:pPr>
            <w:r>
              <w:rPr/>
              <w:t>TCenterY</w:t>
            </w:r>
          </w:p>
        </w:tc>
        <w:tc>
          <w:tcPr>
            <w:tcW w:w="1496" w:type="dxa"/>
            <w:tcBorders/>
            <w:vAlign w:val="center"/>
          </w:tcPr>
          <w:p>
            <w:pPr>
              <w:pStyle w:val="TableContents"/>
              <w:rPr/>
            </w:pPr>
            <w:r>
              <w:rPr/>
              <w:t>0</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TCenterX</w:t>
      </w:r>
      <w:r>
        <w:rPr/>
        <w:t xml:space="preserve"> and </w:t>
      </w:r>
      <w:r>
        <w:rPr>
          <w:rStyle w:val="SourceText"/>
        </w:rPr>
        <w:t>TCenterY</w:t>
      </w:r>
      <w:r>
        <w:rPr/>
        <w:t xml:space="preserve"> values represent the “center of transformation”.</w:t>
      </w:r>
    </w:p>
    <w:p>
      <w:pPr>
        <w:pStyle w:val="TextBody"/>
        <w:rPr>
          <w:rFonts w:ascii="Times New Roman" w:hAnsi="Times New Roman" w:eastAsia="SimSun" w:cs="Times New Roman"/>
          <w:b/>
          <w:sz w:val="28"/>
          <w:szCs w:val="24"/>
          <w:lang w:eastAsia="zh-CN"/>
        </w:rPr>
      </w:pPr>
      <w:r>
        <w:rPr>
          <w:lang w:eastAsia="zh-CN"/>
        </w:rPr>
        <w:t>Details of how to build a transformation matrix, as pseudo-Python code:</w:t>
      </w:r>
    </w:p>
    <w:p>
      <w:pPr>
        <w:pStyle w:val="PreformattedText"/>
        <w:rPr>
          <w:rFonts w:ascii="Times New Roman" w:hAnsi="Times New Roman" w:eastAsia="SimSun" w:cs="Times New Roman"/>
          <w:b/>
          <w:sz w:val="28"/>
          <w:szCs w:val="24"/>
          <w:lang w:eastAsia="zh-CN"/>
        </w:rPr>
      </w:pPr>
      <w:r>
        <w:rPr/>
        <w:t># Using fontTools.misc.transform.Transform</w:t>
      </w:r>
    </w:p>
    <w:p>
      <w:pPr>
        <w:pStyle w:val="PreformattedText"/>
        <w:rPr>
          <w:rFonts w:ascii="Times New Roman" w:hAnsi="Times New Roman" w:eastAsia="SimSun" w:cs="Times New Roman"/>
          <w:b/>
          <w:sz w:val="28"/>
          <w:szCs w:val="24"/>
          <w:lang w:eastAsia="zh-CN"/>
        </w:rPr>
      </w:pPr>
      <w:r>
        <w:rPr/>
        <w:t>t = Transform()  # Identity</w:t>
      </w:r>
    </w:p>
    <w:p>
      <w:pPr>
        <w:pStyle w:val="PreformattedText"/>
        <w:rPr>
          <w:rFonts w:ascii="Times New Roman" w:hAnsi="Times New Roman" w:eastAsia="SimSun" w:cs="Times New Roman"/>
          <w:b/>
          <w:sz w:val="28"/>
          <w:szCs w:val="24"/>
          <w:lang w:eastAsia="zh-CN"/>
        </w:rPr>
      </w:pPr>
      <w:r>
        <w:rPr/>
        <w:t>t = t.translate(TranslateX + TCenterX, TranslateY + TCenterY)</w:t>
      </w:r>
    </w:p>
    <w:p>
      <w:pPr>
        <w:pStyle w:val="PreformattedText"/>
        <w:rPr>
          <w:rFonts w:ascii="Times New Roman" w:hAnsi="Times New Roman" w:eastAsia="SimSun" w:cs="Times New Roman"/>
          <w:b/>
          <w:sz w:val="28"/>
          <w:szCs w:val="24"/>
          <w:lang w:eastAsia="zh-CN"/>
        </w:rPr>
      </w:pPr>
      <w:r>
        <w:rPr/>
        <w:t>t = t.rotate(Rotation * math.pi)</w:t>
      </w:r>
    </w:p>
    <w:p>
      <w:pPr>
        <w:pStyle w:val="PreformattedText"/>
        <w:rPr>
          <w:rFonts w:ascii="Times New Roman" w:hAnsi="Times New Roman" w:eastAsia="SimSun" w:cs="Times New Roman"/>
          <w:b/>
          <w:sz w:val="28"/>
          <w:szCs w:val="24"/>
          <w:lang w:eastAsia="zh-CN"/>
        </w:rPr>
      </w:pPr>
      <w:r>
        <w:rPr/>
        <w:t>t = t.scale(ScaleX, ScaleY)</w:t>
      </w:r>
    </w:p>
    <w:p>
      <w:pPr>
        <w:pStyle w:val="PreformattedText"/>
        <w:rPr>
          <w:rFonts w:ascii="Times New Roman" w:hAnsi="Times New Roman" w:eastAsia="SimSun" w:cs="Times New Roman"/>
          <w:b/>
          <w:sz w:val="28"/>
          <w:szCs w:val="24"/>
          <w:lang w:eastAsia="zh-CN"/>
        </w:rPr>
      </w:pPr>
      <w:r>
        <w:rPr/>
        <w:t>t = t.skew(-SkewX * math.pi, SkewY * math.pi)</w:t>
      </w:r>
    </w:p>
    <w:p>
      <w:pPr>
        <w:pStyle w:val="PreformattedText"/>
        <w:spacing w:before="0" w:after="283"/>
        <w:rPr>
          <w:rFonts w:ascii="Times New Roman" w:hAnsi="Times New Roman" w:eastAsia="SimSun" w:cs="Times New Roman"/>
          <w:b/>
          <w:sz w:val="28"/>
          <w:szCs w:val="24"/>
          <w:lang w:eastAsia="zh-CN"/>
        </w:rPr>
      </w:pPr>
      <w:r>
        <w:rPr/>
        <w:t>t = t.translate(-TCenterX, -TCenterY)</w:t>
      </w:r>
    </w:p>
    <w:p>
      <w:pPr>
        <w:pStyle w:val="Heading3"/>
        <w:rPr>
          <w:rFonts w:ascii="Times New Roman" w:hAnsi="Times New Roman" w:eastAsia="SimSun" w:cs="Times New Roman"/>
          <w:b/>
          <w:sz w:val="28"/>
          <w:szCs w:val="24"/>
          <w:lang w:eastAsia="zh-CN"/>
        </w:rPr>
      </w:pPr>
      <w:bookmarkStart w:id="12" w:name="__RefHeading___Toc21914_2335824944"/>
      <w:bookmarkEnd w:id="12"/>
      <w:r>
        <w:rPr/>
        <w:t>Variable Component Flags</w:t>
      </w:r>
    </w:p>
    <w:tbl>
      <w:tblPr>
        <w:tblW w:w="6312" w:type="dxa"/>
        <w:jc w:val="left"/>
        <w:tblInd w:w="0" w:type="dxa"/>
        <w:tblLayout w:type="fixed"/>
        <w:tblCellMar>
          <w:top w:w="28" w:type="dxa"/>
          <w:left w:w="28" w:type="dxa"/>
          <w:bottom w:w="28" w:type="dxa"/>
          <w:right w:w="28" w:type="dxa"/>
        </w:tblCellMar>
      </w:tblPr>
      <w:tblGrid>
        <w:gridCol w:w="1258"/>
        <w:gridCol w:w="5054"/>
      </w:tblGrid>
      <w:tr>
        <w:trPr>
          <w:tblHeader w:val="true"/>
        </w:trPr>
        <w:tc>
          <w:tcPr>
            <w:tcW w:w="1258" w:type="dxa"/>
            <w:tcBorders/>
            <w:vAlign w:val="center"/>
          </w:tcPr>
          <w:p>
            <w:pPr>
              <w:pStyle w:val="TableHeading"/>
              <w:rPr/>
            </w:pPr>
            <w:r>
              <w:rPr/>
              <w:t>bit number</w:t>
            </w:r>
          </w:p>
        </w:tc>
        <w:tc>
          <w:tcPr>
            <w:tcW w:w="5054" w:type="dxa"/>
            <w:tcBorders/>
            <w:vAlign w:val="center"/>
          </w:tcPr>
          <w:p>
            <w:pPr>
              <w:pStyle w:val="TableHeading"/>
              <w:rPr/>
            </w:pPr>
            <w:r>
              <w:rPr/>
              <w:t>meaning</w:t>
            </w:r>
          </w:p>
        </w:tc>
      </w:tr>
      <w:tr>
        <w:trPr/>
        <w:tc>
          <w:tcPr>
            <w:tcW w:w="1258" w:type="dxa"/>
            <w:tcBorders/>
            <w:vAlign w:val="center"/>
          </w:tcPr>
          <w:p>
            <w:pPr>
              <w:pStyle w:val="TableContents"/>
              <w:rPr/>
            </w:pPr>
            <w:r>
              <w:rPr/>
              <w:t>0</w:t>
            </w:r>
          </w:p>
        </w:tc>
        <w:tc>
          <w:tcPr>
            <w:tcW w:w="5054" w:type="dxa"/>
            <w:tcBorders/>
            <w:vAlign w:val="center"/>
          </w:tcPr>
          <w:p>
            <w:pPr>
              <w:pStyle w:val="TableContents"/>
              <w:rPr/>
            </w:pPr>
            <w:r>
              <w:rPr/>
              <w:t>Use my metrics</w:t>
            </w:r>
          </w:p>
        </w:tc>
      </w:tr>
      <w:tr>
        <w:trPr/>
        <w:tc>
          <w:tcPr>
            <w:tcW w:w="1258" w:type="dxa"/>
            <w:tcBorders/>
            <w:vAlign w:val="center"/>
          </w:tcPr>
          <w:p>
            <w:pPr>
              <w:pStyle w:val="TableContents"/>
              <w:rPr/>
            </w:pPr>
            <w:r>
              <w:rPr/>
              <w:t>1</w:t>
            </w:r>
          </w:p>
        </w:tc>
        <w:tc>
          <w:tcPr>
            <w:tcW w:w="5054" w:type="dxa"/>
            <w:tcBorders/>
            <w:vAlign w:val="center"/>
          </w:tcPr>
          <w:p>
            <w:pPr>
              <w:pStyle w:val="TableContents"/>
              <w:rPr/>
            </w:pPr>
            <w:r>
              <w:rPr/>
              <w:t>axis indices are shorts (clear = bytes, set = shorts)</w:t>
            </w:r>
          </w:p>
        </w:tc>
      </w:tr>
      <w:tr>
        <w:trPr/>
        <w:tc>
          <w:tcPr>
            <w:tcW w:w="1258" w:type="dxa"/>
            <w:tcBorders/>
            <w:vAlign w:val="center"/>
          </w:tcPr>
          <w:p>
            <w:pPr>
              <w:pStyle w:val="TableContents"/>
              <w:rPr/>
            </w:pPr>
            <w:r>
              <w:rPr/>
              <w:t>2</w:t>
            </w:r>
          </w:p>
        </w:tc>
        <w:tc>
          <w:tcPr>
            <w:tcW w:w="5054" w:type="dxa"/>
            <w:tcBorders/>
            <w:vAlign w:val="center"/>
          </w:tcPr>
          <w:p>
            <w:pPr>
              <w:pStyle w:val="TableContents"/>
              <w:rPr/>
            </w:pPr>
            <w:r>
              <w:rPr/>
              <w:t>if ScaleY is missing: take value from ScaleX</w:t>
            </w:r>
          </w:p>
        </w:tc>
      </w:tr>
      <w:tr>
        <w:trPr/>
        <w:tc>
          <w:tcPr>
            <w:tcW w:w="1258" w:type="dxa"/>
            <w:tcBorders/>
            <w:vAlign w:val="center"/>
          </w:tcPr>
          <w:p>
            <w:pPr>
              <w:pStyle w:val="TableContents"/>
              <w:rPr/>
            </w:pPr>
            <w:r>
              <w:rPr/>
              <w:t>3</w:t>
            </w:r>
          </w:p>
        </w:tc>
        <w:tc>
          <w:tcPr>
            <w:tcW w:w="5054" w:type="dxa"/>
            <w:tcBorders/>
            <w:vAlign w:val="center"/>
          </w:tcPr>
          <w:p>
            <w:pPr>
              <w:pStyle w:val="TableContents"/>
              <w:rPr/>
            </w:pPr>
            <w:r>
              <w:rPr/>
              <w:t>have TranslateX</w:t>
            </w:r>
          </w:p>
        </w:tc>
      </w:tr>
      <w:tr>
        <w:trPr/>
        <w:tc>
          <w:tcPr>
            <w:tcW w:w="1258" w:type="dxa"/>
            <w:tcBorders/>
            <w:vAlign w:val="center"/>
          </w:tcPr>
          <w:p>
            <w:pPr>
              <w:pStyle w:val="TableContents"/>
              <w:rPr/>
            </w:pPr>
            <w:r>
              <w:rPr/>
              <w:t>4</w:t>
            </w:r>
          </w:p>
        </w:tc>
        <w:tc>
          <w:tcPr>
            <w:tcW w:w="5054" w:type="dxa"/>
            <w:tcBorders/>
            <w:vAlign w:val="center"/>
          </w:tcPr>
          <w:p>
            <w:pPr>
              <w:pStyle w:val="TableContents"/>
              <w:rPr/>
            </w:pPr>
            <w:r>
              <w:rPr/>
              <w:t>have TranslateY</w:t>
            </w:r>
          </w:p>
        </w:tc>
      </w:tr>
      <w:tr>
        <w:trPr/>
        <w:tc>
          <w:tcPr>
            <w:tcW w:w="1258" w:type="dxa"/>
            <w:tcBorders/>
            <w:vAlign w:val="center"/>
          </w:tcPr>
          <w:p>
            <w:pPr>
              <w:pStyle w:val="TableContents"/>
              <w:rPr/>
            </w:pPr>
            <w:r>
              <w:rPr/>
              <w:t>5</w:t>
            </w:r>
          </w:p>
        </w:tc>
        <w:tc>
          <w:tcPr>
            <w:tcW w:w="5054" w:type="dxa"/>
            <w:tcBorders/>
            <w:vAlign w:val="center"/>
          </w:tcPr>
          <w:p>
            <w:pPr>
              <w:pStyle w:val="TableContents"/>
              <w:rPr/>
            </w:pPr>
            <w:r>
              <w:rPr/>
              <w:t>have Rotation</w:t>
            </w:r>
          </w:p>
        </w:tc>
      </w:tr>
      <w:tr>
        <w:trPr/>
        <w:tc>
          <w:tcPr>
            <w:tcW w:w="1258" w:type="dxa"/>
            <w:tcBorders/>
            <w:vAlign w:val="center"/>
          </w:tcPr>
          <w:p>
            <w:pPr>
              <w:pStyle w:val="TableContents"/>
              <w:rPr/>
            </w:pPr>
            <w:r>
              <w:rPr/>
              <w:t>6</w:t>
            </w:r>
          </w:p>
        </w:tc>
        <w:tc>
          <w:tcPr>
            <w:tcW w:w="5054" w:type="dxa"/>
            <w:tcBorders/>
            <w:vAlign w:val="center"/>
          </w:tcPr>
          <w:p>
            <w:pPr>
              <w:pStyle w:val="TableContents"/>
              <w:rPr/>
            </w:pPr>
            <w:r>
              <w:rPr/>
              <w:t>have ScaleX</w:t>
            </w:r>
          </w:p>
        </w:tc>
      </w:tr>
      <w:tr>
        <w:trPr/>
        <w:tc>
          <w:tcPr>
            <w:tcW w:w="1258" w:type="dxa"/>
            <w:tcBorders/>
            <w:vAlign w:val="center"/>
          </w:tcPr>
          <w:p>
            <w:pPr>
              <w:pStyle w:val="TableContents"/>
              <w:rPr/>
            </w:pPr>
            <w:r>
              <w:rPr/>
              <w:t>7</w:t>
            </w:r>
          </w:p>
        </w:tc>
        <w:tc>
          <w:tcPr>
            <w:tcW w:w="5054" w:type="dxa"/>
            <w:tcBorders/>
            <w:vAlign w:val="center"/>
          </w:tcPr>
          <w:p>
            <w:pPr>
              <w:pStyle w:val="TableContents"/>
              <w:rPr/>
            </w:pPr>
            <w:r>
              <w:rPr/>
              <w:t>have ScaleY</w:t>
            </w:r>
          </w:p>
        </w:tc>
      </w:tr>
      <w:tr>
        <w:trPr/>
        <w:tc>
          <w:tcPr>
            <w:tcW w:w="1258" w:type="dxa"/>
            <w:tcBorders/>
            <w:vAlign w:val="center"/>
          </w:tcPr>
          <w:p>
            <w:pPr>
              <w:pStyle w:val="TableContents"/>
              <w:rPr/>
            </w:pPr>
            <w:r>
              <w:rPr/>
              <w:t>8</w:t>
            </w:r>
          </w:p>
        </w:tc>
        <w:tc>
          <w:tcPr>
            <w:tcW w:w="5054" w:type="dxa"/>
            <w:tcBorders/>
            <w:vAlign w:val="center"/>
          </w:tcPr>
          <w:p>
            <w:pPr>
              <w:pStyle w:val="TableContents"/>
              <w:rPr/>
            </w:pPr>
            <w:r>
              <w:rPr/>
              <w:t>have SkewX</w:t>
            </w:r>
          </w:p>
        </w:tc>
      </w:tr>
      <w:tr>
        <w:trPr/>
        <w:tc>
          <w:tcPr>
            <w:tcW w:w="1258" w:type="dxa"/>
            <w:tcBorders/>
            <w:vAlign w:val="center"/>
          </w:tcPr>
          <w:p>
            <w:pPr>
              <w:pStyle w:val="TableContents"/>
              <w:rPr/>
            </w:pPr>
            <w:r>
              <w:rPr/>
              <w:t>9</w:t>
            </w:r>
          </w:p>
        </w:tc>
        <w:tc>
          <w:tcPr>
            <w:tcW w:w="5054" w:type="dxa"/>
            <w:tcBorders/>
            <w:vAlign w:val="center"/>
          </w:tcPr>
          <w:p>
            <w:pPr>
              <w:pStyle w:val="TableContents"/>
              <w:rPr/>
            </w:pPr>
            <w:r>
              <w:rPr/>
              <w:t>have SkewY</w:t>
            </w:r>
          </w:p>
        </w:tc>
      </w:tr>
      <w:tr>
        <w:trPr/>
        <w:tc>
          <w:tcPr>
            <w:tcW w:w="1258" w:type="dxa"/>
            <w:tcBorders/>
            <w:vAlign w:val="center"/>
          </w:tcPr>
          <w:p>
            <w:pPr>
              <w:pStyle w:val="TableContents"/>
              <w:rPr/>
            </w:pPr>
            <w:r>
              <w:rPr/>
              <w:t>10</w:t>
            </w:r>
          </w:p>
        </w:tc>
        <w:tc>
          <w:tcPr>
            <w:tcW w:w="5054" w:type="dxa"/>
            <w:tcBorders/>
            <w:vAlign w:val="center"/>
          </w:tcPr>
          <w:p>
            <w:pPr>
              <w:pStyle w:val="TableContents"/>
              <w:rPr/>
            </w:pPr>
            <w:r>
              <w:rPr/>
              <w:t>have TCenterX</w:t>
            </w:r>
          </w:p>
        </w:tc>
      </w:tr>
      <w:tr>
        <w:trPr/>
        <w:tc>
          <w:tcPr>
            <w:tcW w:w="1258" w:type="dxa"/>
            <w:tcBorders/>
            <w:vAlign w:val="center"/>
          </w:tcPr>
          <w:p>
            <w:pPr>
              <w:pStyle w:val="TableContents"/>
              <w:rPr/>
            </w:pPr>
            <w:r>
              <w:rPr/>
              <w:t>11</w:t>
            </w:r>
          </w:p>
        </w:tc>
        <w:tc>
          <w:tcPr>
            <w:tcW w:w="5054" w:type="dxa"/>
            <w:tcBorders/>
            <w:vAlign w:val="center"/>
          </w:tcPr>
          <w:p>
            <w:pPr>
              <w:pStyle w:val="TableContents"/>
              <w:rPr/>
            </w:pPr>
            <w:r>
              <w:rPr/>
              <w:t>have TCenterY</w:t>
            </w:r>
          </w:p>
        </w:tc>
      </w:tr>
      <w:tr>
        <w:trPr/>
        <w:tc>
          <w:tcPr>
            <w:tcW w:w="1258" w:type="dxa"/>
            <w:tcBorders/>
            <w:vAlign w:val="center"/>
          </w:tcPr>
          <w:p>
            <w:pPr>
              <w:pStyle w:val="TableContents"/>
              <w:rPr/>
            </w:pPr>
            <w:r>
              <w:rPr/>
              <w:t>12</w:t>
            </w:r>
          </w:p>
        </w:tc>
        <w:tc>
          <w:tcPr>
            <w:tcW w:w="5054" w:type="dxa"/>
            <w:tcBorders/>
            <w:vAlign w:val="center"/>
          </w:tcPr>
          <w:p>
            <w:pPr>
              <w:pStyle w:val="TableContents"/>
              <w:rPr/>
            </w:pPr>
            <w:r>
              <w:rPr/>
              <w:t>gid is 24 bit</w:t>
            </w:r>
          </w:p>
        </w:tc>
      </w:tr>
      <w:tr>
        <w:trPr/>
        <w:tc>
          <w:tcPr>
            <w:tcW w:w="1258" w:type="dxa"/>
            <w:tcBorders/>
            <w:vAlign w:val="center"/>
          </w:tcPr>
          <w:p>
            <w:pPr>
              <w:pStyle w:val="TableContents"/>
              <w:rPr/>
            </w:pPr>
            <w:r>
              <w:rPr/>
              <w:t>13</w:t>
            </w:r>
          </w:p>
        </w:tc>
        <w:tc>
          <w:tcPr>
            <w:tcW w:w="5054" w:type="dxa"/>
            <w:tcBorders/>
            <w:vAlign w:val="center"/>
          </w:tcPr>
          <w:p>
            <w:pPr>
              <w:pStyle w:val="TableContents"/>
              <w:rPr/>
            </w:pPr>
            <w:r>
              <w:rPr/>
              <w:t>axis indices have variation</w:t>
            </w:r>
          </w:p>
        </w:tc>
      </w:tr>
      <w:tr>
        <w:trPr/>
        <w:tc>
          <w:tcPr>
            <w:tcW w:w="1258" w:type="dxa"/>
            <w:tcBorders/>
            <w:vAlign w:val="center"/>
          </w:tcPr>
          <w:p>
            <w:pPr>
              <w:pStyle w:val="TableContents"/>
              <w:rPr/>
            </w:pPr>
            <w:r>
              <w:rPr/>
              <w:t>14</w:t>
            </w:r>
          </w:p>
        </w:tc>
        <w:tc>
          <w:tcPr>
            <w:tcW w:w="5054" w:type="dxa"/>
            <w:tcBorders/>
            <w:vAlign w:val="center"/>
          </w:tcPr>
          <w:p>
            <w:pPr>
              <w:pStyle w:val="TableContents"/>
              <w:rPr/>
            </w:pPr>
            <w:r>
              <w:rPr/>
              <w:t>reset unspecified axes</w:t>
            </w:r>
          </w:p>
        </w:tc>
      </w:tr>
      <w:tr>
        <w:trPr/>
        <w:tc>
          <w:tcPr>
            <w:tcW w:w="1258" w:type="dxa"/>
            <w:tcBorders/>
            <w:vAlign w:val="center"/>
          </w:tcPr>
          <w:p>
            <w:pPr>
              <w:pStyle w:val="TableContents"/>
              <w:rPr/>
            </w:pPr>
            <w:r>
              <w:rPr/>
              <w:t>15</w:t>
            </w:r>
          </w:p>
        </w:tc>
        <w:tc>
          <w:tcPr>
            <w:tcW w:w="5054" w:type="dxa"/>
            <w:tcBorders/>
            <w:vAlign w:val="center"/>
          </w:tcPr>
          <w:p>
            <w:pPr>
              <w:pStyle w:val="TableContents"/>
              <w:rPr/>
            </w:pPr>
            <w:r>
              <w:rPr/>
              <w:t>(reserved, set to 0)</w:t>
            </w:r>
          </w:p>
        </w:tc>
      </w:tr>
    </w:tbl>
    <w:p>
      <w:pPr>
        <w:pStyle w:val="Heading2"/>
        <w:rPr>
          <w:rFonts w:ascii="Times New Roman" w:hAnsi="Times New Roman" w:eastAsia="SimSun" w:cs="Times New Roman"/>
          <w:b/>
          <w:sz w:val="28"/>
          <w:szCs w:val="24"/>
          <w:lang w:eastAsia="zh-CN"/>
        </w:rPr>
      </w:pPr>
      <w:bookmarkStart w:id="13" w:name="__RefHeading___Toc21916_2335824944"/>
      <w:bookmarkStart w:id="14" w:name="user-content-processing"/>
      <w:bookmarkEnd w:id="13"/>
      <w:bookmarkEnd w:id="14"/>
      <w:r>
        <w:rPr/>
        <w:t>Processing</w:t>
      </w:r>
    </w:p>
    <w:p>
      <w:pPr>
        <w:pStyle w:val="TextBody"/>
        <w:spacing w:before="1" w:after="283"/>
        <w:rPr>
          <w:rFonts w:ascii="Times New Roman" w:hAnsi="Times New Roman" w:eastAsia="SimSun" w:cs="Times New Roman"/>
          <w:b/>
          <w:sz w:val="28"/>
          <w:szCs w:val="24"/>
          <w:lang w:eastAsia="zh-CN"/>
        </w:rPr>
      </w:pPr>
      <w:r>
        <w:rPr/>
        <w:t xml:space="preserve">Variations of composite glyphs are processed this way: For each composite glyph, a vector of coordinate points is prepared, and its variation applied from the </w:t>
      </w:r>
      <w:r>
        <w:rPr>
          <w:rStyle w:val="SourceText"/>
        </w:rPr>
        <w:t>gvar</w:t>
      </w:r>
      <w:r>
        <w:rPr/>
        <w:t xml:space="preserve"> table. The coordinate points for the composite glyph are a concatenation of those for each variable component in order. For the purposes of </w:t>
      </w:r>
      <w:r>
        <w:rPr>
          <w:rStyle w:val="SourceText"/>
        </w:rPr>
        <w:t>gvar</w:t>
      </w:r>
      <w:r>
        <w:rPr/>
        <w:t xml:space="preserve"> delta IUP calculations, each point is considered to be in its own contour.</w:t>
      </w:r>
    </w:p>
    <w:p>
      <w:pPr>
        <w:pStyle w:val="TextBody"/>
        <w:spacing w:before="1" w:after="283"/>
        <w:rPr>
          <w:rFonts w:ascii="Times New Roman" w:hAnsi="Times New Roman" w:eastAsia="SimSun" w:cs="Times New Roman"/>
          <w:b/>
          <w:sz w:val="28"/>
          <w:szCs w:val="24"/>
          <w:lang w:eastAsia="zh-CN"/>
        </w:rPr>
      </w:pPr>
      <w:r>
        <w:rPr/>
        <w:t>The coordinate points for each variable component consist of those for each axis value if flag bit 13 is set, represented as the X value of a coordinate point; followed by up to five points representing the transformation. The five possible points encode, in order, in their X,Y components, the following transformation components: (</w:t>
      </w:r>
      <w:r>
        <w:rPr>
          <w:rStyle w:val="SourceText"/>
        </w:rPr>
        <w:t>TranslateX</w:t>
      </w:r>
      <w:r>
        <w:rPr/>
        <w:t>,</w:t>
      </w:r>
      <w:r>
        <w:rPr>
          <w:rStyle w:val="SourceText"/>
        </w:rPr>
        <w:t>TranslateY</w:t>
      </w:r>
      <w:r>
        <w:rPr/>
        <w:t>), (</w:t>
      </w:r>
      <w:r>
        <w:rPr>
          <w:rStyle w:val="SourceText"/>
        </w:rPr>
        <w:t>Rotation</w:t>
      </w:r>
      <w:r>
        <w:rPr/>
        <w:t>,0), (</w:t>
      </w:r>
      <w:r>
        <w:rPr>
          <w:rStyle w:val="SourceText"/>
        </w:rPr>
        <w:t>ScaleX</w:t>
      </w:r>
      <w:r>
        <w:rPr/>
        <w:t>,</w:t>
      </w:r>
      <w:r>
        <w:rPr>
          <w:rStyle w:val="SourceText"/>
        </w:rPr>
        <w:t>ScaleY</w:t>
      </w:r>
      <w:r>
        <w:rPr/>
        <w:t>), (</w:t>
      </w:r>
      <w:r>
        <w:rPr>
          <w:rStyle w:val="SourceText"/>
        </w:rPr>
        <w:t>SkewX</w:t>
      </w:r>
      <w:r>
        <w:rPr/>
        <w:t>,</w:t>
      </w:r>
      <w:r>
        <w:rPr>
          <w:rStyle w:val="SourceText"/>
        </w:rPr>
        <w:t>SkewY</w:t>
      </w:r>
      <w:r>
        <w:rPr/>
        <w:t>), (</w:t>
      </w:r>
      <w:r>
        <w:rPr>
          <w:rStyle w:val="SourceText"/>
        </w:rPr>
        <w:t>TCenterX</w:t>
      </w:r>
      <w:r>
        <w:rPr/>
        <w:t>,</w:t>
      </w:r>
      <w:r>
        <w:rPr>
          <w:rStyle w:val="SourceText"/>
        </w:rPr>
        <w:t>TCenterY</w:t>
      </w:r>
      <w:r>
        <w:rPr/>
        <w:t>). Only the transformation components present according to the flag bits are encoded. For example, the point (</w:t>
      </w:r>
      <w:r>
        <w:rPr>
          <w:rStyle w:val="SourceText"/>
        </w:rPr>
        <w:t>TranslateX</w:t>
      </w:r>
      <w:r>
        <w:rPr/>
        <w:t>,</w:t>
      </w:r>
      <w:r>
        <w:rPr>
          <w:rStyle w:val="SourceText"/>
        </w:rPr>
        <w:t>TranslateY</w:t>
      </w:r>
      <w:r>
        <w:rPr/>
        <w:t>) is encoded if and only if either of flag 3 or 4 is set. If that point is encoded, the variations from it will be applied to the transformation components even if a specific component has its flag bit off. For example, if only flag 3 is set (</w:t>
      </w:r>
      <w:r>
        <w:rPr>
          <w:rStyle w:val="SourceText"/>
        </w:rPr>
        <w:t>TranslateX</w:t>
      </w:r>
      <w:r>
        <w:rPr/>
        <w:t xml:space="preserve">), any variations for </w:t>
      </w:r>
      <w:r>
        <w:rPr>
          <w:rStyle w:val="SourceText"/>
        </w:rPr>
        <w:t>TranslateY</w:t>
      </w:r>
      <w:r>
        <w:rPr/>
        <w:t xml:space="preserve"> are still applied to the </w:t>
      </w:r>
      <w:r>
        <w:rPr>
          <w:rStyle w:val="SourceText"/>
        </w:rPr>
        <w:t>TranslateY</w:t>
      </w:r>
      <w:r>
        <w:rPr/>
        <w:t xml:space="preserve"> of the transformation.</w:t>
      </w:r>
    </w:p>
    <w:p>
      <w:pPr>
        <w:pStyle w:val="TextBody"/>
        <w:spacing w:before="1" w:after="283"/>
        <w:rPr>
          <w:rFonts w:ascii="Times New Roman" w:hAnsi="Times New Roman" w:eastAsia="SimSun" w:cs="Times New Roman"/>
          <w:b/>
          <w:sz w:val="28"/>
          <w:szCs w:val="24"/>
          <w:lang w:eastAsia="zh-CN"/>
        </w:rPr>
      </w:pPr>
      <w:r>
        <w:rPr/>
        <w:t xml:space="preserve">The component glyphs to be loaded use the coordinate values specified (with any variations applied if present). For any unspecified axis, the value used depends on flag bit 14. If the flag is set, then the normalized value zero is used. If the flag is clear the axis values from current glyph being processed (which itself might recursively come from the font or its own parent glyphs) are used. For example, if the font variations have </w:t>
      </w:r>
      <w:r>
        <w:rPr>
          <w:rStyle w:val="SourceText"/>
        </w:rPr>
        <w:t>wght</w:t>
      </w:r>
      <w:r>
        <w:rPr/>
        <w:t xml:space="preserve">=.25 (normalized), and current glyph being processed is using </w:t>
      </w:r>
      <w:r>
        <w:rPr>
          <w:rStyle w:val="SourceText"/>
        </w:rPr>
        <w:t>wght</w:t>
      </w:r>
      <w:r>
        <w:rPr/>
        <w:t xml:space="preserve">=.5 because it was referenced from another VarComposite glyph itself, when referring to a component that does </w:t>
      </w:r>
      <w:r>
        <w:rPr>
          <w:rStyle w:val="Emphasis"/>
        </w:rPr>
        <w:t>not</w:t>
      </w:r>
      <w:r>
        <w:rPr/>
        <w:t xml:space="preserve"> specify the </w:t>
      </w:r>
      <w:r>
        <w:rPr>
          <w:rStyle w:val="SourceText"/>
        </w:rPr>
        <w:t>wght</w:t>
      </w:r>
      <w:r>
        <w:rPr/>
        <w:t xml:space="preserve"> axis, if flag bit 14 is set, then the value of </w:t>
      </w:r>
      <w:r>
        <w:rPr>
          <w:rStyle w:val="SourceText"/>
        </w:rPr>
        <w:t>wght</w:t>
      </w:r>
      <w:r>
        <w:rPr/>
        <w:t xml:space="preserve">=0 (default) will be used. If flag bit 14 is clear, </w:t>
      </w:r>
      <w:r>
        <w:rPr>
          <w:rStyle w:val="SourceText"/>
        </w:rPr>
        <w:t>wght</w:t>
      </w:r>
      <w:r>
        <w:rPr/>
        <w:t>=.5 (from current glyph) will be used.</w:t>
      </w:r>
    </w:p>
    <w:p>
      <w:pPr>
        <w:pStyle w:val="TextBody"/>
        <w:spacing w:before="1" w:after="283"/>
        <w:rPr>
          <w:rFonts w:ascii="Times New Roman" w:hAnsi="Times New Roman" w:eastAsia="SimSun" w:cs="Times New Roman"/>
          <w:b/>
          <w:sz w:val="28"/>
          <w:szCs w:val="24"/>
          <w:lang w:eastAsia="zh-CN"/>
        </w:rPr>
      </w:pPr>
      <w:r>
        <w:rPr>
          <w:rStyle w:val="StrongEmphasis"/>
        </w:rPr>
        <w:t>Note:</w:t>
      </w:r>
      <w:r>
        <w:rPr/>
        <w:t xml:space="preserve"> While it is the (undocumented?) behavior of the </w:t>
      </w:r>
      <w:r>
        <w:rPr>
          <w:rStyle w:val="SourceText"/>
        </w:rPr>
        <w:t>glyf</w:t>
      </w:r>
      <w:r>
        <w:rPr/>
        <w:t xml:space="preserve"> table that glyphs loaded are shifted to align their LSB to that specified in the </w:t>
      </w:r>
      <w:r>
        <w:rPr>
          <w:rStyle w:val="SourceText"/>
        </w:rPr>
        <w:t>hmtx</w:t>
      </w:r>
      <w:r>
        <w:rPr/>
        <w:t xml:space="preserve"> table, much like regular Composite glyphs, this does not apply to component glyphs being loaded as part of a VariableComposite glyph.</w:t>
      </w:r>
    </w:p>
    <w:p>
      <w:pPr>
        <w:pStyle w:val="TextBody"/>
        <w:spacing w:before="1" w:after="283"/>
        <w:rPr>
          <w:rFonts w:ascii="Times New Roman" w:hAnsi="Times New Roman" w:eastAsia="SimSun" w:cs="Times New Roman"/>
          <w:b/>
          <w:sz w:val="28"/>
          <w:szCs w:val="24"/>
          <w:lang w:eastAsia="zh-CN"/>
        </w:rPr>
      </w:pPr>
      <w:r>
        <w:rPr>
          <w:rStyle w:val="StrongEmphasis"/>
        </w:rPr>
        <w:t>Note:</w:t>
      </w:r>
      <w:r>
        <w:rPr/>
        <w:t xml:space="preserve"> A static (non-variable) font that uses VarComposite glyphs, </w:t>
      </w:r>
      <w:r>
        <w:rPr>
          <w:rStyle w:val="Emphasis"/>
        </w:rPr>
        <w:t>would not</w:t>
      </w:r>
      <w:r>
        <w:rPr/>
        <w:t xml:space="preserve"> have </w:t>
      </w:r>
      <w:r>
        <w:rPr>
          <w:rStyle w:val="SourceText"/>
        </w:rPr>
        <w:t>fvar</w:t>
      </w:r>
      <w:r>
        <w:rPr/>
        <w:t xml:space="preserve"> / </w:t>
      </w:r>
      <w:r>
        <w:rPr>
          <w:rStyle w:val="SourceText"/>
        </w:rPr>
        <w:t>avar</w:t>
      </w:r>
      <w:r>
        <w:rPr/>
        <w:t xml:space="preserve"> tables but </w:t>
      </w:r>
      <w:r>
        <w:rPr>
          <w:rStyle w:val="Emphasis"/>
        </w:rPr>
        <w:t>would</w:t>
      </w:r>
      <w:r>
        <w:rPr/>
        <w:t xml:space="preserve"> have the </w:t>
      </w:r>
      <w:r>
        <w:rPr>
          <w:rStyle w:val="SourceText"/>
        </w:rPr>
        <w:t>gvar</w:t>
      </w:r>
      <w:r>
        <w:rPr/>
        <w:t xml:space="preserve"> table. This combination is possible because the </w:t>
      </w:r>
      <w:r>
        <w:rPr>
          <w:rStyle w:val="SourceText"/>
        </w:rPr>
        <w:t>gvar</w:t>
      </w:r>
      <w:r>
        <w:rPr/>
        <w:t xml:space="preserve"> table encodes its own number-of-axes, and the axes in this proposal are specified in the normalized space.</w:t>
      </w:r>
    </w:p>
    <w:p>
      <w:pPr>
        <w:pStyle w:val="Heading1"/>
        <w:ind w:left="104" w:right="0" w:hanging="0"/>
        <w:rPr>
          <w:rFonts w:ascii="Times New Roman" w:hAnsi="Times New Roman" w:eastAsia="SimSun" w:cs="Times New Roman"/>
          <w:b/>
          <w:sz w:val="28"/>
          <w:szCs w:val="24"/>
          <w:lang w:eastAsia="zh-CN"/>
        </w:rPr>
      </w:pPr>
      <w:bookmarkStart w:id="15" w:name="__RefHeading___Toc21918_2335824944"/>
      <w:bookmarkEnd w:id="15"/>
      <w:r>
        <w:rPr/>
        <w:t>Increased capacity: support more than 65535 glyphs in a font.</w:t>
      </w:r>
    </w:p>
    <w:p>
      <w:pPr>
        <w:pStyle w:val="TextBody"/>
        <w:rPr>
          <w:rFonts w:ascii="Times New Roman" w:hAnsi="Times New Roman" w:eastAsia="SimSun" w:cs="Times New Roman"/>
          <w:b/>
          <w:sz w:val="28"/>
          <w:szCs w:val="24"/>
          <w:lang w:eastAsia="zh-CN"/>
        </w:rPr>
      </w:pPr>
      <w:r>
        <w:rPr>
          <w:lang w:eastAsia="zh-CN"/>
        </w:rPr>
        <w:t>This change extends the number of glyphs in the font from 65,535 (16 bit</w:t>
      </w:r>
      <w:r>
        <w:rPr>
          <w:lang w:eastAsia="zh-CN"/>
        </w:rPr>
        <w:t>s</w:t>
      </w:r>
      <w:r>
        <w:rPr>
          <w:lang w:eastAsia="zh-CN"/>
        </w:rPr>
        <w:t>) to 16,777,216 (24 bit</w:t>
      </w:r>
      <w:r>
        <w:rPr>
          <w:lang w:eastAsia="zh-CN"/>
        </w:rPr>
        <w:t>s</w:t>
      </w:r>
      <w:r>
        <w:rPr>
          <w:lang w:eastAsia="zh-CN"/>
        </w:rPr>
        <w:t>).</w:t>
      </w:r>
    </w:p>
    <w:p>
      <w:pPr>
        <w:pStyle w:val="TextBody"/>
        <w:rPr/>
      </w:pPr>
      <w:r>
        <w:rPr/>
      </w:r>
    </w:p>
    <w:p>
      <w:pPr>
        <w:pStyle w:val="TextBody"/>
        <w:spacing w:before="1" w:after="283"/>
        <w:rPr>
          <w:rFonts w:ascii="Times New Roman" w:hAnsi="Times New Roman" w:eastAsia="SimSun" w:cs="Times New Roman"/>
          <w:b/>
          <w:sz w:val="28"/>
          <w:szCs w:val="24"/>
          <w:lang w:eastAsia="zh-CN"/>
        </w:rPr>
      </w:pPr>
      <w:r>
        <w:rPr/>
        <w:t>T</w:t>
      </w:r>
      <w:r>
        <w:rPr/>
        <w:t xml:space="preserve">he number of glyphs in the font is encoded in the </w:t>
      </w:r>
      <w:r>
        <w:rPr>
          <w:rStyle w:val="SourceText"/>
        </w:rPr>
        <w:t>maxp</w:t>
      </w:r>
      <w:r>
        <w:rPr/>
        <w:t xml:space="preserve"> table and is limited to 65535. In this proposal, the number of glyphs in the font will be calculated based on the length of the </w:t>
      </w:r>
      <w:r>
        <w:rPr>
          <w:rStyle w:val="SourceText"/>
        </w:rPr>
        <w:t>loca</w:t>
      </w:r>
      <w:r>
        <w:rPr/>
        <w:t xml:space="preserve"> table. Moreover, tables that encode glyph indices as two-byte numbers are extended with versions of structures that encode 24-bit glyph indices.</w:t>
      </w:r>
    </w:p>
    <w:p>
      <w:pPr>
        <w:pStyle w:val="TextBody"/>
        <w:spacing w:before="1" w:after="283"/>
        <w:rPr>
          <w:rFonts w:ascii="Times New Roman" w:hAnsi="Times New Roman" w:eastAsia="SimSun" w:cs="Times New Roman"/>
          <w:b/>
          <w:sz w:val="28"/>
          <w:szCs w:val="24"/>
          <w:lang w:eastAsia="zh-CN"/>
        </w:rPr>
      </w:pPr>
      <w:r>
        <w:rPr/>
        <w:t>While extending tables to encode 24-bit glyph indices, many tables are also extended to use 24-bit offsets instead of 16-bit offsets to allow for larger tables necessary for the larger number of glyphs.</w:t>
      </w:r>
    </w:p>
    <w:p>
      <w:pPr>
        <w:pStyle w:val="Heading2"/>
        <w:rPr>
          <w:rFonts w:ascii="Times New Roman" w:hAnsi="Times New Roman" w:eastAsia="SimSun" w:cs="Times New Roman"/>
          <w:b/>
          <w:sz w:val="28"/>
          <w:szCs w:val="24"/>
          <w:lang w:eastAsia="zh-CN"/>
        </w:rPr>
      </w:pPr>
      <w:bookmarkStart w:id="16" w:name="__RefHeading___Toc21920_2335824944"/>
      <w:bookmarkStart w:id="17" w:name="user-content-per-table-changes"/>
      <w:bookmarkEnd w:id="16"/>
      <w:bookmarkEnd w:id="17"/>
      <w:r>
        <w:rPr/>
        <w:t>Per-table changes</w:t>
      </w:r>
    </w:p>
    <w:p>
      <w:pPr>
        <w:pStyle w:val="Heading3"/>
        <w:rPr>
          <w:rFonts w:ascii="Times New Roman" w:hAnsi="Times New Roman" w:eastAsia="SimSun" w:cs="Times New Roman"/>
          <w:b/>
          <w:sz w:val="28"/>
          <w:szCs w:val="24"/>
          <w:lang w:eastAsia="zh-CN"/>
        </w:rPr>
      </w:pPr>
      <w:bookmarkStart w:id="18" w:name="__RefHeading___Toc21922_2335824944"/>
      <w:bookmarkStart w:id="19" w:name="user-content-maxp-table"/>
      <w:bookmarkEnd w:id="18"/>
      <w:bookmarkEnd w:id="19"/>
      <w:r>
        <w:rPr>
          <w:rStyle w:val="SourceText"/>
        </w:rPr>
        <w:t>maxp</w:t>
      </w:r>
      <w:r>
        <w:rPr/>
        <w:t xml:space="preserve"> table</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numGlyphs</w:t>
      </w:r>
      <w:r>
        <w:rPr/>
        <w:t xml:space="preserve"> field of the </w:t>
      </w:r>
      <w:r>
        <w:rPr>
          <w:rStyle w:val="SourceText"/>
        </w:rPr>
        <w:t>maxp</w:t>
      </w:r>
      <w:r>
        <w:rPr/>
        <w:t xml:space="preserve"> table for a font with more than 65,535 glyphs </w:t>
      </w:r>
      <w:r>
        <w:rPr>
          <w:i/>
          <w:iCs/>
        </w:rPr>
        <w:t>should</w:t>
      </w:r>
      <w:r>
        <w:rPr/>
        <w:t xml:space="preserve"> be set to 65,535.</w:t>
      </w:r>
    </w:p>
    <w:p>
      <w:pPr>
        <w:pStyle w:val="Heading3"/>
        <w:rPr>
          <w:rFonts w:ascii="Times New Roman" w:hAnsi="Times New Roman" w:eastAsia="SimSun" w:cs="Times New Roman"/>
          <w:b/>
          <w:sz w:val="28"/>
          <w:szCs w:val="24"/>
          <w:lang w:eastAsia="zh-CN"/>
        </w:rPr>
      </w:pPr>
      <w:bookmarkStart w:id="20" w:name="__RefHeading___Toc21924_2335824944"/>
      <w:bookmarkStart w:id="21" w:name="user-content-loca--glyf-tables"/>
      <w:bookmarkEnd w:id="20"/>
      <w:bookmarkEnd w:id="21"/>
      <w:r>
        <w:rPr>
          <w:rStyle w:val="SourceText"/>
        </w:rPr>
        <w:t>loca</w:t>
      </w:r>
      <w:r>
        <w:rPr/>
        <w:t xml:space="preserve"> / </w:t>
      </w:r>
      <w:r>
        <w:rPr>
          <w:rStyle w:val="SourceText"/>
        </w:rPr>
        <w:t>glyf</w:t>
      </w:r>
      <w:r>
        <w:rPr/>
        <w:t xml:space="preserve"> tables</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loca</w:t>
      </w:r>
      <w:r>
        <w:rPr/>
        <w:t xml:space="preserve"> / </w:t>
      </w:r>
      <w:r>
        <w:rPr>
          <w:rStyle w:val="SourceText"/>
        </w:rPr>
        <w:t>glyf</w:t>
      </w:r>
      <w:r>
        <w:rPr/>
        <w:t xml:space="preserve"> tables are not required to have the same number of glyphs as specified in the </w:t>
      </w:r>
      <w:r>
        <w:rPr>
          <w:rStyle w:val="SourceText"/>
        </w:rPr>
        <w:t>maxp</w:t>
      </w:r>
      <w:r>
        <w:rPr/>
        <w:t xml:space="preserve"> table. </w:t>
      </w:r>
      <w:r>
        <w:rPr/>
        <w:t>T</w:t>
      </w:r>
      <w:r>
        <w:rPr/>
        <w:t xml:space="preserve">he length of the </w:t>
      </w:r>
      <w:r>
        <w:rPr>
          <w:rStyle w:val="SourceText"/>
        </w:rPr>
        <w:t>loca</w:t>
      </w:r>
      <w:r>
        <w:rPr/>
        <w:t xml:space="preserve"> table now determines the number of glyphs in the font, which can be larger than </w:t>
      </w:r>
      <w:r>
        <w:rPr/>
        <w:t>maxp.</w:t>
      </w:r>
      <w:r>
        <w:rPr>
          <w:rStyle w:val="SourceText"/>
        </w:rPr>
        <w:t>numGlyphs</w:t>
      </w:r>
      <w:r>
        <w:rPr/>
        <w:t>.</w:t>
      </w:r>
    </w:p>
    <w:p>
      <w:pPr>
        <w:pStyle w:val="TextBody"/>
        <w:spacing w:before="1" w:after="283"/>
        <w:rPr>
          <w:rFonts w:ascii="Times New Roman" w:hAnsi="Times New Roman" w:eastAsia="SimSun" w:cs="Times New Roman"/>
          <w:b/>
          <w:sz w:val="28"/>
          <w:szCs w:val="24"/>
          <w:lang w:eastAsia="zh-CN"/>
        </w:rPr>
      </w:pPr>
      <w:r>
        <w:rPr/>
        <w:t xml:space="preserve">For a Format 0 </w:t>
      </w:r>
      <w:r>
        <w:rPr>
          <w:rFonts w:ascii="Courier New" w:hAnsi="Courier New"/>
        </w:rPr>
        <w:t>loca</w:t>
      </w:r>
      <w:r>
        <w:rPr/>
        <w:t xml:space="preserve"> table (</w:t>
      </w:r>
      <w:r>
        <w:rPr>
          <w:rFonts w:ascii="Courier New" w:hAnsi="Courier New"/>
        </w:rPr>
        <w:t>head.indexToLocFormat = 0</w:t>
      </w:r>
      <w:r>
        <w:rPr/>
        <w:t xml:space="preserve">), the number of glyphs in the font is the length of the table divided by 2; for a Format 1 </w:t>
      </w:r>
      <w:r>
        <w:rPr>
          <w:rFonts w:ascii="Courier New" w:hAnsi="Courier New"/>
        </w:rPr>
        <w:t>loca</w:t>
      </w:r>
      <w:r>
        <w:rPr/>
        <w:t xml:space="preserve"> table (</w:t>
      </w:r>
      <w:r>
        <w:rPr>
          <w:rFonts w:ascii="Courier New" w:hAnsi="Courier New"/>
        </w:rPr>
        <w:t>head.indexToLocFormat = 1</w:t>
      </w:r>
      <w:r>
        <w:rPr/>
        <w:t>), the number of glyphs in the font is the length of the table divided by 4.</w:t>
      </w:r>
    </w:p>
    <w:p>
      <w:pPr>
        <w:pStyle w:val="Heading4"/>
        <w:rPr>
          <w:rFonts w:ascii="Times New Roman" w:hAnsi="Times New Roman" w:eastAsia="SimSun" w:cs="Times New Roman"/>
          <w:b/>
          <w:sz w:val="28"/>
          <w:szCs w:val="24"/>
          <w:lang w:eastAsia="zh-CN"/>
        </w:rPr>
      </w:pPr>
      <w:bookmarkStart w:id="22" w:name="__RefHeading___Toc21926_2335824944"/>
      <w:bookmarkStart w:id="23" w:name="user-content-composite-glyphs"/>
      <w:bookmarkEnd w:id="22"/>
      <w:bookmarkEnd w:id="23"/>
      <w:r>
        <w:rPr/>
        <w:t>Composite glyphs</w:t>
      </w:r>
    </w:p>
    <w:p>
      <w:pPr>
        <w:pStyle w:val="TextBody"/>
        <w:spacing w:before="1" w:after="283"/>
        <w:rPr>
          <w:rFonts w:ascii="Times New Roman" w:hAnsi="Times New Roman" w:eastAsia="SimSun" w:cs="Times New Roman"/>
          <w:b/>
          <w:sz w:val="28"/>
          <w:szCs w:val="24"/>
          <w:lang w:eastAsia="zh-CN"/>
        </w:rPr>
      </w:pPr>
      <w:r>
        <w:rPr/>
        <w:t>Add a new flag to allow encoding 24bit glyph indices in composite glyphs:</w:t>
      </w:r>
    </w:p>
    <w:p>
      <w:pPr>
        <w:pStyle w:val="PreformattedText"/>
        <w:rPr>
          <w:rFonts w:ascii="Times New Roman" w:hAnsi="Times New Roman" w:eastAsia="SimSun" w:cs="Times New Roman"/>
          <w:b/>
          <w:sz w:val="28"/>
          <w:szCs w:val="24"/>
          <w:lang w:eastAsia="zh-CN"/>
        </w:rPr>
      </w:pPr>
      <w:r>
        <w:rPr>
          <w:rStyle w:val="SourceText"/>
        </w:rPr>
        <w:t>enum ComponentGlyphFlags</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ARG_1_AND_2_ARE_WORDS       = 0x0001,</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ARGS_ARE_XY_VALUES          = 0x0002,</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ROUND_XY_TO_GRID            = 0x0004,</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WE_HAVE_A_SCALE             = 0x0008,</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MORE_COMPONENTS             = 0x0020,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WE_HAVE_AN_X_AND_Y_SCALE    = 0x0040,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WE_HAVE_A_TWO_BY_TWO        = 0x0080,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WE_HAVE_INSTRUCTIONS        = 0x0100,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USE_MY_METRICS              = 0x0200,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OVERLAP_COMPOUND            = 0x0400,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SCALED_COMPONENT_OFFSET     = 0x0800,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UNSCALED_COMPONENT_OFFSET   = 0x1000,</w:t>
      </w:r>
    </w:p>
    <w:p>
      <w:pPr>
        <w:pStyle w:val="PreformattedText"/>
        <w:rPr>
          <w:rFonts w:ascii="Times New Roman" w:hAnsi="Times New Roman" w:eastAsia="SimSun" w:cs="Times New Roman"/>
          <w:b/>
          <w:sz w:val="28"/>
          <w:szCs w:val="24"/>
          <w:lang w:eastAsia="zh-CN"/>
        </w:rPr>
      </w:pPr>
      <w:r>
        <w:rPr>
          <w:rStyle w:val="SourceText"/>
        </w:rPr>
        <w:t xml:space="preserve">    </w:t>
      </w:r>
      <w:r>
        <w:rPr>
          <w:rStyle w:val="SourceText"/>
        </w:rPr>
        <w:t>GID_IS_24BIT                = 0x2000</w:t>
      </w:r>
    </w:p>
    <w:p>
      <w:pPr>
        <w:pStyle w:val="PreformattedText"/>
        <w:spacing w:before="0" w:after="283"/>
        <w:rPr>
          <w:rFonts w:ascii="Times New Roman" w:hAnsi="Times New Roman" w:eastAsia="SimSun" w:cs="Times New Roman"/>
          <w:b/>
          <w:sz w:val="28"/>
          <w:szCs w:val="24"/>
          <w:lang w:eastAsia="zh-CN"/>
        </w:rPr>
      </w:pPr>
      <w:r>
        <w:rPr>
          <w:rStyle w:val="SourceText"/>
        </w:rPr>
        <w:t>};</w:t>
      </w:r>
    </w:p>
    <w:p>
      <w:pPr>
        <w:pStyle w:val="Heading3"/>
        <w:rPr>
          <w:rFonts w:ascii="Times New Roman" w:hAnsi="Times New Roman" w:eastAsia="SimSun" w:cs="Times New Roman"/>
          <w:b/>
          <w:sz w:val="28"/>
          <w:szCs w:val="24"/>
          <w:lang w:eastAsia="zh-CN"/>
        </w:rPr>
      </w:pPr>
      <w:bookmarkStart w:id="24" w:name="__RefHeading___Toc21928_2335824944"/>
      <w:bookmarkEnd w:id="24"/>
      <w:r>
        <w:rPr>
          <w:rStyle w:val="SourceText"/>
          <w:rFonts w:ascii="Courier New" w:hAnsi="Courier New"/>
          <w:lang w:eastAsia="zh-CN"/>
        </w:rPr>
        <w:t>gvar</w:t>
      </w:r>
      <w:r>
        <w:rPr>
          <w:lang w:eastAsia="zh-CN"/>
        </w:rPr>
        <w:t xml:space="preserve"> table</w:t>
      </w:r>
    </w:p>
    <w:p>
      <w:pPr>
        <w:pStyle w:val="TextBody"/>
        <w:spacing w:before="1" w:after="283"/>
        <w:rPr>
          <w:rFonts w:ascii="Times New Roman" w:hAnsi="Times New Roman" w:eastAsia="SimSun" w:cs="Times New Roman"/>
          <w:b/>
          <w:sz w:val="28"/>
          <w:szCs w:val="24"/>
          <w:lang w:eastAsia="zh-CN"/>
        </w:rPr>
      </w:pPr>
      <w:r>
        <w:rPr/>
        <w:t xml:space="preserve">Currently the </w:t>
      </w:r>
      <w:r>
        <w:rPr>
          <w:rStyle w:val="SourceText"/>
        </w:rPr>
        <w:t>gvar</w:t>
      </w:r>
      <w:r>
        <w:rPr/>
        <w:t xml:space="preserve"> table encodes a </w:t>
      </w:r>
      <w:r>
        <w:rPr>
          <w:rStyle w:val="SourceText"/>
        </w:rPr>
        <w:t>uint16 glyphCount</w:t>
      </w:r>
      <w:r>
        <w:rPr/>
        <w:t xml:space="preserve"> that must match "the number of glyphs stored elsewhere in the font." That field is then used in a subsequent array:</w:t>
      </w:r>
    </w:p>
    <w:tbl>
      <w:tblPr>
        <w:tblW w:w="9026" w:type="dxa"/>
        <w:jc w:val="left"/>
        <w:tblInd w:w="0" w:type="dxa"/>
        <w:tblLayout w:type="fixed"/>
        <w:tblCellMar>
          <w:top w:w="28" w:type="dxa"/>
          <w:left w:w="28" w:type="dxa"/>
          <w:bottom w:w="28" w:type="dxa"/>
          <w:right w:w="28" w:type="dxa"/>
        </w:tblCellMar>
      </w:tblPr>
      <w:tblGrid>
        <w:gridCol w:w="1363"/>
        <w:gridCol w:w="3231"/>
        <w:gridCol w:w="4432"/>
      </w:tblGrid>
      <w:tr>
        <w:trPr>
          <w:tblHeader w:val="true"/>
        </w:trPr>
        <w:tc>
          <w:tcPr>
            <w:tcW w:w="1363" w:type="dxa"/>
            <w:tcBorders/>
            <w:vAlign w:val="center"/>
          </w:tcPr>
          <w:p>
            <w:pPr>
              <w:pStyle w:val="TableHeading"/>
              <w:rPr/>
            </w:pPr>
            <w:r>
              <w:rPr/>
              <w:t>Type</w:t>
            </w:r>
          </w:p>
        </w:tc>
        <w:tc>
          <w:tcPr>
            <w:tcW w:w="3231" w:type="dxa"/>
            <w:tcBorders/>
            <w:vAlign w:val="center"/>
          </w:tcPr>
          <w:p>
            <w:pPr>
              <w:pStyle w:val="TableHeading"/>
              <w:rPr/>
            </w:pPr>
            <w:r>
              <w:rPr/>
              <w:t>Name</w:t>
            </w:r>
          </w:p>
        </w:tc>
        <w:tc>
          <w:tcPr>
            <w:tcW w:w="4432" w:type="dxa"/>
            <w:tcBorders/>
            <w:vAlign w:val="center"/>
          </w:tcPr>
          <w:p>
            <w:pPr>
              <w:pStyle w:val="TableHeading"/>
              <w:rPr/>
            </w:pPr>
            <w:r>
              <w:rPr/>
              <w:t>Description</w:t>
            </w:r>
          </w:p>
        </w:tc>
      </w:tr>
      <w:tr>
        <w:trPr/>
        <w:tc>
          <w:tcPr>
            <w:tcW w:w="1363" w:type="dxa"/>
            <w:tcBorders/>
            <w:vAlign w:val="center"/>
          </w:tcPr>
          <w:p>
            <w:pPr>
              <w:pStyle w:val="TableContents"/>
              <w:rPr/>
            </w:pPr>
            <w:r>
              <w:rPr/>
              <w:t>Offset16 or Offset32</w:t>
            </w:r>
          </w:p>
        </w:tc>
        <w:tc>
          <w:tcPr>
            <w:tcW w:w="3231" w:type="dxa"/>
            <w:tcBorders/>
            <w:vAlign w:val="center"/>
          </w:tcPr>
          <w:p>
            <w:pPr>
              <w:pStyle w:val="TableContents"/>
              <w:rPr/>
            </w:pPr>
            <w:r>
              <w:rPr/>
              <w:t>glyphVariationDataOffsets[glyphCount+1]</w:t>
            </w:r>
          </w:p>
        </w:tc>
        <w:tc>
          <w:tcPr>
            <w:tcW w:w="4432" w:type="dxa"/>
            <w:tcBorders/>
            <w:vAlign w:val="center"/>
          </w:tcPr>
          <w:p>
            <w:pPr>
              <w:pStyle w:val="TableContents"/>
              <w:rPr/>
            </w:pPr>
            <w:r>
              <w:rPr/>
              <w:t>Offsets from the start of the GlyphVariationData array to each GlyphVariationData table.</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We deprecate the </w:t>
      </w:r>
      <w:r>
        <w:rPr>
          <w:rStyle w:val="SourceText"/>
        </w:rPr>
        <w:t>glyphCount</w:t>
      </w:r>
      <w:r>
        <w:rPr/>
        <w:t xml:space="preserve"> field, and make the array size match the number of glyphs stored elsewhere in the font instead.</w:t>
      </w:r>
    </w:p>
    <w:p>
      <w:pPr>
        <w:pStyle w:val="TextBody"/>
        <w:spacing w:before="1" w:after="283"/>
        <w:rPr>
          <w:rFonts w:ascii="Times New Roman" w:hAnsi="Times New Roman" w:eastAsia="SimSun" w:cs="Times New Roman"/>
          <w:b/>
          <w:sz w:val="28"/>
          <w:szCs w:val="24"/>
          <w:lang w:eastAsia="zh-CN"/>
        </w:rPr>
      </w:pPr>
      <w:r>
        <w:rPr/>
        <w:t xml:space="preserve">This allows us to expand </w:t>
      </w:r>
      <w:r>
        <w:rPr>
          <w:rStyle w:val="SourceText"/>
        </w:rPr>
        <w:t>gvar</w:t>
      </w:r>
      <w:r>
        <w:rPr/>
        <w:t xml:space="preserve"> without needing to bump to table format 2, which we like to reserve for more extensive table overhaul.</w:t>
      </w:r>
    </w:p>
    <w:p>
      <w:pPr>
        <w:pStyle w:val="Heading3"/>
        <w:rPr>
          <w:lang w:eastAsia="zh-CN"/>
        </w:rPr>
      </w:pPr>
      <w:bookmarkStart w:id="25" w:name="__RefHeading___Toc22266_2925186988"/>
      <w:bookmarkStart w:id="26" w:name="user-content-cmap-table"/>
      <w:bookmarkEnd w:id="25"/>
      <w:bookmarkEnd w:id="26"/>
      <w:r>
        <w:rPr>
          <w:rStyle w:val="SourceText"/>
          <w:rFonts w:ascii="Courier New" w:hAnsi="Courier New"/>
          <w:lang w:eastAsia="zh-CN"/>
        </w:rPr>
        <w:t>cmap</w:t>
      </w:r>
      <w:r>
        <w:rPr>
          <w:lang w:eastAsia="zh-CN"/>
        </w:rPr>
        <w:t xml:space="preserve"> table</w:t>
      </w:r>
    </w:p>
    <w:p>
      <w:pPr>
        <w:pStyle w:val="TextBody"/>
        <w:spacing w:before="1" w:after="283"/>
        <w:rPr/>
      </w:pPr>
      <w:r>
        <w:rPr/>
        <w:t xml:space="preserve">The </w:t>
      </w:r>
      <w:r>
        <w:rPr>
          <w:rStyle w:val="SourceText"/>
        </w:rPr>
        <w:t>cmap</w:t>
      </w:r>
      <w:r>
        <w:rPr/>
        <w:t xml:space="preserve"> formats 12 and 13 subtables already support 32-bit glyph indices.</w:t>
      </w:r>
    </w:p>
    <w:p>
      <w:pPr>
        <w:pStyle w:val="TextBody"/>
        <w:spacing w:before="1" w:after="283"/>
        <w:rPr/>
      </w:pPr>
      <w:r>
        <w:rPr/>
        <w:t>A new sub-table format 16 will be added which is similar to format 14 but uses 24-bit glyph indices:</w:t>
      </w:r>
    </w:p>
    <w:p>
      <w:pPr>
        <w:pStyle w:val="PreformattedText"/>
        <w:rPr/>
      </w:pPr>
      <w:r>
        <w:rPr>
          <w:rStyle w:val="SourceText"/>
        </w:rPr>
        <w:t>struct UVSMapping24 {</w:t>
      </w:r>
    </w:p>
    <w:p>
      <w:pPr>
        <w:pStyle w:val="PreformattedText"/>
        <w:rPr/>
      </w:pPr>
      <w:r>
        <w:rPr>
          <w:rStyle w:val="SourceText"/>
        </w:rPr>
        <w:t xml:space="preserve">  </w:t>
      </w:r>
      <w:r>
        <w:rPr>
          <w:rStyle w:val="SourceText"/>
        </w:rPr>
        <w:t>uint24 unicodeValue;</w:t>
      </w:r>
    </w:p>
    <w:p>
      <w:pPr>
        <w:pStyle w:val="PreformattedText"/>
        <w:rPr/>
      </w:pPr>
      <w:r>
        <w:rPr>
          <w:rStyle w:val="SourceText"/>
        </w:rPr>
        <w:t xml:space="preserve">  </w:t>
      </w:r>
      <w:r>
        <w:rPr>
          <w:rStyle w:val="SourceText"/>
        </w:rPr>
        <w:t>uint24 glyphID;</w:t>
      </w:r>
    </w:p>
    <w:p>
      <w:pPr>
        <w:pStyle w:val="PreformattedText"/>
        <w:spacing w:before="0" w:after="283"/>
        <w:rPr/>
      </w:pPr>
      <w:r>
        <w:rPr>
          <w:rStyle w:val="SourceText"/>
        </w:rPr>
        <w:t>};</w:t>
      </w:r>
    </w:p>
    <w:p>
      <w:pPr>
        <w:pStyle w:val="TextBody"/>
        <w:spacing w:before="1" w:after="283"/>
        <w:rPr/>
      </w:pPr>
      <w:r>
        <w:rPr/>
        <w:t>The rest of format 16 subtable is similar to format 14.</w:t>
      </w:r>
    </w:p>
    <w:p>
      <w:pPr>
        <w:pStyle w:val="Heading3"/>
        <w:rPr/>
      </w:pPr>
      <w:bookmarkStart w:id="27" w:name="__RefHeading___Toc22268_2925186988"/>
      <w:bookmarkStart w:id="28" w:name="user-content-hmtx--vmtx-tables"/>
      <w:bookmarkEnd w:id="27"/>
      <w:bookmarkEnd w:id="28"/>
      <w:r>
        <w:rPr>
          <w:rStyle w:val="SourceText"/>
        </w:rPr>
        <w:t>hmtx</w:t>
      </w:r>
      <w:r>
        <w:rPr/>
        <w:t xml:space="preserve"> / </w:t>
      </w:r>
      <w:r>
        <w:rPr>
          <w:rStyle w:val="SourceText"/>
        </w:rPr>
        <w:t>vmtx</w:t>
      </w:r>
      <w:r>
        <w:rPr/>
        <w:t xml:space="preserve"> tables</w:t>
      </w:r>
    </w:p>
    <w:p>
      <w:pPr>
        <w:pStyle w:val="TextBody"/>
        <w:spacing w:before="1" w:after="283"/>
        <w:rPr/>
      </w:pPr>
      <w:r>
        <w:rPr/>
        <w:t xml:space="preserve">Below we discuss </w:t>
      </w:r>
      <w:r>
        <w:rPr>
          <w:rStyle w:val="SourceText"/>
        </w:rPr>
        <w:t>hmtx</w:t>
      </w:r>
      <w:r>
        <w:rPr/>
        <w:t xml:space="preserve">. The case of </w:t>
      </w:r>
      <w:r>
        <w:rPr>
          <w:rStyle w:val="SourceText"/>
        </w:rPr>
        <w:t>vmtx</w:t>
      </w:r>
      <w:r>
        <w:rPr/>
        <w:t xml:space="preserve"> is similar.</w:t>
      </w:r>
    </w:p>
    <w:p>
      <w:pPr>
        <w:pStyle w:val="TextBody"/>
        <w:spacing w:before="1" w:after="283"/>
        <w:rPr/>
      </w:pPr>
      <w:r>
        <w:rPr/>
        <w:t xml:space="preserve">Currently the </w:t>
      </w:r>
      <w:r>
        <w:rPr>
          <w:rStyle w:val="SourceText"/>
        </w:rPr>
        <w:t>hmtx</w:t>
      </w:r>
      <w:r>
        <w:rPr/>
        <w:t xml:space="preserve"> table length is determined by </w:t>
      </w:r>
      <w:r>
        <w:rPr>
          <w:rStyle w:val="SourceText"/>
        </w:rPr>
        <w:t>hhea</w:t>
      </w:r>
      <w:r>
        <w:rPr/>
        <w:t>/</w:t>
      </w:r>
      <w:r>
        <w:rPr>
          <w:rStyle w:val="SourceText"/>
        </w:rPr>
        <w:t>maxp</w:t>
      </w:r>
      <w:r>
        <w:rPr/>
        <w:t xml:space="preserve"> in the following way:</w:t>
      </w:r>
    </w:p>
    <w:p>
      <w:pPr>
        <w:pStyle w:val="TextBody"/>
        <w:numPr>
          <w:ilvl w:val="0"/>
          <w:numId w:val="9"/>
        </w:numPr>
        <w:tabs>
          <w:tab w:val="clear" w:pos="720"/>
          <w:tab w:val="left" w:pos="0" w:leader="none"/>
        </w:tabs>
        <w:ind w:left="709" w:hanging="283"/>
        <w:rPr/>
      </w:pPr>
      <w:r>
        <w:rPr>
          <w:rStyle w:val="SourceText"/>
        </w:rPr>
        <w:t>hhea.metricDataFormat</w:t>
      </w:r>
      <w:r>
        <w:rPr/>
        <w:t xml:space="preserve"> is required to be 0 for the current format; </w:t>
      </w:r>
    </w:p>
    <w:p>
      <w:pPr>
        <w:pStyle w:val="TextBody"/>
        <w:numPr>
          <w:ilvl w:val="0"/>
          <w:numId w:val="9"/>
        </w:numPr>
        <w:tabs>
          <w:tab w:val="clear" w:pos="720"/>
          <w:tab w:val="left" w:pos="0" w:leader="none"/>
        </w:tabs>
        <w:spacing w:before="1" w:after="283"/>
        <w:ind w:left="709" w:hanging="283"/>
        <w:rPr/>
      </w:pPr>
      <w:r>
        <w:rPr>
          <w:rStyle w:val="SourceText"/>
        </w:rPr>
        <w:t>hmtx</w:t>
      </w:r>
      <w:r>
        <w:rPr/>
        <w:t xml:space="preserve"> is required to be </w:t>
      </w:r>
      <w:r>
        <w:rPr>
          <w:rStyle w:val="SourceText"/>
        </w:rPr>
        <w:t>2 * hhea.numberOfHMetrics + 2 * maxp.numGlyphs</w:t>
      </w:r>
      <w:r>
        <w:rPr/>
        <w:t xml:space="preserve"> bytes long. </w:t>
      </w:r>
    </w:p>
    <w:p>
      <w:pPr>
        <w:pStyle w:val="TextBody"/>
        <w:spacing w:before="1" w:after="283"/>
        <w:rPr/>
      </w:pPr>
      <w:r>
        <w:rPr/>
        <w:t xml:space="preserve">We describe how we to relax the second requirement, to allow encoding advance width of arbitrary number of glyphs in the </w:t>
      </w:r>
      <w:r>
        <w:rPr>
          <w:rStyle w:val="SourceText"/>
        </w:rPr>
        <w:t>hmtx</w:t>
      </w:r>
      <w:r>
        <w:rPr/>
        <w:t xml:space="preserve"> table, regardless of the value of </w:t>
      </w:r>
      <w:r>
        <w:rPr>
          <w:rStyle w:val="SourceText"/>
        </w:rPr>
        <w:t>maxp.numGlyphs</w:t>
      </w:r>
      <w:r>
        <w:rPr/>
        <w:t>.</w:t>
      </w:r>
    </w:p>
    <w:p>
      <w:pPr>
        <w:pStyle w:val="TextBody"/>
        <w:spacing w:before="1" w:after="283"/>
        <w:rPr/>
      </w:pPr>
      <w:r>
        <w:rPr/>
        <w:t xml:space="preserve">This is how an advance width is assigned to glyph indices beyond </w:t>
      </w:r>
      <w:r>
        <w:rPr>
          <w:rStyle w:val="SourceText"/>
        </w:rPr>
        <w:t>maxp.numGlyphs</w:t>
      </w:r>
      <w:r>
        <w:rPr/>
        <w:t>:</w:t>
      </w:r>
    </w:p>
    <w:p>
      <w:pPr>
        <w:pStyle w:val="TextBody"/>
        <w:spacing w:before="1" w:after="283"/>
        <w:rPr/>
      </w:pPr>
      <w:r>
        <w:rPr/>
        <w:t xml:space="preserve">Let B be the excess bytes at the end of the </w:t>
      </w:r>
      <w:r>
        <w:rPr>
          <w:rStyle w:val="SourceText"/>
        </w:rPr>
        <w:t>hmtx</w:t>
      </w:r>
      <w:r>
        <w:rPr/>
        <w:t xml:space="preserve"> table beyond the </w:t>
      </w:r>
      <w:r>
        <w:rPr>
          <w:rStyle w:val="SourceText"/>
        </w:rPr>
        <w:t>2 * hhea.numberOfHMetrics + 2 * maxp.numGlyphs</w:t>
      </w:r>
      <w:r>
        <w:rPr/>
        <w:t xml:space="preserve"> bytes.</w:t>
      </w:r>
    </w:p>
    <w:p>
      <w:pPr>
        <w:pStyle w:val="TextBody"/>
        <w:numPr>
          <w:ilvl w:val="0"/>
          <w:numId w:val="10"/>
        </w:numPr>
        <w:tabs>
          <w:tab w:val="clear" w:pos="720"/>
          <w:tab w:val="left" w:pos="0" w:leader="none"/>
        </w:tabs>
        <w:ind w:left="709" w:hanging="283"/>
        <w:rPr/>
      </w:pPr>
      <w:r>
        <w:rPr/>
        <w:t xml:space="preserve">If the length of B is odd, ignore the last byte of B. </w:t>
      </w:r>
    </w:p>
    <w:p>
      <w:pPr>
        <w:pStyle w:val="TextBody"/>
        <w:numPr>
          <w:ilvl w:val="0"/>
          <w:numId w:val="10"/>
        </w:numPr>
        <w:tabs>
          <w:tab w:val="clear" w:pos="720"/>
          <w:tab w:val="left" w:pos="0" w:leader="none"/>
        </w:tabs>
        <w:ind w:left="709" w:hanging="283"/>
        <w:rPr/>
      </w:pPr>
      <w:r>
        <w:rPr/>
        <w:t xml:space="preserve">If B is empty, use the last advanceWidth in the </w:t>
      </w:r>
      <w:r>
        <w:rPr>
          <w:rStyle w:val="SourceText"/>
        </w:rPr>
        <w:t>hmtx</w:t>
      </w:r>
      <w:r>
        <w:rPr/>
        <w:t xml:space="preserve"> table for all extra glyphs. </w:t>
      </w:r>
    </w:p>
    <w:p>
      <w:pPr>
        <w:pStyle w:val="TextBody"/>
        <w:numPr>
          <w:ilvl w:val="0"/>
          <w:numId w:val="10"/>
        </w:numPr>
        <w:tabs>
          <w:tab w:val="clear" w:pos="720"/>
          <w:tab w:val="left" w:pos="0" w:leader="none"/>
        </w:tabs>
        <w:spacing w:before="1" w:after="283"/>
        <w:ind w:left="709" w:hanging="283"/>
        <w:rPr/>
      </w:pPr>
      <w:r>
        <w:rPr/>
        <w:t xml:space="preserve">Treat B as an array of </w:t>
      </w:r>
      <w:r>
        <w:rPr>
          <w:rStyle w:val="SourceText"/>
        </w:rPr>
        <w:t>uint16</w:t>
      </w:r>
      <w:r>
        <w:rPr/>
        <w:t xml:space="preserve"> advance-width numbers of glyph indices starting at </w:t>
      </w:r>
      <w:r>
        <w:rPr>
          <w:rStyle w:val="SourceText"/>
        </w:rPr>
        <w:t>maxp.numGlyphs</w:t>
      </w:r>
      <w:r>
        <w:rPr/>
        <w:t xml:space="preserve">. For any glyph index that is in range in the font but out of range in this array, use the last item of the array. </w:t>
      </w:r>
    </w:p>
    <w:p>
      <w:pPr>
        <w:pStyle w:val="TextBody"/>
        <w:spacing w:before="1" w:after="283"/>
        <w:rPr/>
      </w:pPr>
      <w:r>
        <w:rPr/>
        <w:t xml:space="preserve">No </w:t>
      </w:r>
      <w:r>
        <w:rPr>
          <w:rStyle w:val="SourceText"/>
        </w:rPr>
        <w:t>lsb</w:t>
      </w:r>
      <w:r>
        <w:rPr/>
        <w:t xml:space="preserve"> (leftside-bearing) is encoded for glyphs beyond </w:t>
      </w:r>
      <w:r>
        <w:rPr>
          <w:rStyle w:val="SourceText"/>
        </w:rPr>
        <w:t>maxp.numGlyphs</w:t>
      </w:r>
      <w:r>
        <w:rPr/>
        <w:t>.</w:t>
      </w:r>
    </w:p>
    <w:p>
      <w:pPr>
        <w:pStyle w:val="Heading4"/>
        <w:rPr/>
      </w:pPr>
      <w:bookmarkStart w:id="29" w:name="__RefHeading___Toc22270_2925186988"/>
      <w:bookmarkStart w:id="30" w:name="user-content-lsb-offsetting-of-glyphs"/>
      <w:bookmarkEnd w:id="29"/>
      <w:bookmarkEnd w:id="30"/>
      <w:r>
        <w:rPr>
          <w:rStyle w:val="SourceText"/>
        </w:rPr>
        <w:t>lsb</w:t>
      </w:r>
      <w:r>
        <w:rPr/>
        <w:t xml:space="preserve"> offsetting of glyphs</w:t>
      </w:r>
    </w:p>
    <w:p>
      <w:pPr>
        <w:pStyle w:val="TextBody"/>
        <w:spacing w:before="1" w:after="283"/>
        <w:rPr/>
      </w:pPr>
      <w:r>
        <w:rPr/>
        <w:t xml:space="preserve">It is an undocumented behavior of OpenType that glyphs from the </w:t>
      </w:r>
      <w:r>
        <w:rPr>
          <w:rStyle w:val="SourceText"/>
        </w:rPr>
        <w:t>glyf</w:t>
      </w:r>
      <w:r>
        <w:rPr/>
        <w:t xml:space="preserve"> table are shifted by </w:t>
      </w:r>
      <w:r>
        <w:rPr>
          <w:rStyle w:val="SourceText"/>
        </w:rPr>
        <w:t>lsb - xMin</w:t>
      </w:r>
      <w:r>
        <w:rPr/>
        <w:t xml:space="preserve"> when rasterized. Since our extension to the </w:t>
      </w:r>
      <w:r>
        <w:rPr>
          <w:rStyle w:val="SourceText"/>
        </w:rPr>
        <w:t>hmtx</w:t>
      </w:r>
      <w:r>
        <w:rPr/>
        <w:t xml:space="preserve"> table does </w:t>
      </w:r>
      <w:r>
        <w:rPr>
          <w:rStyle w:val="Emphasis"/>
        </w:rPr>
        <w:t>not</w:t>
      </w:r>
      <w:r>
        <w:rPr/>
        <w:t xml:space="preserve"> encode </w:t>
      </w:r>
      <w:r>
        <w:rPr>
          <w:rStyle w:val="SourceText"/>
        </w:rPr>
        <w:t>lsb</w:t>
      </w:r>
      <w:r>
        <w:rPr/>
        <w:t xml:space="preserve"> for new gids, no shifting is done for such glyphs. In other words, the </w:t>
      </w:r>
      <w:r>
        <w:rPr>
          <w:rStyle w:val="SourceText"/>
        </w:rPr>
        <w:t>lsb</w:t>
      </w:r>
      <w:r>
        <w:rPr/>
        <w:t xml:space="preserve"> of such glyphs is assumed to be the same as </w:t>
      </w:r>
      <w:r>
        <w:rPr>
          <w:rStyle w:val="SourceText"/>
        </w:rPr>
        <w:t>xMin</w:t>
      </w:r>
      <w:r>
        <w:rPr/>
        <w:t>.</w:t>
      </w:r>
    </w:p>
    <w:p>
      <w:pPr>
        <w:pStyle w:val="Heading4"/>
        <w:rPr/>
      </w:pPr>
      <w:bookmarkStart w:id="31" w:name="__RefHeading___Toc22272_2925186988"/>
      <w:bookmarkStart w:id="32" w:name="user-content-tsb-and-vertical-glyphs"/>
      <w:bookmarkEnd w:id="31"/>
      <w:bookmarkEnd w:id="32"/>
      <w:r>
        <w:rPr>
          <w:rStyle w:val="SourceText"/>
        </w:rPr>
        <w:t>tsb</w:t>
      </w:r>
      <w:r>
        <w:rPr/>
        <w:t xml:space="preserve"> and vertical glyphs</w:t>
      </w:r>
    </w:p>
    <w:p>
      <w:pPr>
        <w:pStyle w:val="TextBody"/>
        <w:spacing w:before="1" w:after="283"/>
        <w:rPr/>
      </w:pPr>
      <w:r>
        <w:rPr/>
        <w:t xml:space="preserve">The vertical origin of glyphs in the </w:t>
      </w:r>
      <w:r>
        <w:rPr>
          <w:rStyle w:val="SourceText"/>
        </w:rPr>
        <w:t>glyf</w:t>
      </w:r>
      <w:r>
        <w:rPr/>
        <w:t xml:space="preserve"> table is computed based on </w:t>
      </w:r>
      <w:r>
        <w:rPr>
          <w:rStyle w:val="SourceText"/>
        </w:rPr>
        <w:t>tsb</w:t>
      </w:r>
      <w:r>
        <w:rPr/>
        <w:t xml:space="preserve"> encoded in the </w:t>
      </w:r>
      <w:r>
        <w:rPr>
          <w:rStyle w:val="SourceText"/>
        </w:rPr>
        <w:t>vmtx</w:t>
      </w:r>
      <w:r>
        <w:rPr/>
        <w:t xml:space="preserve"> table. Since our extension to the </w:t>
      </w:r>
      <w:r>
        <w:rPr>
          <w:rStyle w:val="SourceText"/>
        </w:rPr>
        <w:t>vmtx</w:t>
      </w:r>
      <w:r>
        <w:rPr/>
        <w:t xml:space="preserve"> table does not encode </w:t>
      </w:r>
      <w:r>
        <w:rPr>
          <w:rStyle w:val="SourceText"/>
        </w:rPr>
        <w:t>tsb</w:t>
      </w:r>
      <w:r>
        <w:rPr/>
        <w:t xml:space="preserve"> for new glyphs, the </w:t>
      </w:r>
      <w:r>
        <w:rPr>
          <w:rStyle w:val="SourceText"/>
        </w:rPr>
        <w:t>VORG</w:t>
      </w:r>
      <w:r>
        <w:rPr/>
        <w:t xml:space="preserve"> table </w:t>
      </w:r>
      <w:r>
        <w:rPr>
          <w:rStyle w:val="Emphasis"/>
        </w:rPr>
        <w:t>must</w:t>
      </w:r>
      <w:r>
        <w:rPr/>
        <w:t xml:space="preserve"> be used to encode vertical glyph origins instead.</w:t>
      </w:r>
    </w:p>
    <w:p>
      <w:pPr>
        <w:pStyle w:val="Heading3"/>
        <w:rPr/>
      </w:pPr>
      <w:bookmarkStart w:id="33" w:name="__RefHeading___Toc22274_2925186988"/>
      <w:bookmarkStart w:id="34" w:name="user-content-hvar--vvar-tables"/>
      <w:bookmarkEnd w:id="33"/>
      <w:bookmarkEnd w:id="34"/>
      <w:r>
        <w:rPr>
          <w:rStyle w:val="SourceText"/>
        </w:rPr>
        <w:t>HVAR</w:t>
      </w:r>
      <w:r>
        <w:rPr/>
        <w:t xml:space="preserve"> / </w:t>
      </w:r>
      <w:r>
        <w:rPr>
          <w:rStyle w:val="SourceText"/>
        </w:rPr>
        <w:t>VVAR</w:t>
      </w:r>
      <w:r>
        <w:rPr/>
        <w:t xml:space="preserve"> tables</w:t>
      </w:r>
    </w:p>
    <w:p>
      <w:pPr>
        <w:pStyle w:val="TextBody"/>
        <w:spacing w:before="1" w:after="283"/>
        <w:rPr/>
      </w:pPr>
      <w:r>
        <w:rPr/>
        <w:t>No changes needed.</w:t>
      </w:r>
    </w:p>
    <w:p>
      <w:pPr>
        <w:pStyle w:val="Heading3"/>
        <w:rPr/>
      </w:pPr>
      <w:bookmarkStart w:id="35" w:name="__RefHeading___Toc22276_2925186988"/>
      <w:bookmarkStart w:id="36" w:name="user-content-vorg-table"/>
      <w:bookmarkEnd w:id="35"/>
      <w:bookmarkEnd w:id="36"/>
      <w:r>
        <w:rPr>
          <w:rStyle w:val="SourceText"/>
        </w:rPr>
        <w:t>VORG</w:t>
      </w:r>
      <w:r>
        <w:rPr/>
        <w:t xml:space="preserve"> table</w:t>
      </w:r>
    </w:p>
    <w:p>
      <w:pPr>
        <w:pStyle w:val="TextBody"/>
        <w:spacing w:before="1" w:after="283"/>
        <w:rPr/>
      </w:pPr>
      <w:r>
        <w:rPr/>
        <w:t xml:space="preserve">Currently the length of the </w:t>
      </w:r>
      <w:r>
        <w:rPr>
          <w:rStyle w:val="SourceText"/>
        </w:rPr>
        <w:t>VORG</w:t>
      </w:r>
      <w:r>
        <w:rPr/>
        <w:t xml:space="preserve"> table is determined from its major/minor version and the subsequent content. The only currently defined version 1.0 can only encode 16bit glyph indices. Here is how we expand the table's definition to encode glyph vertical origin for glyph indices beyond </w:t>
      </w:r>
      <w:r>
        <w:rPr>
          <w:rStyle w:val="SourceText"/>
        </w:rPr>
        <w:t>maxp.numGlyphs</w:t>
      </w:r>
      <w:r>
        <w:rPr/>
        <w:t>:</w:t>
      </w:r>
    </w:p>
    <w:p>
      <w:pPr>
        <w:pStyle w:val="TextBody"/>
        <w:spacing w:before="1" w:after="283"/>
        <w:rPr/>
      </w:pPr>
      <w:r>
        <w:rPr/>
        <w:t>Derive the length of the table from the version number and the table struct, then derive the excess bytes, then follow the same algorithm for deriving advance-width in the hmtx/vmtx expansion and use those numbers as vertical origin instead.</w:t>
      </w:r>
    </w:p>
    <w:p>
      <w:pPr>
        <w:pStyle w:val="Heading3"/>
        <w:rPr/>
      </w:pPr>
      <w:bookmarkStart w:id="37" w:name="__RefHeading___Toc22278_2925186988"/>
      <w:bookmarkStart w:id="38" w:name="user-content-colr-table"/>
      <w:bookmarkEnd w:id="37"/>
      <w:bookmarkEnd w:id="38"/>
      <w:r>
        <w:rPr>
          <w:rStyle w:val="SourceText"/>
        </w:rPr>
        <w:t>COLR</w:t>
      </w:r>
      <w:r>
        <w:rPr/>
        <w:t xml:space="preserve"> table</w:t>
      </w:r>
    </w:p>
    <w:p>
      <w:pPr>
        <w:pStyle w:val="TextBody"/>
        <w:spacing w:before="1" w:after="283"/>
        <w:rPr/>
      </w:pPr>
      <w:r>
        <w:rPr/>
        <w:t>No changes needed.</w:t>
      </w:r>
    </w:p>
    <w:p>
      <w:pPr>
        <w:pStyle w:val="Heading3"/>
        <w:rPr/>
      </w:pPr>
      <w:bookmarkStart w:id="39" w:name="__RefHeading___Toc22280_2925186988"/>
      <w:bookmarkStart w:id="40" w:name="user-content-sbix-table"/>
      <w:bookmarkEnd w:id="39"/>
      <w:bookmarkEnd w:id="40"/>
      <w:r>
        <w:rPr>
          <w:rStyle w:val="SourceText"/>
        </w:rPr>
        <w:t>sbix</w:t>
      </w:r>
      <w:r>
        <w:rPr/>
        <w:t xml:space="preserve"> table</w:t>
      </w:r>
    </w:p>
    <w:p>
      <w:pPr>
        <w:pStyle w:val="TextBody"/>
        <w:spacing w:before="1" w:after="283"/>
        <w:rPr/>
      </w:pPr>
      <w:r>
        <w:rPr/>
        <w:t xml:space="preserve">The number of glyphs referenced by the table is the number of glyphs in the font as defined earlier. Same applies to non-OpenType tables </w:t>
      </w:r>
      <w:r>
        <w:rPr>
          <w:rStyle w:val="SourceText"/>
        </w:rPr>
        <w:t>kerx</w:t>
      </w:r>
      <w:r>
        <w:rPr/>
        <w:t xml:space="preserve"> and </w:t>
      </w:r>
      <w:r>
        <w:rPr>
          <w:rStyle w:val="SourceText"/>
        </w:rPr>
        <w:t>morx</w:t>
      </w:r>
      <w:r>
        <w:rPr/>
        <w:t>.</w:t>
      </w:r>
    </w:p>
    <w:p>
      <w:pPr>
        <w:pStyle w:val="Heading3"/>
        <w:rPr/>
      </w:pPr>
      <w:bookmarkStart w:id="41" w:name="__RefHeading___Toc22282_2925186988"/>
      <w:bookmarkStart w:id="42" w:name="user-content-gdef--gsub--gpos-tables"/>
      <w:bookmarkEnd w:id="41"/>
      <w:bookmarkEnd w:id="42"/>
      <w:r>
        <w:rPr>
          <w:rStyle w:val="SourceText"/>
        </w:rPr>
        <w:t>GDEF</w:t>
      </w:r>
      <w:r>
        <w:rPr/>
        <w:t xml:space="preserve"> / </w:t>
      </w:r>
      <w:r>
        <w:rPr>
          <w:rStyle w:val="SourceText"/>
        </w:rPr>
        <w:t>GSUB</w:t>
      </w:r>
      <w:r>
        <w:rPr/>
        <w:t xml:space="preserve"> / </w:t>
      </w:r>
      <w:r>
        <w:rPr>
          <w:rStyle w:val="SourceText"/>
        </w:rPr>
        <w:t>GPOS</w:t>
      </w:r>
      <w:r>
        <w:rPr/>
        <w:t xml:space="preserve"> tables</w:t>
      </w:r>
    </w:p>
    <w:p>
      <w:pPr>
        <w:pStyle w:val="Heading4"/>
        <w:rPr/>
      </w:pPr>
      <w:bookmarkStart w:id="43" w:name="__RefHeading___Toc22284_2925186988"/>
      <w:bookmarkStart w:id="44" w:name="user-content-gdef-version-2"/>
      <w:bookmarkEnd w:id="43"/>
      <w:bookmarkEnd w:id="44"/>
      <w:r>
        <w:rPr>
          <w:rStyle w:val="SourceText"/>
        </w:rPr>
        <w:t>GDEF</w:t>
      </w:r>
      <w:r>
        <w:rPr/>
        <w:t xml:space="preserve"> version 2</w:t>
      </w:r>
    </w:p>
    <w:p>
      <w:pPr>
        <w:pStyle w:val="TextBody"/>
        <w:spacing w:before="1" w:after="283"/>
        <w:rPr/>
      </w:pPr>
      <w:r>
        <w:rPr/>
        <w:t xml:space="preserve">The main </w:t>
      </w:r>
      <w:r>
        <w:rPr>
          <w:rStyle w:val="SourceText"/>
        </w:rPr>
        <w:t>GDEF</w:t>
      </w:r>
      <w:r>
        <w:rPr/>
        <w:t xml:space="preserve"> struct is augmented with a version 2 to alleviate offset-overflows when classDef and other structs grow large:</w:t>
      </w:r>
    </w:p>
    <w:p>
      <w:pPr>
        <w:pStyle w:val="PreformattedText"/>
        <w:rPr/>
      </w:pPr>
      <w:r>
        <w:rPr>
          <w:rStyle w:val="SourceText"/>
        </w:rPr>
        <w:t>struct GDEFVersion2 {</w:t>
      </w:r>
    </w:p>
    <w:p>
      <w:pPr>
        <w:pStyle w:val="PreformattedText"/>
        <w:rPr/>
      </w:pPr>
      <w:r>
        <w:rPr>
          <w:rStyle w:val="SourceText"/>
        </w:rPr>
        <w:t xml:space="preserve">  </w:t>
      </w:r>
      <w:r>
        <w:rPr>
          <w:rStyle w:val="SourceText"/>
        </w:rPr>
        <w:t>Version version; // 0x00020000</w:t>
      </w:r>
    </w:p>
    <w:p>
      <w:pPr>
        <w:pStyle w:val="PreformattedText"/>
        <w:rPr/>
      </w:pPr>
      <w:r>
        <w:rPr>
          <w:rStyle w:val="SourceText"/>
        </w:rPr>
        <w:t xml:space="preserve">  </w:t>
      </w:r>
      <w:r>
        <w:rPr>
          <w:rStyle w:val="SourceText"/>
        </w:rPr>
        <w:t>Offset24To&lt;ClassDef&gt; glyphClassDef;</w:t>
      </w:r>
    </w:p>
    <w:p>
      <w:pPr>
        <w:pStyle w:val="PreformattedText"/>
        <w:rPr/>
      </w:pPr>
      <w:r>
        <w:rPr>
          <w:rStyle w:val="SourceText"/>
        </w:rPr>
        <w:t xml:space="preserve">  </w:t>
      </w:r>
      <w:r>
        <w:rPr>
          <w:rStyle w:val="SourceText"/>
        </w:rPr>
        <w:t>Offset24To&lt;AttachList&gt; attachList;</w:t>
      </w:r>
    </w:p>
    <w:p>
      <w:pPr>
        <w:pStyle w:val="PreformattedText"/>
        <w:rPr/>
      </w:pPr>
      <w:r>
        <w:rPr>
          <w:rStyle w:val="SourceText"/>
        </w:rPr>
        <w:t xml:space="preserve">  </w:t>
      </w:r>
      <w:r>
        <w:rPr>
          <w:rStyle w:val="SourceText"/>
        </w:rPr>
        <w:t>Offset24To&lt;LigCaretList&gt; ligCaretList;</w:t>
      </w:r>
    </w:p>
    <w:p>
      <w:pPr>
        <w:pStyle w:val="PreformattedText"/>
        <w:rPr/>
      </w:pPr>
      <w:r>
        <w:rPr>
          <w:rStyle w:val="SourceText"/>
        </w:rPr>
        <w:t xml:space="preserve">  </w:t>
      </w:r>
      <w:r>
        <w:rPr>
          <w:rStyle w:val="SourceText"/>
        </w:rPr>
        <w:t>Offset24To&lt;ClassDef&gt; markAttachClassDef;</w:t>
      </w:r>
    </w:p>
    <w:p>
      <w:pPr>
        <w:pStyle w:val="PreformattedText"/>
        <w:rPr/>
      </w:pPr>
      <w:r>
        <w:rPr>
          <w:rStyle w:val="SourceText"/>
        </w:rPr>
        <w:t xml:space="preserve">  </w:t>
      </w:r>
      <w:r>
        <w:rPr>
          <w:rStyle w:val="SourceText"/>
        </w:rPr>
        <w:t>Offset24To&lt;MarkGlyphSets&gt; markGlyphSets;</w:t>
      </w:r>
    </w:p>
    <w:p>
      <w:pPr>
        <w:pStyle w:val="PreformattedText"/>
        <w:rPr/>
      </w:pPr>
      <w:r>
        <w:rPr>
          <w:rStyle w:val="SourceText"/>
        </w:rPr>
        <w:t xml:space="preserve">  </w:t>
      </w:r>
      <w:r>
        <w:rPr>
          <w:rStyle w:val="SourceText"/>
        </w:rPr>
        <w:t>Offset32To&lt;ItemVariationStore&gt; varStore;</w:t>
      </w:r>
    </w:p>
    <w:p>
      <w:pPr>
        <w:pStyle w:val="PreformattedText"/>
        <w:spacing w:before="0" w:after="283"/>
        <w:rPr/>
      </w:pPr>
      <w:r>
        <w:rPr>
          <w:rStyle w:val="SourceText"/>
        </w:rPr>
        <w:t>};</w:t>
      </w:r>
    </w:p>
    <w:p>
      <w:pPr>
        <w:pStyle w:val="TextBody"/>
        <w:spacing w:before="1" w:after="283"/>
        <w:rPr/>
      </w:pPr>
      <w:r>
        <w:rPr/>
        <w:t>Note that the varStore offset is 32bit, for compatibility with 0x00010003 version.</w:t>
      </w:r>
    </w:p>
    <w:p>
      <w:pPr>
        <w:pStyle w:val="Heading4"/>
        <w:rPr/>
      </w:pPr>
      <w:bookmarkStart w:id="45" w:name="__RefHeading___Toc22286_2925186988"/>
      <w:bookmarkStart w:id="46" w:name="user-content-gsub"/>
      <w:bookmarkEnd w:id="45"/>
      <w:bookmarkEnd w:id="46"/>
      <w:r>
        <w:rPr>
          <w:rStyle w:val="SourceText"/>
        </w:rPr>
        <w:t>GSUB</w:t>
      </w:r>
    </w:p>
    <w:p>
      <w:pPr>
        <w:pStyle w:val="TextBody"/>
        <w:spacing w:before="1" w:after="283"/>
        <w:rPr/>
      </w:pPr>
      <w:r>
        <w:rPr/>
        <w:t xml:space="preserve">The following sections when combined, fully cover the </w:t>
      </w:r>
      <w:r>
        <w:rPr>
          <w:rStyle w:val="SourceText"/>
        </w:rPr>
        <w:t>GSUB</w:t>
      </w:r>
      <w:r>
        <w:rPr/>
        <w:t xml:space="preserve"> table extension:</w:t>
      </w:r>
    </w:p>
    <w:p>
      <w:pPr>
        <w:pStyle w:val="TextBody"/>
        <w:numPr>
          <w:ilvl w:val="0"/>
          <w:numId w:val="11"/>
        </w:numPr>
        <w:tabs>
          <w:tab w:val="clear" w:pos="720"/>
          <w:tab w:val="left" w:pos="0" w:leader="none"/>
        </w:tabs>
        <w:ind w:left="709" w:hanging="283"/>
        <w:rPr/>
      </w:pPr>
      <w:r>
        <w:rPr>
          <w:rStyle w:val="SourceText"/>
        </w:rPr>
        <w:t>GSUB</w:t>
      </w:r>
      <w:r>
        <w:rPr/>
        <w:t xml:space="preserve"> / </w:t>
      </w:r>
      <w:r>
        <w:rPr>
          <w:rStyle w:val="SourceText"/>
        </w:rPr>
        <w:t>GPOS</w:t>
      </w:r>
      <w:r>
        <w:rPr/>
        <w:t xml:space="preserve"> version 2 </w:t>
      </w:r>
    </w:p>
    <w:p>
      <w:pPr>
        <w:pStyle w:val="TextBody"/>
        <w:numPr>
          <w:ilvl w:val="0"/>
          <w:numId w:val="11"/>
        </w:numPr>
        <w:tabs>
          <w:tab w:val="clear" w:pos="720"/>
          <w:tab w:val="left" w:pos="0" w:leader="none"/>
        </w:tabs>
        <w:ind w:left="709" w:hanging="283"/>
        <w:rPr/>
      </w:pPr>
      <w:r>
        <w:rPr>
          <w:rStyle w:val="SourceText"/>
        </w:rPr>
        <w:t>Coverage</w:t>
      </w:r>
      <w:r>
        <w:rPr/>
        <w:t xml:space="preserve"> / </w:t>
      </w:r>
      <w:r>
        <w:rPr>
          <w:rStyle w:val="SourceText"/>
        </w:rPr>
        <w:t>ClassDef</w:t>
      </w:r>
      <w:r>
        <w:rPr/>
        <w:t xml:space="preserve"> formats 3 &amp; 4 </w:t>
      </w:r>
    </w:p>
    <w:p>
      <w:pPr>
        <w:pStyle w:val="TextBody"/>
        <w:numPr>
          <w:ilvl w:val="0"/>
          <w:numId w:val="11"/>
        </w:numPr>
        <w:tabs>
          <w:tab w:val="clear" w:pos="720"/>
          <w:tab w:val="left" w:pos="0" w:leader="none"/>
        </w:tabs>
        <w:ind w:left="709" w:hanging="283"/>
        <w:rPr/>
      </w:pPr>
      <w:r>
        <w:rPr>
          <w:rStyle w:val="SourceText"/>
        </w:rPr>
        <w:t>GSUB</w:t>
      </w:r>
      <w:r>
        <w:rPr/>
        <w:t xml:space="preserve"> </w:t>
      </w:r>
      <w:r>
        <w:rPr>
          <w:rStyle w:val="SourceText"/>
        </w:rPr>
        <w:t>SingleSubst</w:t>
      </w:r>
      <w:r>
        <w:rPr/>
        <w:t xml:space="preserve"> formats 3 &amp; 4 </w:t>
      </w:r>
    </w:p>
    <w:p>
      <w:pPr>
        <w:pStyle w:val="TextBody"/>
        <w:numPr>
          <w:ilvl w:val="0"/>
          <w:numId w:val="11"/>
        </w:numPr>
        <w:tabs>
          <w:tab w:val="clear" w:pos="720"/>
          <w:tab w:val="left" w:pos="0" w:leader="none"/>
        </w:tabs>
        <w:ind w:left="709" w:hanging="283"/>
        <w:rPr/>
      </w:pPr>
      <w:r>
        <w:rPr>
          <w:rStyle w:val="SourceText"/>
        </w:rPr>
        <w:t>GSUB</w:t>
      </w:r>
      <w:r>
        <w:rPr/>
        <w:t xml:space="preserve"> </w:t>
      </w:r>
      <w:r>
        <w:rPr>
          <w:rStyle w:val="SourceText"/>
        </w:rPr>
        <w:t>MultipleSubst</w:t>
      </w:r>
      <w:r>
        <w:rPr/>
        <w:t xml:space="preserve"> / </w:t>
      </w:r>
      <w:r>
        <w:rPr>
          <w:rStyle w:val="SourceText"/>
        </w:rPr>
        <w:t>AlternateSubst</w:t>
      </w:r>
      <w:r>
        <w:rPr/>
        <w:t xml:space="preserve"> format 2 </w:t>
      </w:r>
    </w:p>
    <w:p>
      <w:pPr>
        <w:pStyle w:val="TextBody"/>
        <w:numPr>
          <w:ilvl w:val="0"/>
          <w:numId w:val="11"/>
        </w:numPr>
        <w:tabs>
          <w:tab w:val="clear" w:pos="720"/>
          <w:tab w:val="left" w:pos="0" w:leader="none"/>
        </w:tabs>
        <w:ind w:left="709" w:hanging="283"/>
        <w:rPr/>
      </w:pPr>
      <w:r>
        <w:rPr>
          <w:rStyle w:val="SourceText"/>
        </w:rPr>
        <w:t>GSUB</w:t>
      </w:r>
      <w:r>
        <w:rPr/>
        <w:t xml:space="preserve"> </w:t>
      </w:r>
      <w:r>
        <w:rPr>
          <w:rStyle w:val="SourceText"/>
        </w:rPr>
        <w:t>LigatureSubst</w:t>
      </w:r>
      <w:r>
        <w:rPr/>
        <w:t xml:space="preserve"> format 2 </w:t>
      </w:r>
    </w:p>
    <w:p>
      <w:pPr>
        <w:pStyle w:val="TextBody"/>
        <w:numPr>
          <w:ilvl w:val="0"/>
          <w:numId w:val="11"/>
        </w:numPr>
        <w:tabs>
          <w:tab w:val="clear" w:pos="720"/>
          <w:tab w:val="left" w:pos="0" w:leader="none"/>
        </w:tabs>
        <w:spacing w:before="1" w:after="283"/>
        <w:ind w:left="709" w:hanging="283"/>
        <w:rPr/>
      </w:pPr>
      <w:r>
        <w:rPr>
          <w:rStyle w:val="SourceText"/>
        </w:rPr>
        <w:t>GSUB</w:t>
      </w:r>
      <w:r>
        <w:rPr/>
        <w:t xml:space="preserve"> / </w:t>
      </w:r>
      <w:r>
        <w:rPr>
          <w:rStyle w:val="SourceText"/>
        </w:rPr>
        <w:t>GPOS</w:t>
      </w:r>
      <w:r>
        <w:rPr/>
        <w:t xml:space="preserve"> </w:t>
      </w:r>
      <w:r>
        <w:rPr>
          <w:rStyle w:val="SourceText"/>
        </w:rPr>
        <w:t>(Chain)Context</w:t>
      </w:r>
      <w:r>
        <w:rPr/>
        <w:t xml:space="preserve"> format 4 &amp; 5 </w:t>
      </w:r>
    </w:p>
    <w:p>
      <w:pPr>
        <w:pStyle w:val="Heading4"/>
        <w:rPr/>
      </w:pPr>
      <w:bookmarkStart w:id="47" w:name="__RefHeading___Toc22288_2925186988"/>
      <w:bookmarkStart w:id="48" w:name="user-content-gpos"/>
      <w:bookmarkEnd w:id="47"/>
      <w:bookmarkEnd w:id="48"/>
      <w:r>
        <w:rPr>
          <w:rStyle w:val="SourceText"/>
        </w:rPr>
        <w:t>GPOS</w:t>
      </w:r>
    </w:p>
    <w:p>
      <w:pPr>
        <w:pStyle w:val="TextBody"/>
        <w:spacing w:before="1" w:after="283"/>
        <w:rPr/>
      </w:pPr>
      <w:r>
        <w:rPr/>
        <w:t xml:space="preserve">The following sections when combined, fully cover the </w:t>
      </w:r>
      <w:r>
        <w:rPr>
          <w:rStyle w:val="SourceText"/>
        </w:rPr>
        <w:t>GSUB</w:t>
      </w:r>
      <w:r>
        <w:rPr/>
        <w:t xml:space="preserve"> table extension:</w:t>
      </w:r>
    </w:p>
    <w:p>
      <w:pPr>
        <w:pStyle w:val="TextBody"/>
        <w:numPr>
          <w:ilvl w:val="0"/>
          <w:numId w:val="12"/>
        </w:numPr>
        <w:tabs>
          <w:tab w:val="clear" w:pos="720"/>
          <w:tab w:val="left" w:pos="0" w:leader="none"/>
        </w:tabs>
        <w:ind w:left="709" w:hanging="283"/>
        <w:rPr/>
      </w:pPr>
      <w:r>
        <w:rPr>
          <w:rStyle w:val="SourceText"/>
        </w:rPr>
        <w:t>GSUB</w:t>
      </w:r>
      <w:r>
        <w:rPr/>
        <w:t xml:space="preserve"> / </w:t>
      </w:r>
      <w:r>
        <w:rPr>
          <w:rStyle w:val="SourceText"/>
        </w:rPr>
        <w:t>GPOS</w:t>
      </w:r>
      <w:r>
        <w:rPr/>
        <w:t xml:space="preserve"> version 2 </w:t>
      </w:r>
    </w:p>
    <w:p>
      <w:pPr>
        <w:pStyle w:val="TextBody"/>
        <w:numPr>
          <w:ilvl w:val="0"/>
          <w:numId w:val="12"/>
        </w:numPr>
        <w:tabs>
          <w:tab w:val="clear" w:pos="720"/>
          <w:tab w:val="left" w:pos="0" w:leader="none"/>
        </w:tabs>
        <w:ind w:left="709" w:hanging="283"/>
        <w:rPr/>
      </w:pPr>
      <w:r>
        <w:rPr>
          <w:rStyle w:val="SourceText"/>
        </w:rPr>
        <w:t>Coverage</w:t>
      </w:r>
      <w:r>
        <w:rPr/>
        <w:t xml:space="preserve"> / </w:t>
      </w:r>
      <w:r>
        <w:rPr>
          <w:rStyle w:val="SourceText"/>
        </w:rPr>
        <w:t>ClassDef</w:t>
      </w:r>
      <w:r>
        <w:rPr/>
        <w:t xml:space="preserve"> formats 3 &amp; 4 </w:t>
      </w:r>
    </w:p>
    <w:p>
      <w:pPr>
        <w:pStyle w:val="TextBody"/>
        <w:numPr>
          <w:ilvl w:val="0"/>
          <w:numId w:val="12"/>
        </w:numPr>
        <w:tabs>
          <w:tab w:val="clear" w:pos="720"/>
          <w:tab w:val="left" w:pos="0" w:leader="none"/>
        </w:tabs>
        <w:ind w:left="709" w:hanging="283"/>
        <w:rPr/>
      </w:pPr>
      <w:r>
        <w:rPr>
          <w:rStyle w:val="SourceText"/>
        </w:rPr>
        <w:t>GPOS</w:t>
      </w:r>
      <w:r>
        <w:rPr/>
        <w:t xml:space="preserve"> </w:t>
      </w:r>
      <w:r>
        <w:rPr>
          <w:rStyle w:val="SourceText"/>
        </w:rPr>
        <w:t>PairPos</w:t>
      </w:r>
      <w:r>
        <w:rPr/>
        <w:t xml:space="preserve"> formats 3 &amp; 4 </w:t>
      </w:r>
    </w:p>
    <w:p>
      <w:pPr>
        <w:pStyle w:val="TextBody"/>
        <w:numPr>
          <w:ilvl w:val="0"/>
          <w:numId w:val="12"/>
        </w:numPr>
        <w:tabs>
          <w:tab w:val="clear" w:pos="720"/>
          <w:tab w:val="left" w:pos="0" w:leader="none"/>
        </w:tabs>
        <w:ind w:left="709" w:hanging="283"/>
        <w:rPr/>
      </w:pPr>
      <w:r>
        <w:rPr>
          <w:rStyle w:val="SourceText"/>
        </w:rPr>
        <w:t>GPOS</w:t>
      </w:r>
      <w:r>
        <w:rPr/>
        <w:t xml:space="preserve"> </w:t>
      </w:r>
      <w:r>
        <w:rPr>
          <w:rStyle w:val="SourceText"/>
        </w:rPr>
        <w:t>MarkBasePos</w:t>
      </w:r>
      <w:r>
        <w:rPr/>
        <w:t xml:space="preserve"> / </w:t>
      </w:r>
      <w:r>
        <w:rPr>
          <w:rStyle w:val="SourceText"/>
        </w:rPr>
        <w:t>MarkLigPos</w:t>
      </w:r>
      <w:r>
        <w:rPr/>
        <w:t xml:space="preserve"> / </w:t>
      </w:r>
      <w:r>
        <w:rPr>
          <w:rStyle w:val="SourceText"/>
        </w:rPr>
        <w:t>MarkMarkPos</w:t>
      </w:r>
      <w:r>
        <w:rPr/>
        <w:t xml:space="preserve"> format 2 </w:t>
      </w:r>
    </w:p>
    <w:p>
      <w:pPr>
        <w:pStyle w:val="TextBody"/>
        <w:numPr>
          <w:ilvl w:val="0"/>
          <w:numId w:val="12"/>
        </w:numPr>
        <w:tabs>
          <w:tab w:val="clear" w:pos="720"/>
          <w:tab w:val="left" w:pos="0" w:leader="none"/>
        </w:tabs>
        <w:spacing w:before="1" w:after="283"/>
        <w:ind w:left="709" w:hanging="283"/>
        <w:rPr/>
      </w:pPr>
      <w:r>
        <w:rPr>
          <w:rStyle w:val="SourceText"/>
        </w:rPr>
        <w:t>GSUB</w:t>
      </w:r>
      <w:r>
        <w:rPr/>
        <w:t xml:space="preserve"> / </w:t>
      </w:r>
      <w:r>
        <w:rPr>
          <w:rStyle w:val="SourceText"/>
        </w:rPr>
        <w:t>GPOS</w:t>
      </w:r>
      <w:r>
        <w:rPr/>
        <w:t xml:space="preserve"> </w:t>
      </w:r>
      <w:r>
        <w:rPr>
          <w:rStyle w:val="SourceText"/>
        </w:rPr>
        <w:t>(Chain)Context</w:t>
      </w:r>
      <w:r>
        <w:rPr/>
        <w:t xml:space="preserve"> format 4 &amp; 5 </w:t>
      </w:r>
    </w:p>
    <w:p>
      <w:pPr>
        <w:pStyle w:val="Heading4"/>
        <w:rPr/>
      </w:pPr>
      <w:bookmarkStart w:id="49" w:name="__RefHeading___Toc22290_2925186988"/>
      <w:bookmarkStart w:id="50" w:name="user-content-gsub--gpos-version-2"/>
      <w:bookmarkEnd w:id="49"/>
      <w:bookmarkEnd w:id="50"/>
      <w:r>
        <w:rPr>
          <w:rStyle w:val="SourceText"/>
        </w:rPr>
        <w:t>GSUB</w:t>
      </w:r>
      <w:r>
        <w:rPr/>
        <w:t xml:space="preserve"> / </w:t>
      </w:r>
      <w:r>
        <w:rPr>
          <w:rStyle w:val="SourceText"/>
        </w:rPr>
        <w:t>GPOS</w:t>
      </w:r>
      <w:r>
        <w:rPr/>
        <w:t xml:space="preserve"> version 2</w:t>
      </w:r>
    </w:p>
    <w:p>
      <w:pPr>
        <w:pStyle w:val="TextBody"/>
        <w:spacing w:before="1" w:after="283"/>
        <w:rPr/>
      </w:pPr>
      <w:r>
        <w:rPr/>
        <w:t xml:space="preserve">The main </w:t>
      </w:r>
      <w:r>
        <w:rPr>
          <w:rStyle w:val="SourceText"/>
        </w:rPr>
        <w:t>GSUB</w:t>
      </w:r>
      <w:r>
        <w:rPr/>
        <w:t xml:space="preserve"> / </w:t>
      </w:r>
      <w:r>
        <w:rPr>
          <w:rStyle w:val="SourceText"/>
        </w:rPr>
        <w:t>GPOS</w:t>
      </w:r>
      <w:r>
        <w:rPr/>
        <w:t xml:space="preserve"> structs currently result in an offset-overflow with more than ~3k lookups. They are augmented with a version 2 that alleviates this problem:</w:t>
      </w:r>
    </w:p>
    <w:p>
      <w:pPr>
        <w:pStyle w:val="PreformattedText"/>
        <w:rPr/>
      </w:pPr>
      <w:r>
        <w:rPr>
          <w:rStyle w:val="SourceText"/>
        </w:rPr>
        <w:t>struct GSUBGPOSVersion2 {</w:t>
      </w:r>
    </w:p>
    <w:p>
      <w:pPr>
        <w:pStyle w:val="PreformattedText"/>
        <w:rPr/>
      </w:pPr>
      <w:r>
        <w:rPr>
          <w:rStyle w:val="SourceText"/>
        </w:rPr>
        <w:t xml:space="preserve">  </w:t>
      </w:r>
      <w:r>
        <w:rPr>
          <w:rStyle w:val="SourceText"/>
        </w:rPr>
        <w:t>Version version; // 0x00020000</w:t>
      </w:r>
    </w:p>
    <w:p>
      <w:pPr>
        <w:pStyle w:val="PreformattedText"/>
        <w:rPr/>
      </w:pPr>
      <w:r>
        <w:rPr>
          <w:rStyle w:val="SourceText"/>
        </w:rPr>
        <w:t xml:space="preserve">  </w:t>
      </w:r>
      <w:r>
        <w:rPr>
          <w:rStyle w:val="SourceText"/>
        </w:rPr>
        <w:t>Offset24To&lt;ScriptList&gt; scripts;</w:t>
      </w:r>
    </w:p>
    <w:p>
      <w:pPr>
        <w:pStyle w:val="PreformattedText"/>
        <w:rPr/>
      </w:pPr>
      <w:r>
        <w:rPr>
          <w:rStyle w:val="SourceText"/>
        </w:rPr>
        <w:t xml:space="preserve">  </w:t>
      </w:r>
      <w:r>
        <w:rPr>
          <w:rStyle w:val="SourceText"/>
        </w:rPr>
        <w:t>Offset24To&lt;FeatureList&gt; features;</w:t>
      </w:r>
    </w:p>
    <w:p>
      <w:pPr>
        <w:pStyle w:val="PreformattedText"/>
        <w:rPr/>
      </w:pPr>
      <w:r>
        <w:rPr>
          <w:rStyle w:val="SourceText"/>
        </w:rPr>
        <w:t xml:space="preserve">  </w:t>
      </w:r>
      <w:r>
        <w:rPr>
          <w:rStyle w:val="SourceText"/>
        </w:rPr>
        <w:t>Offset24To&lt;LookupList24&gt; lookups;</w:t>
      </w:r>
    </w:p>
    <w:p>
      <w:pPr>
        <w:pStyle w:val="PreformattedText"/>
        <w:rPr/>
      </w:pPr>
      <w:r>
        <w:rPr>
          <w:rStyle w:val="SourceText"/>
        </w:rPr>
        <w:t xml:space="preserve">  </w:t>
      </w:r>
      <w:r>
        <w:rPr>
          <w:rStyle w:val="SourceText"/>
        </w:rPr>
        <w:t>Offset32To&lt;FeatureVariations&gt; featureVars;</w:t>
      </w:r>
    </w:p>
    <w:p>
      <w:pPr>
        <w:pStyle w:val="PreformattedText"/>
        <w:spacing w:before="0" w:after="283"/>
        <w:rPr/>
      </w:pPr>
      <w:r>
        <w:rPr>
          <w:rStyle w:val="SourceText"/>
        </w:rPr>
        <w:t>};</w:t>
      </w:r>
    </w:p>
    <w:p>
      <w:pPr>
        <w:pStyle w:val="TextBody"/>
        <w:spacing w:before="1" w:after="283"/>
        <w:rPr/>
      </w:pPr>
      <w:r>
        <w:rPr/>
        <w:t>Note that the last item is a 32bit offset, for compatibility with version 0x00010001 tables.</w:t>
      </w:r>
    </w:p>
    <w:p>
      <w:pPr>
        <w:pStyle w:val="TextBody"/>
        <w:spacing w:before="1" w:after="283"/>
        <w:rPr/>
      </w:pPr>
      <w:r>
        <w:rPr>
          <w:rStyle w:val="SourceText"/>
        </w:rPr>
        <w:t>LookupList24</w:t>
      </w:r>
      <w:r>
        <w:rPr/>
        <w:t xml:space="preserve"> is a </w:t>
      </w:r>
      <w:r>
        <w:rPr>
          <w:rStyle w:val="SourceText"/>
        </w:rPr>
        <w:t>List16</w:t>
      </w:r>
      <w:r>
        <w:rPr/>
        <w:t xml:space="preserve"> of </w:t>
      </w:r>
      <w:r>
        <w:rPr>
          <w:rStyle w:val="SourceText"/>
        </w:rPr>
        <w:t>Offset24</w:t>
      </w:r>
      <w:r>
        <w:rPr/>
        <w:t xml:space="preserve"> to </w:t>
      </w:r>
      <w:r>
        <w:rPr>
          <w:rStyle w:val="SourceText"/>
        </w:rPr>
        <w:t>Lookup</w:t>
      </w:r>
      <w:r>
        <w:rPr/>
        <w:t xml:space="preserve"> structures:</w:t>
      </w:r>
    </w:p>
    <w:p>
      <w:pPr>
        <w:pStyle w:val="PreformattedText"/>
        <w:spacing w:before="0" w:after="283"/>
        <w:rPr/>
      </w:pPr>
      <w:r>
        <w:rPr>
          <w:rStyle w:val="SourceText"/>
        </w:rPr>
        <w:t>using LookupList24 = List16OfOffse24tTo&lt;Lookup&gt;;</w:t>
      </w:r>
    </w:p>
    <w:p>
      <w:pPr>
        <w:pStyle w:val="Heading4"/>
        <w:rPr/>
      </w:pPr>
      <w:bookmarkStart w:id="51" w:name="__RefHeading___Toc22292_2925186988"/>
      <w:bookmarkStart w:id="52" w:name="user-content-coverage--classdef-formats-"/>
      <w:bookmarkEnd w:id="51"/>
      <w:bookmarkEnd w:id="52"/>
      <w:r>
        <w:rPr>
          <w:rStyle w:val="SourceText"/>
        </w:rPr>
        <w:t>Coverage</w:t>
      </w:r>
      <w:r>
        <w:rPr/>
        <w:t xml:space="preserve"> / </w:t>
      </w:r>
      <w:r>
        <w:rPr>
          <w:rStyle w:val="SourceText"/>
        </w:rPr>
        <w:t>ClassDef</w:t>
      </w:r>
      <w:r>
        <w:rPr/>
        <w:t xml:space="preserve"> formats 3 &amp; 4</w:t>
      </w:r>
    </w:p>
    <w:p>
      <w:pPr>
        <w:pStyle w:val="TextBody"/>
        <w:spacing w:before="1" w:after="283"/>
        <w:rPr/>
      </w:pPr>
      <w:r>
        <w:rPr/>
        <w:t>Coverage and ClassDef tables are augmented with formats 3 and 4 to allow for gid24, which parallel formats 1 &amp; 2 respectively:</w:t>
      </w:r>
    </w:p>
    <w:p>
      <w:pPr>
        <w:pStyle w:val="PreformattedText"/>
        <w:rPr/>
      </w:pPr>
      <w:r>
        <w:rPr>
          <w:rStyle w:val="SourceText"/>
        </w:rPr>
        <w:t>struct CoverageFormat3 {</w:t>
      </w:r>
    </w:p>
    <w:p>
      <w:pPr>
        <w:pStyle w:val="PreformattedText"/>
        <w:rPr/>
      </w:pPr>
      <w:r>
        <w:rPr>
          <w:rStyle w:val="SourceText"/>
        </w:rPr>
        <w:t xml:space="preserve">  </w:t>
      </w:r>
      <w:r>
        <w:rPr>
          <w:rStyle w:val="SourceText"/>
        </w:rPr>
        <w:t>uint16 format; // == 3</w:t>
      </w:r>
    </w:p>
    <w:p>
      <w:pPr>
        <w:pStyle w:val="PreformattedText"/>
        <w:rPr/>
      </w:pPr>
      <w:r>
        <w:rPr>
          <w:rStyle w:val="SourceText"/>
        </w:rPr>
        <w:t xml:space="preserve">  </w:t>
      </w:r>
      <w:r>
        <w:rPr>
          <w:rStyle w:val="SourceText"/>
        </w:rPr>
        <w:t>Array16Of&lt;GlyphID24&gt; glyphs;</w:t>
      </w:r>
    </w:p>
    <w:p>
      <w:pPr>
        <w:pStyle w:val="PreformattedText"/>
        <w:rPr/>
      </w:pPr>
      <w:r>
        <w:rPr>
          <w:rStyle w:val="SourceText"/>
        </w:rPr>
        <w:t>};</w:t>
      </w:r>
    </w:p>
    <w:p>
      <w:pPr>
        <w:pStyle w:val="PreformattedText"/>
        <w:rPr/>
      </w:pPr>
      <w:r>
        <w:rPr/>
      </w:r>
    </w:p>
    <w:p>
      <w:pPr>
        <w:pStyle w:val="PreformattedText"/>
        <w:rPr/>
      </w:pPr>
      <w:r>
        <w:rPr>
          <w:rStyle w:val="SourceText"/>
        </w:rPr>
        <w:t>struct CoverageFormat4 {</w:t>
      </w:r>
    </w:p>
    <w:p>
      <w:pPr>
        <w:pStyle w:val="PreformattedText"/>
        <w:rPr/>
      </w:pPr>
      <w:r>
        <w:rPr>
          <w:rStyle w:val="SourceText"/>
        </w:rPr>
        <w:t xml:space="preserve">  </w:t>
      </w:r>
      <w:r>
        <w:rPr>
          <w:rStyle w:val="SourceText"/>
        </w:rPr>
        <w:t>uint16 format; // == 4</w:t>
      </w:r>
    </w:p>
    <w:p>
      <w:pPr>
        <w:pStyle w:val="PreformattedText"/>
        <w:rPr/>
      </w:pPr>
      <w:r>
        <w:rPr>
          <w:rStyle w:val="SourceText"/>
        </w:rPr>
        <w:t xml:space="preserve">  </w:t>
      </w:r>
      <w:r>
        <w:rPr>
          <w:rStyle w:val="SourceText"/>
        </w:rPr>
        <w:t>Array16Of&lt;Range24Record&gt; ranges;</w:t>
      </w:r>
    </w:p>
    <w:p>
      <w:pPr>
        <w:pStyle w:val="PreformattedText"/>
        <w:rPr/>
      </w:pPr>
      <w:r>
        <w:rPr>
          <w:rStyle w:val="SourceText"/>
        </w:rPr>
        <w:t>};</w:t>
      </w:r>
    </w:p>
    <w:p>
      <w:pPr>
        <w:pStyle w:val="PreformattedText"/>
        <w:rPr/>
      </w:pPr>
      <w:r>
        <w:rPr/>
      </w:r>
    </w:p>
    <w:p>
      <w:pPr>
        <w:pStyle w:val="PreformattedText"/>
        <w:rPr/>
      </w:pPr>
      <w:r>
        <w:rPr>
          <w:rStyle w:val="SourceText"/>
        </w:rPr>
        <w:t>struct ClassDefFormat3 {</w:t>
      </w:r>
    </w:p>
    <w:p>
      <w:pPr>
        <w:pStyle w:val="PreformattedText"/>
        <w:rPr/>
      </w:pPr>
      <w:r>
        <w:rPr>
          <w:rStyle w:val="SourceText"/>
        </w:rPr>
        <w:t xml:space="preserve">  </w:t>
      </w:r>
      <w:r>
        <w:rPr>
          <w:rStyle w:val="SourceText"/>
        </w:rPr>
        <w:t>uint16 format; // == 3</w:t>
      </w:r>
    </w:p>
    <w:p>
      <w:pPr>
        <w:pStyle w:val="PreformattedText"/>
        <w:rPr/>
      </w:pPr>
      <w:r>
        <w:rPr>
          <w:rStyle w:val="SourceText"/>
        </w:rPr>
        <w:t xml:space="preserve">  </w:t>
      </w:r>
      <w:r>
        <w:rPr>
          <w:rStyle w:val="SourceText"/>
        </w:rPr>
        <w:t>GlyphID24 startGlyphID;</w:t>
      </w:r>
    </w:p>
    <w:p>
      <w:pPr>
        <w:pStyle w:val="PreformattedText"/>
        <w:rPr/>
      </w:pPr>
      <w:r>
        <w:rPr>
          <w:rStyle w:val="SourceText"/>
        </w:rPr>
        <w:t xml:space="preserve">  </w:t>
      </w:r>
      <w:r>
        <w:rPr>
          <w:rStyle w:val="SourceText"/>
        </w:rPr>
        <w:t>Array24Of&lt;uint16&gt; classes;</w:t>
      </w:r>
    </w:p>
    <w:p>
      <w:pPr>
        <w:pStyle w:val="PreformattedText"/>
        <w:rPr/>
      </w:pPr>
      <w:r>
        <w:rPr>
          <w:rStyle w:val="SourceText"/>
        </w:rPr>
        <w:t>};</w:t>
      </w:r>
    </w:p>
    <w:p>
      <w:pPr>
        <w:pStyle w:val="PreformattedText"/>
        <w:rPr/>
      </w:pPr>
      <w:r>
        <w:rPr/>
      </w:r>
    </w:p>
    <w:p>
      <w:pPr>
        <w:pStyle w:val="PreformattedText"/>
        <w:rPr/>
      </w:pPr>
      <w:r>
        <w:rPr>
          <w:rStyle w:val="SourceText"/>
        </w:rPr>
        <w:t>struct ClassDefFormat4 {</w:t>
      </w:r>
    </w:p>
    <w:p>
      <w:pPr>
        <w:pStyle w:val="PreformattedText"/>
        <w:rPr/>
      </w:pPr>
      <w:r>
        <w:rPr>
          <w:rStyle w:val="SourceText"/>
        </w:rPr>
        <w:t xml:space="preserve">  </w:t>
      </w:r>
      <w:r>
        <w:rPr>
          <w:rStyle w:val="SourceText"/>
        </w:rPr>
        <w:t>uint16 format; // == 4</w:t>
      </w:r>
    </w:p>
    <w:p>
      <w:pPr>
        <w:pStyle w:val="PreformattedText"/>
        <w:rPr/>
      </w:pPr>
      <w:r>
        <w:rPr>
          <w:rStyle w:val="SourceText"/>
        </w:rPr>
        <w:t xml:space="preserve">  </w:t>
      </w:r>
      <w:r>
        <w:rPr>
          <w:rStyle w:val="SourceText"/>
        </w:rPr>
        <w:t>Array24Of&lt;Range24Record&gt; ranges;</w:t>
      </w:r>
    </w:p>
    <w:p>
      <w:pPr>
        <w:pStyle w:val="PreformattedText"/>
        <w:rPr/>
      </w:pPr>
      <w:r>
        <w:rPr>
          <w:rStyle w:val="SourceText"/>
        </w:rPr>
        <w:t>};</w:t>
      </w:r>
    </w:p>
    <w:p>
      <w:pPr>
        <w:pStyle w:val="PreformattedText"/>
        <w:rPr/>
      </w:pPr>
      <w:r>
        <w:rPr/>
      </w:r>
    </w:p>
    <w:p>
      <w:pPr>
        <w:pStyle w:val="PreformattedText"/>
        <w:rPr/>
      </w:pPr>
      <w:r>
        <w:rPr>
          <w:rStyle w:val="SourceText"/>
        </w:rPr>
        <w:t>struct Range24Record {</w:t>
      </w:r>
    </w:p>
    <w:p>
      <w:pPr>
        <w:pStyle w:val="PreformattedText"/>
        <w:rPr/>
      </w:pPr>
      <w:r>
        <w:rPr>
          <w:rStyle w:val="SourceText"/>
        </w:rPr>
        <w:t xml:space="preserve">  </w:t>
      </w:r>
      <w:r>
        <w:rPr>
          <w:rStyle w:val="SourceText"/>
        </w:rPr>
        <w:t>GlyphID24 startGlyphID;</w:t>
      </w:r>
    </w:p>
    <w:p>
      <w:pPr>
        <w:pStyle w:val="PreformattedText"/>
        <w:rPr/>
      </w:pPr>
      <w:r>
        <w:rPr>
          <w:rStyle w:val="SourceText"/>
        </w:rPr>
        <w:t xml:space="preserve">  </w:t>
      </w:r>
      <w:r>
        <w:rPr>
          <w:rStyle w:val="SourceText"/>
        </w:rPr>
        <w:t>GlyphID24 endGlyphID;</w:t>
      </w:r>
    </w:p>
    <w:p>
      <w:pPr>
        <w:pStyle w:val="PreformattedText"/>
        <w:rPr/>
      </w:pPr>
      <w:r>
        <w:rPr>
          <w:rStyle w:val="SourceText"/>
        </w:rPr>
        <w:t xml:space="preserve">  </w:t>
      </w:r>
      <w:r>
        <w:rPr>
          <w:rStyle w:val="SourceText"/>
        </w:rPr>
        <w:t>uint16 value;</w:t>
      </w:r>
    </w:p>
    <w:p>
      <w:pPr>
        <w:pStyle w:val="PreformattedText"/>
        <w:spacing w:before="0" w:after="283"/>
        <w:rPr/>
      </w:pPr>
      <w:r>
        <w:rPr>
          <w:rStyle w:val="SourceText"/>
        </w:rPr>
        <w:t>};</w:t>
      </w:r>
    </w:p>
    <w:p>
      <w:pPr>
        <w:pStyle w:val="Heading4"/>
        <w:rPr/>
      </w:pPr>
      <w:bookmarkStart w:id="53" w:name="__RefHeading___Toc22294_2925186988"/>
      <w:bookmarkStart w:id="54" w:name="user-content-gsub-singlesubst-formats-3-"/>
      <w:bookmarkEnd w:id="53"/>
      <w:bookmarkEnd w:id="54"/>
      <w:r>
        <w:rPr>
          <w:rStyle w:val="SourceText"/>
        </w:rPr>
        <w:t>GSUB</w:t>
      </w:r>
      <w:r>
        <w:rPr/>
        <w:t xml:space="preserve"> </w:t>
      </w:r>
      <w:r>
        <w:rPr>
          <w:rStyle w:val="SourceText"/>
        </w:rPr>
        <w:t>SingleSubst</w:t>
      </w:r>
      <w:r>
        <w:rPr/>
        <w:t xml:space="preserve"> formats 3 &amp; 4</w:t>
      </w:r>
    </w:p>
    <w:p>
      <w:pPr>
        <w:pStyle w:val="TextBody"/>
        <w:spacing w:before="1" w:after="283"/>
        <w:rPr/>
      </w:pPr>
      <w:r>
        <w:rPr/>
        <w:t>Clarify that in format 1, delta addition math only affects the lower 16bits of the gid. Format 3 delta addition math is module 2^24.</w:t>
      </w:r>
    </w:p>
    <w:p>
      <w:pPr>
        <w:pStyle w:val="TextBody"/>
        <w:spacing w:before="1" w:after="283"/>
        <w:rPr/>
      </w:pPr>
      <w:r>
        <w:rPr/>
        <w:t>Two new formats, 3 &amp; 4, are introduced, that parallel formats 1 &amp; 2 respectively:</w:t>
      </w:r>
    </w:p>
    <w:p>
      <w:pPr>
        <w:pStyle w:val="PreformattedText"/>
        <w:rPr/>
      </w:pPr>
      <w:r>
        <w:rPr>
          <w:rStyle w:val="SourceText"/>
        </w:rPr>
        <w:t>struct SingleSubstFormat3 {</w:t>
      </w:r>
    </w:p>
    <w:p>
      <w:pPr>
        <w:pStyle w:val="PreformattedText"/>
        <w:rPr/>
      </w:pPr>
      <w:r>
        <w:rPr>
          <w:rStyle w:val="SourceText"/>
        </w:rPr>
        <w:t xml:space="preserve">  </w:t>
      </w:r>
      <w:r>
        <w:rPr>
          <w:rStyle w:val="SourceText"/>
        </w:rPr>
        <w:t>uint16 format; // == 3</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int24 deltaGlyphID;</w:t>
      </w:r>
    </w:p>
    <w:p>
      <w:pPr>
        <w:pStyle w:val="PreformattedText"/>
        <w:rPr/>
      </w:pPr>
      <w:r>
        <w:rPr>
          <w:rStyle w:val="SourceText"/>
        </w:rPr>
        <w:t>};</w:t>
      </w:r>
    </w:p>
    <w:p>
      <w:pPr>
        <w:pStyle w:val="PreformattedText"/>
        <w:rPr/>
      </w:pPr>
      <w:r>
        <w:rPr/>
      </w:r>
    </w:p>
    <w:p>
      <w:pPr>
        <w:pStyle w:val="PreformattedText"/>
        <w:rPr/>
      </w:pPr>
      <w:r>
        <w:rPr>
          <w:rStyle w:val="SourceText"/>
        </w:rPr>
        <w:t>struct SingleSubstFormat4 {</w:t>
      </w:r>
    </w:p>
    <w:p>
      <w:pPr>
        <w:pStyle w:val="PreformattedText"/>
        <w:rPr/>
      </w:pPr>
      <w:r>
        <w:rPr>
          <w:rStyle w:val="SourceText"/>
        </w:rPr>
        <w:t xml:space="preserve">  </w:t>
      </w:r>
      <w:r>
        <w:rPr>
          <w:rStyle w:val="SourceText"/>
        </w:rPr>
        <w:t>uint16 format; //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Array16Of&lt;GlyphID24&gt; substitutes;</w:t>
      </w:r>
    </w:p>
    <w:p>
      <w:pPr>
        <w:pStyle w:val="PreformattedText"/>
        <w:spacing w:before="0" w:after="283"/>
        <w:rPr/>
      </w:pPr>
      <w:r>
        <w:rPr>
          <w:rStyle w:val="SourceText"/>
        </w:rPr>
        <w:t>};</w:t>
      </w:r>
    </w:p>
    <w:p>
      <w:pPr>
        <w:pStyle w:val="Heading4"/>
        <w:rPr/>
      </w:pPr>
      <w:bookmarkStart w:id="55" w:name="__RefHeading___Toc22296_2925186988"/>
      <w:bookmarkStart w:id="56" w:name="user-content-gsub-multiplesubst--alterna"/>
      <w:bookmarkEnd w:id="55"/>
      <w:bookmarkEnd w:id="56"/>
      <w:r>
        <w:rPr>
          <w:rStyle w:val="SourceText"/>
          <w:rFonts w:ascii="Courier New" w:hAnsi="Courier New"/>
        </w:rPr>
        <w:t>GSUB</w:t>
      </w:r>
      <w:r>
        <w:rPr/>
        <w:t xml:space="preserve"> </w:t>
      </w:r>
      <w:r>
        <w:rPr>
          <w:rStyle w:val="SourceText"/>
          <w:rFonts w:ascii="Courier New" w:hAnsi="Courier New"/>
        </w:rPr>
        <w:t>MultipleSubst</w:t>
      </w:r>
      <w:r>
        <w:rPr/>
        <w:t xml:space="preserve"> / </w:t>
      </w:r>
      <w:r>
        <w:rPr>
          <w:rStyle w:val="SourceText"/>
          <w:rFonts w:ascii="Courier New" w:hAnsi="Courier New"/>
        </w:rPr>
        <w:t>AlternateSubst</w:t>
      </w:r>
      <w:r>
        <w:rPr/>
        <w:t xml:space="preserve"> format 2</w:t>
      </w:r>
    </w:p>
    <w:p>
      <w:pPr>
        <w:pStyle w:val="TextBody"/>
        <w:spacing w:before="1" w:after="283"/>
        <w:rPr/>
      </w:pPr>
      <w:r>
        <w:rPr/>
        <w:t>Format 2 is introduced to enable gid24:</w:t>
      </w:r>
    </w:p>
    <w:p>
      <w:pPr>
        <w:pStyle w:val="PreformattedText"/>
        <w:rPr/>
      </w:pPr>
      <w:r>
        <w:rPr>
          <w:rStyle w:val="SourceText"/>
        </w:rPr>
        <w:t>struct MultipleSubstFormat2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Array16Of&lt;Offset24To&lt;Sequence24&gt;&gt; sequences;</w:t>
      </w:r>
    </w:p>
    <w:p>
      <w:pPr>
        <w:pStyle w:val="PreformattedText"/>
        <w:rPr/>
      </w:pPr>
      <w:r>
        <w:rPr>
          <w:rStyle w:val="SourceText"/>
        </w:rPr>
        <w:t>};</w:t>
      </w:r>
    </w:p>
    <w:p>
      <w:pPr>
        <w:pStyle w:val="PreformattedText"/>
        <w:rPr/>
      </w:pPr>
      <w:r>
        <w:rPr/>
      </w:r>
    </w:p>
    <w:p>
      <w:pPr>
        <w:pStyle w:val="PreformattedText"/>
        <w:rPr/>
      </w:pPr>
      <w:r>
        <w:rPr>
          <w:rStyle w:val="SourceText"/>
        </w:rPr>
        <w:t>typedef Array16Of&lt;GlyphID24&gt; Sequence24;</w:t>
      </w:r>
    </w:p>
    <w:p>
      <w:pPr>
        <w:pStyle w:val="PreformattedText"/>
        <w:rPr/>
      </w:pPr>
      <w:r>
        <w:rPr/>
      </w:r>
    </w:p>
    <w:p>
      <w:pPr>
        <w:pStyle w:val="PreformattedText"/>
        <w:rPr/>
      </w:pPr>
      <w:r>
        <w:rPr>
          <w:rStyle w:val="SourceText"/>
        </w:rPr>
        <w:t>struct AlternateSubstFormat2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Array16Of&lt;Offset24To&lt;AlternateSet24&gt;&gt; alternateSets;</w:t>
      </w:r>
    </w:p>
    <w:p>
      <w:pPr>
        <w:pStyle w:val="PreformattedText"/>
        <w:rPr/>
      </w:pPr>
      <w:r>
        <w:rPr>
          <w:rStyle w:val="SourceText"/>
        </w:rPr>
        <w:t>};</w:t>
      </w:r>
    </w:p>
    <w:p>
      <w:pPr>
        <w:pStyle w:val="PreformattedText"/>
        <w:rPr/>
      </w:pPr>
      <w:r>
        <w:rPr/>
      </w:r>
    </w:p>
    <w:p>
      <w:pPr>
        <w:pStyle w:val="PreformattedText"/>
        <w:spacing w:before="0" w:after="283"/>
        <w:rPr/>
      </w:pPr>
      <w:r>
        <w:rPr>
          <w:rStyle w:val="SourceText"/>
        </w:rPr>
        <w:t>typedef Array16Of&lt;GlyphID24&gt; AlternateSet24;</w:t>
      </w:r>
    </w:p>
    <w:p>
      <w:pPr>
        <w:pStyle w:val="Heading4"/>
        <w:rPr/>
      </w:pPr>
      <w:bookmarkStart w:id="57" w:name="__RefHeading___Toc22298_2925186988"/>
      <w:bookmarkStart w:id="58" w:name="user-content-gsub-ligaturesubst-format-2"/>
      <w:bookmarkEnd w:id="57"/>
      <w:bookmarkEnd w:id="58"/>
      <w:r>
        <w:rPr>
          <w:rStyle w:val="SourceText"/>
          <w:rFonts w:ascii="Courier New" w:hAnsi="Courier New"/>
        </w:rPr>
        <w:t>GSUB</w:t>
      </w:r>
      <w:r>
        <w:rPr/>
        <w:t xml:space="preserve"> </w:t>
      </w:r>
      <w:r>
        <w:rPr>
          <w:rStyle w:val="SourceText"/>
          <w:rFonts w:ascii="Courier New" w:hAnsi="Courier New"/>
        </w:rPr>
        <w:t>LigatureSubst</w:t>
      </w:r>
      <w:r>
        <w:rPr/>
        <w:t xml:space="preserve"> format 2</w:t>
      </w:r>
    </w:p>
    <w:p>
      <w:pPr>
        <w:pStyle w:val="TextBody"/>
        <w:spacing w:before="1" w:after="283"/>
        <w:rPr/>
      </w:pPr>
      <w:r>
        <w:rPr/>
        <w:t xml:space="preserve">Format 2 is introduced to enable </w:t>
      </w:r>
      <w:r>
        <w:rPr>
          <w:rFonts w:ascii="Courier New" w:hAnsi="Courier New"/>
        </w:rPr>
        <w:t>gid24</w:t>
      </w:r>
      <w:r>
        <w:rPr/>
        <w:t>:</w:t>
      </w:r>
    </w:p>
    <w:p>
      <w:pPr>
        <w:pStyle w:val="PreformattedText"/>
        <w:rPr/>
      </w:pPr>
      <w:r>
        <w:rPr>
          <w:rStyle w:val="SourceText"/>
        </w:rPr>
        <w:t>struct LigatureSubstFormat2 {</w:t>
      </w:r>
    </w:p>
    <w:p>
      <w:pPr>
        <w:pStyle w:val="PreformattedText"/>
        <w:rPr/>
      </w:pPr>
      <w:r>
        <w:rPr>
          <w:rStyle w:val="SourceText"/>
        </w:rPr>
        <w:t xml:space="preserve">  </w:t>
      </w:r>
      <w:r>
        <w:rPr>
          <w:rStyle w:val="SourceText"/>
        </w:rPr>
        <w:t>uint16 format; == 2</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Array16Of&lt;Offset24To&lt;LigatureSet24&gt;&gt; ligatureSets;</w:t>
      </w:r>
    </w:p>
    <w:p>
      <w:pPr>
        <w:pStyle w:val="PreformattedText"/>
        <w:rPr/>
      </w:pPr>
      <w:r>
        <w:rPr>
          <w:rStyle w:val="SourceText"/>
        </w:rPr>
        <w:t>};</w:t>
      </w:r>
    </w:p>
    <w:p>
      <w:pPr>
        <w:pStyle w:val="PreformattedText"/>
        <w:rPr/>
      </w:pPr>
      <w:r>
        <w:rPr/>
      </w:r>
    </w:p>
    <w:p>
      <w:pPr>
        <w:pStyle w:val="PreformattedText"/>
        <w:rPr/>
      </w:pPr>
      <w:r>
        <w:rPr>
          <w:rStyle w:val="SourceText"/>
        </w:rPr>
        <w:t>struct LigatureSet24 {</w:t>
      </w:r>
    </w:p>
    <w:p>
      <w:pPr>
        <w:pStyle w:val="PreformattedText"/>
        <w:rPr/>
      </w:pPr>
      <w:r>
        <w:rPr>
          <w:rStyle w:val="SourceText"/>
        </w:rPr>
        <w:t xml:space="preserve">  </w:t>
      </w:r>
      <w:r>
        <w:rPr>
          <w:rStyle w:val="SourceText"/>
        </w:rPr>
        <w:t>Array16Of&lt;Offset16To&lt;Ligature24&gt;&gt; ligatures;</w:t>
      </w:r>
    </w:p>
    <w:p>
      <w:pPr>
        <w:pStyle w:val="PreformattedText"/>
        <w:rPr/>
      </w:pPr>
      <w:r>
        <w:rPr>
          <w:rStyle w:val="SourceText"/>
        </w:rPr>
        <w:t>};</w:t>
      </w:r>
    </w:p>
    <w:p>
      <w:pPr>
        <w:pStyle w:val="PreformattedText"/>
        <w:rPr/>
      </w:pPr>
      <w:r>
        <w:rPr/>
      </w:r>
    </w:p>
    <w:p>
      <w:pPr>
        <w:pStyle w:val="PreformattedText"/>
        <w:rPr/>
      </w:pPr>
      <w:r>
        <w:rPr>
          <w:rStyle w:val="SourceText"/>
        </w:rPr>
        <w:t>struct Ligature24 {</w:t>
      </w:r>
    </w:p>
    <w:p>
      <w:pPr>
        <w:pStyle w:val="PreformattedText"/>
        <w:rPr/>
      </w:pPr>
      <w:r>
        <w:rPr>
          <w:rStyle w:val="SourceText"/>
        </w:rPr>
        <w:t xml:space="preserve">  </w:t>
      </w:r>
      <w:r>
        <w:rPr>
          <w:rStyle w:val="SourceText"/>
        </w:rPr>
        <w:t>GlyphID24 ligatureGlyph;</w:t>
      </w:r>
    </w:p>
    <w:p>
      <w:pPr>
        <w:pStyle w:val="PreformattedText"/>
        <w:rPr/>
      </w:pPr>
      <w:r>
        <w:rPr>
          <w:rStyle w:val="SourceText"/>
        </w:rPr>
        <w:t xml:space="preserve">  </w:t>
      </w:r>
      <w:r>
        <w:rPr>
          <w:rStyle w:val="SourceText"/>
        </w:rPr>
        <w:t>uint16 componentCount;</w:t>
      </w:r>
    </w:p>
    <w:p>
      <w:pPr>
        <w:pStyle w:val="PreformattedText"/>
        <w:rPr/>
      </w:pPr>
      <w:r>
        <w:rPr>
          <w:rStyle w:val="SourceText"/>
        </w:rPr>
        <w:t xml:space="preserve">  </w:t>
      </w:r>
      <w:r>
        <w:rPr>
          <w:rStyle w:val="SourceText"/>
        </w:rPr>
        <w:t>GlyphID24 componentGlyphIDs[componentCount - 1];</w:t>
      </w:r>
    </w:p>
    <w:p>
      <w:pPr>
        <w:pStyle w:val="PreformattedText"/>
        <w:spacing w:before="0" w:after="283"/>
        <w:rPr/>
      </w:pPr>
      <w:r>
        <w:rPr>
          <w:rStyle w:val="SourceText"/>
        </w:rPr>
        <w:t>};</w:t>
      </w:r>
    </w:p>
    <w:p>
      <w:pPr>
        <w:pStyle w:val="Heading4"/>
        <w:rPr/>
      </w:pPr>
      <w:bookmarkStart w:id="59" w:name="__RefHeading___Toc22300_2925186988"/>
      <w:bookmarkStart w:id="60" w:name="user-content-gpos-pairpos-formats-3--4"/>
      <w:bookmarkEnd w:id="59"/>
      <w:bookmarkEnd w:id="60"/>
      <w:r>
        <w:rPr>
          <w:rStyle w:val="SourceText"/>
          <w:rFonts w:ascii="Courier New" w:hAnsi="Courier New"/>
        </w:rPr>
        <w:t>GPOS</w:t>
      </w:r>
      <w:r>
        <w:rPr/>
        <w:t xml:space="preserve"> </w:t>
      </w:r>
      <w:r>
        <w:rPr>
          <w:rStyle w:val="SourceText"/>
          <w:rFonts w:ascii="Courier New" w:hAnsi="Courier New"/>
        </w:rPr>
        <w:t>PairPos</w:t>
      </w:r>
      <w:r>
        <w:rPr/>
        <w:t xml:space="preserve"> formats 3 &amp; 4</w:t>
      </w:r>
    </w:p>
    <w:p>
      <w:pPr>
        <w:pStyle w:val="TextBody"/>
        <w:spacing w:before="1" w:after="283"/>
        <w:rPr/>
      </w:pPr>
      <w:r>
        <w:rPr/>
        <w:t>Two new formats, 3 &amp; 4, are introduced that parallel formats 1 &amp; 2.</w:t>
      </w:r>
    </w:p>
    <w:p>
      <w:pPr>
        <w:pStyle w:val="TextBody"/>
        <w:spacing w:before="1" w:after="283"/>
        <w:rPr/>
      </w:pPr>
      <w:r>
        <w:rPr/>
        <w:t>Format 4 is only introduced to alleviate offset-overflow issues and is not otherwise needed for gid24 support.</w:t>
      </w:r>
    </w:p>
    <w:p>
      <w:pPr>
        <w:pStyle w:val="PreformattedText"/>
        <w:rPr/>
      </w:pPr>
      <w:r>
        <w:rPr>
          <w:rStyle w:val="SourceText"/>
        </w:rPr>
        <w:t>struct PosFormat3 {</w:t>
      </w:r>
    </w:p>
    <w:p>
      <w:pPr>
        <w:pStyle w:val="PreformattedText"/>
        <w:rPr/>
      </w:pPr>
      <w:r>
        <w:rPr>
          <w:rStyle w:val="SourceText"/>
        </w:rPr>
        <w:t xml:space="preserve">  </w:t>
      </w:r>
      <w:r>
        <w:rPr>
          <w:rStyle w:val="SourceText"/>
        </w:rPr>
        <w:t>uint16 format; == 3</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uint16 valueFormat1;</w:t>
      </w:r>
    </w:p>
    <w:p>
      <w:pPr>
        <w:pStyle w:val="PreformattedText"/>
        <w:rPr/>
      </w:pPr>
      <w:r>
        <w:rPr>
          <w:rStyle w:val="SourceText"/>
        </w:rPr>
        <w:t xml:space="preserve">  </w:t>
      </w:r>
      <w:r>
        <w:rPr>
          <w:rStyle w:val="SourceText"/>
        </w:rPr>
        <w:t>uint16 valueFormat2;</w:t>
      </w:r>
    </w:p>
    <w:p>
      <w:pPr>
        <w:pStyle w:val="PreformattedText"/>
        <w:rPr/>
      </w:pPr>
      <w:r>
        <w:rPr>
          <w:rStyle w:val="SourceText"/>
        </w:rPr>
        <w:t xml:space="preserve">  </w:t>
      </w:r>
      <w:r>
        <w:rPr>
          <w:rStyle w:val="SourceText"/>
        </w:rPr>
        <w:t>Array16Of&lt;Offset24To&lt;PairSet24&gt;&gt; pairSets;</w:t>
      </w:r>
    </w:p>
    <w:p>
      <w:pPr>
        <w:pStyle w:val="PreformattedText"/>
        <w:rPr/>
      </w:pPr>
      <w:r>
        <w:rPr>
          <w:rStyle w:val="SourceText"/>
        </w:rPr>
        <w:t>};</w:t>
      </w:r>
    </w:p>
    <w:p>
      <w:pPr>
        <w:pStyle w:val="PreformattedText"/>
        <w:rPr/>
      </w:pPr>
      <w:r>
        <w:rPr/>
      </w:r>
    </w:p>
    <w:p>
      <w:pPr>
        <w:pStyle w:val="PreformattedText"/>
        <w:rPr/>
      </w:pPr>
      <w:r>
        <w:rPr>
          <w:rStyle w:val="SourceText"/>
        </w:rPr>
        <w:t>struct PairSet24 {</w:t>
      </w:r>
    </w:p>
    <w:p>
      <w:pPr>
        <w:pStyle w:val="PreformattedText"/>
        <w:rPr/>
      </w:pPr>
      <w:r>
        <w:rPr>
          <w:rStyle w:val="SourceText"/>
        </w:rPr>
        <w:t xml:space="preserve">  </w:t>
      </w:r>
      <w:r>
        <w:rPr>
          <w:rStyle w:val="SourceText"/>
        </w:rPr>
        <w:t>uint24 pairValueCount;</w:t>
      </w:r>
    </w:p>
    <w:p>
      <w:pPr>
        <w:pStyle w:val="PreformattedText"/>
        <w:rPr/>
      </w:pPr>
      <w:r>
        <w:rPr>
          <w:rStyle w:val="SourceText"/>
        </w:rPr>
        <w:t xml:space="preserve">  </w:t>
      </w:r>
      <w:r>
        <w:rPr>
          <w:rStyle w:val="SourceText"/>
        </w:rPr>
        <w:t>PairValueRecord24 pairValueRecords[pairValueCount];</w:t>
      </w:r>
    </w:p>
    <w:p>
      <w:pPr>
        <w:pStyle w:val="PreformattedText"/>
        <w:rPr/>
      </w:pPr>
      <w:r>
        <w:rPr>
          <w:rStyle w:val="SourceText"/>
        </w:rPr>
        <w:t>};</w:t>
      </w:r>
    </w:p>
    <w:p>
      <w:pPr>
        <w:pStyle w:val="PreformattedText"/>
        <w:rPr/>
      </w:pPr>
      <w:r>
        <w:rPr/>
      </w:r>
    </w:p>
    <w:p>
      <w:pPr>
        <w:pStyle w:val="PreformattedText"/>
        <w:rPr/>
      </w:pPr>
      <w:r>
        <w:rPr>
          <w:rStyle w:val="SourceText"/>
        </w:rPr>
        <w:t>struct PairValueRecord24 {</w:t>
      </w:r>
    </w:p>
    <w:p>
      <w:pPr>
        <w:pStyle w:val="PreformattedText"/>
        <w:rPr/>
      </w:pPr>
      <w:r>
        <w:rPr>
          <w:rStyle w:val="SourceText"/>
        </w:rPr>
        <w:t xml:space="preserve">  </w:t>
      </w:r>
      <w:r>
        <w:rPr>
          <w:rStyle w:val="SourceText"/>
        </w:rPr>
        <w:t>GlyphID24 secondGlyph;</w:t>
      </w:r>
    </w:p>
    <w:p>
      <w:pPr>
        <w:pStyle w:val="PreformattedText"/>
        <w:rPr/>
      </w:pPr>
      <w:r>
        <w:rPr>
          <w:rStyle w:val="SourceText"/>
        </w:rPr>
        <w:t xml:space="preserve">  </w:t>
      </w:r>
      <w:r>
        <w:rPr>
          <w:rStyle w:val="SourceText"/>
        </w:rPr>
        <w:t>ValueRecord valueRecord1;</w:t>
      </w:r>
    </w:p>
    <w:p>
      <w:pPr>
        <w:pStyle w:val="PreformattedText"/>
        <w:rPr/>
      </w:pPr>
      <w:r>
        <w:rPr>
          <w:rStyle w:val="SourceText"/>
        </w:rPr>
        <w:t xml:space="preserve">  </w:t>
      </w:r>
      <w:r>
        <w:rPr>
          <w:rStyle w:val="SourceText"/>
        </w:rPr>
        <w:t>ValueRecord valueRecord2;</w:t>
      </w:r>
    </w:p>
    <w:p>
      <w:pPr>
        <w:pStyle w:val="PreformattedText"/>
        <w:spacing w:before="0" w:after="283"/>
        <w:rPr/>
      </w:pPr>
      <w:r>
        <w:rPr>
          <w:rStyle w:val="SourceText"/>
        </w:rPr>
        <w:t>};</w:t>
      </w:r>
    </w:p>
    <w:p>
      <w:pPr>
        <w:pStyle w:val="PreformattedText"/>
        <w:rPr/>
      </w:pPr>
      <w:r>
        <w:rPr>
          <w:rStyle w:val="SourceText"/>
        </w:rPr>
        <w:t>struct PosFormat4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uint16 valueFormat1;</w:t>
      </w:r>
    </w:p>
    <w:p>
      <w:pPr>
        <w:pStyle w:val="PreformattedText"/>
        <w:rPr/>
      </w:pPr>
      <w:r>
        <w:rPr>
          <w:rStyle w:val="SourceText"/>
        </w:rPr>
        <w:t xml:space="preserve">  </w:t>
      </w:r>
      <w:r>
        <w:rPr>
          <w:rStyle w:val="SourceText"/>
        </w:rPr>
        <w:t>uint16 valueFormat2;</w:t>
      </w:r>
    </w:p>
    <w:p>
      <w:pPr>
        <w:pStyle w:val="PreformattedText"/>
        <w:rPr/>
      </w:pPr>
      <w:r>
        <w:rPr>
          <w:rStyle w:val="SourceText"/>
        </w:rPr>
        <w:t xml:space="preserve">  </w:t>
      </w:r>
      <w:r>
        <w:rPr>
          <w:rStyle w:val="SourceText"/>
        </w:rPr>
        <w:t xml:space="preserve">Offset24To&lt;ClassDef&gt; classDef1;  </w:t>
      </w:r>
    </w:p>
    <w:p>
      <w:pPr>
        <w:pStyle w:val="PreformattedText"/>
        <w:rPr/>
      </w:pPr>
      <w:r>
        <w:rPr>
          <w:rStyle w:val="SourceText"/>
        </w:rPr>
        <w:t xml:space="preserve">  </w:t>
      </w:r>
      <w:r>
        <w:rPr>
          <w:rStyle w:val="SourceText"/>
        </w:rPr>
        <w:t>Offset24To&lt;ClassDef&gt; classDef2;</w:t>
      </w:r>
    </w:p>
    <w:p>
      <w:pPr>
        <w:pStyle w:val="PreformattedText"/>
        <w:rPr/>
      </w:pPr>
      <w:r>
        <w:rPr>
          <w:rStyle w:val="SourceText"/>
        </w:rPr>
        <w:t xml:space="preserve">  </w:t>
      </w:r>
      <w:r>
        <w:rPr>
          <w:rStyle w:val="SourceText"/>
        </w:rPr>
        <w:t>uint16 class1Count;</w:t>
      </w:r>
    </w:p>
    <w:p>
      <w:pPr>
        <w:pStyle w:val="PreformattedText"/>
        <w:rPr/>
      </w:pPr>
      <w:r>
        <w:rPr>
          <w:rStyle w:val="SourceText"/>
        </w:rPr>
        <w:t xml:space="preserve">  </w:t>
      </w:r>
      <w:r>
        <w:rPr>
          <w:rStyle w:val="SourceText"/>
        </w:rPr>
        <w:t>uint16 class2Count;</w:t>
      </w:r>
    </w:p>
    <w:p>
      <w:pPr>
        <w:pStyle w:val="PreformattedText"/>
        <w:rPr/>
      </w:pPr>
      <w:r>
        <w:rPr>
          <w:rStyle w:val="SourceText"/>
        </w:rPr>
        <w:t xml:space="preserve">  </w:t>
      </w:r>
      <w:r>
        <w:rPr>
          <w:rStyle w:val="SourceText"/>
        </w:rPr>
        <w:t>Class1Record class1Records[class1Count];</w:t>
      </w:r>
    </w:p>
    <w:p>
      <w:pPr>
        <w:pStyle w:val="PreformattedText"/>
        <w:spacing w:before="0" w:after="283"/>
        <w:rPr/>
      </w:pPr>
      <w:r>
        <w:rPr>
          <w:rStyle w:val="SourceText"/>
        </w:rPr>
        <w:t>};</w:t>
      </w:r>
    </w:p>
    <w:p>
      <w:pPr>
        <w:pStyle w:val="Heading4"/>
        <w:rPr/>
      </w:pPr>
      <w:bookmarkStart w:id="61" w:name="__RefHeading___Toc22302_2925186988"/>
      <w:bookmarkStart w:id="62" w:name="user-content-gpos-markbasepos--markligpo"/>
      <w:bookmarkEnd w:id="61"/>
      <w:bookmarkEnd w:id="62"/>
      <w:r>
        <w:rPr>
          <w:rStyle w:val="SourceText"/>
        </w:rPr>
        <w:t>GPOS</w:t>
      </w:r>
      <w:r>
        <w:rPr/>
        <w:t xml:space="preserve"> </w:t>
      </w:r>
      <w:r>
        <w:rPr>
          <w:rStyle w:val="SourceText"/>
        </w:rPr>
        <w:t>MarkBasePos</w:t>
      </w:r>
      <w:r>
        <w:rPr/>
        <w:t xml:space="preserve"> / </w:t>
      </w:r>
      <w:r>
        <w:rPr>
          <w:rStyle w:val="SourceText"/>
        </w:rPr>
        <w:t>MarkLigPos</w:t>
      </w:r>
      <w:r>
        <w:rPr/>
        <w:t xml:space="preserve"> / </w:t>
      </w:r>
      <w:r>
        <w:rPr>
          <w:rStyle w:val="SourceText"/>
        </w:rPr>
        <w:t>MarkMarkPos</w:t>
      </w:r>
      <w:r>
        <w:rPr/>
        <w:t xml:space="preserve"> format 2</w:t>
      </w:r>
    </w:p>
    <w:p>
      <w:pPr>
        <w:pStyle w:val="TextBody"/>
        <w:spacing w:before="1" w:after="283"/>
        <w:rPr/>
      </w:pPr>
      <w:r>
        <w:rPr/>
        <w:t>Format 2 is introduce just to alleviate offset-overflow issues at the top-level structure. All downstream structures are reused:</w:t>
      </w:r>
    </w:p>
    <w:p>
      <w:pPr>
        <w:pStyle w:val="PreformattedText"/>
        <w:rPr/>
      </w:pPr>
      <w:r>
        <w:rPr/>
      </w:r>
    </w:p>
    <w:p>
      <w:pPr>
        <w:pStyle w:val="PreformattedText"/>
        <w:rPr/>
      </w:pPr>
      <w:r>
        <w:rPr>
          <w:rStyle w:val="SourceText"/>
        </w:rPr>
        <w:t>The Coverage table parts are covered in #30.</w:t>
      </w:r>
    </w:p>
    <w:p>
      <w:pPr>
        <w:pStyle w:val="PreformattedText"/>
        <w:rPr/>
      </w:pPr>
      <w:r>
        <w:rPr/>
      </w:r>
    </w:p>
    <w:p>
      <w:pPr>
        <w:pStyle w:val="PreformattedText"/>
        <w:rPr/>
      </w:pPr>
      <w:r>
        <w:rPr>
          <w:rStyle w:val="SourceText"/>
        </w:rPr>
        <w:t>Add one new format of each, just to upgrade offsets of the top-level subtable to 24bit. All downstream structs are reused and not expanded.</w:t>
      </w:r>
    </w:p>
    <w:p>
      <w:pPr>
        <w:pStyle w:val="PreformattedText"/>
        <w:rPr/>
      </w:pPr>
      <w:r>
        <w:rPr/>
      </w:r>
    </w:p>
    <w:p>
      <w:pPr>
        <w:pStyle w:val="PreformattedText"/>
        <w:rPr/>
      </w:pPr>
      <w:r>
        <w:rPr>
          <w:rStyle w:val="SourceText"/>
        </w:rPr>
        <w:t>struct MarkBasePosFormat2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markCoverage;</w:t>
      </w:r>
    </w:p>
    <w:p>
      <w:pPr>
        <w:pStyle w:val="PreformattedText"/>
        <w:rPr/>
      </w:pPr>
      <w:r>
        <w:rPr>
          <w:rStyle w:val="SourceText"/>
        </w:rPr>
        <w:t xml:space="preserve">  </w:t>
      </w:r>
      <w:r>
        <w:rPr>
          <w:rStyle w:val="SourceText"/>
        </w:rPr>
        <w:t>Offset24To&lt;Coverage&gt; baseCoverage;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markArray;</w:t>
      </w:r>
    </w:p>
    <w:p>
      <w:pPr>
        <w:pStyle w:val="PreformattedText"/>
        <w:rPr/>
      </w:pPr>
      <w:r>
        <w:rPr>
          <w:rStyle w:val="SourceText"/>
        </w:rPr>
        <w:t xml:space="preserve">  </w:t>
      </w:r>
      <w:r>
        <w:rPr>
          <w:rStyle w:val="SourceText"/>
        </w:rPr>
        <w:t>Offset24To&lt;BaseArray&gt; baseArray;</w:t>
      </w:r>
    </w:p>
    <w:p>
      <w:pPr>
        <w:pStyle w:val="PreformattedText"/>
        <w:rPr/>
      </w:pPr>
      <w:r>
        <w:rPr>
          <w:rStyle w:val="SourceText"/>
        </w:rPr>
        <w:t>};</w:t>
      </w:r>
    </w:p>
    <w:p>
      <w:pPr>
        <w:pStyle w:val="PreformattedText"/>
        <w:rPr/>
      </w:pPr>
      <w:r>
        <w:rPr/>
      </w:r>
    </w:p>
    <w:p>
      <w:pPr>
        <w:pStyle w:val="PreformattedText"/>
        <w:rPr/>
      </w:pPr>
      <w:r>
        <w:rPr>
          <w:rStyle w:val="SourceText"/>
        </w:rPr>
        <w:t>struct MarkLigaturePosFormat2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markCoverage;</w:t>
      </w:r>
    </w:p>
    <w:p>
      <w:pPr>
        <w:pStyle w:val="PreformattedText"/>
        <w:rPr/>
      </w:pPr>
      <w:r>
        <w:rPr>
          <w:rStyle w:val="SourceText"/>
        </w:rPr>
        <w:t xml:space="preserve">  </w:t>
      </w:r>
      <w:r>
        <w:rPr>
          <w:rStyle w:val="SourceText"/>
        </w:rPr>
        <w:t>Offset24To&lt;Coverage&gt; ligatureCoverage;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markArray;</w:t>
      </w:r>
    </w:p>
    <w:p>
      <w:pPr>
        <w:pStyle w:val="PreformattedText"/>
        <w:rPr/>
      </w:pPr>
      <w:r>
        <w:rPr>
          <w:rStyle w:val="SourceText"/>
        </w:rPr>
        <w:t xml:space="preserve">  </w:t>
      </w:r>
      <w:r>
        <w:rPr>
          <w:rStyle w:val="SourceText"/>
        </w:rPr>
        <w:t>Offset24To&lt;LigatureArray&gt; ligatureArray;</w:t>
      </w:r>
    </w:p>
    <w:p>
      <w:pPr>
        <w:pStyle w:val="PreformattedText"/>
        <w:rPr/>
      </w:pPr>
      <w:r>
        <w:rPr>
          <w:rStyle w:val="SourceText"/>
        </w:rPr>
        <w:t>};</w:t>
      </w:r>
    </w:p>
    <w:p>
      <w:pPr>
        <w:pStyle w:val="PreformattedText"/>
        <w:rPr/>
      </w:pPr>
      <w:r>
        <w:rPr/>
      </w:r>
    </w:p>
    <w:p>
      <w:pPr>
        <w:pStyle w:val="PreformattedText"/>
        <w:rPr/>
      </w:pPr>
      <w:r>
        <w:rPr>
          <w:rStyle w:val="SourceText"/>
        </w:rPr>
        <w:t>struct MarkMarkPosFormat2 {</w:t>
      </w:r>
    </w:p>
    <w:p>
      <w:pPr>
        <w:pStyle w:val="PreformattedText"/>
        <w:rPr/>
      </w:pPr>
      <w:r>
        <w:rPr>
          <w:rStyle w:val="SourceText"/>
        </w:rPr>
        <w:t xml:space="preserve">  </w:t>
      </w:r>
      <w:r>
        <w:rPr>
          <w:rStyle w:val="SourceText"/>
        </w:rPr>
        <w:t>uint16 format; // == 2</w:t>
      </w:r>
    </w:p>
    <w:p>
      <w:pPr>
        <w:pStyle w:val="PreformattedText"/>
        <w:rPr/>
      </w:pPr>
      <w:r>
        <w:rPr>
          <w:rStyle w:val="SourceText"/>
        </w:rPr>
        <w:t xml:space="preserve">  </w:t>
      </w:r>
      <w:r>
        <w:rPr>
          <w:rStyle w:val="SourceText"/>
        </w:rPr>
        <w:t>Offset24To&lt;Coverage&gt; mark1Coverage;</w:t>
      </w:r>
    </w:p>
    <w:p>
      <w:pPr>
        <w:pStyle w:val="PreformattedText"/>
        <w:rPr/>
      </w:pPr>
      <w:r>
        <w:rPr>
          <w:rStyle w:val="SourceText"/>
        </w:rPr>
        <w:t xml:space="preserve">  </w:t>
      </w:r>
      <w:r>
        <w:rPr>
          <w:rStyle w:val="SourceText"/>
        </w:rPr>
        <w:t>Offset24To&lt;Coverage&gt; mark2Coverage;</w:t>
      </w:r>
    </w:p>
    <w:p>
      <w:pPr>
        <w:pStyle w:val="PreformattedText"/>
        <w:rPr/>
      </w:pPr>
      <w:r>
        <w:rPr>
          <w:rStyle w:val="SourceText"/>
        </w:rPr>
        <w:t xml:space="preserve">  </w:t>
      </w:r>
      <w:r>
        <w:rPr>
          <w:rStyle w:val="SourceText"/>
        </w:rPr>
        <w:t>uint16 markClassCount;</w:t>
      </w:r>
    </w:p>
    <w:p>
      <w:pPr>
        <w:pStyle w:val="PreformattedText"/>
        <w:rPr/>
      </w:pPr>
      <w:r>
        <w:rPr>
          <w:rStyle w:val="SourceText"/>
        </w:rPr>
        <w:t xml:space="preserve">  </w:t>
      </w:r>
      <w:r>
        <w:rPr>
          <w:rStyle w:val="SourceText"/>
        </w:rPr>
        <w:t>Offset24To&lt;MarkArray&gt; mark1Array;</w:t>
      </w:r>
    </w:p>
    <w:p>
      <w:pPr>
        <w:pStyle w:val="PreformattedText"/>
        <w:rPr/>
      </w:pPr>
      <w:r>
        <w:rPr>
          <w:rStyle w:val="SourceText"/>
        </w:rPr>
        <w:t xml:space="preserve">  </w:t>
      </w:r>
      <w:r>
        <w:rPr>
          <w:rStyle w:val="SourceText"/>
        </w:rPr>
        <w:t>Offset24To&lt;Mark2Array&gt; mark2Array;</w:t>
      </w:r>
    </w:p>
    <w:p>
      <w:pPr>
        <w:pStyle w:val="PreformattedText"/>
        <w:spacing w:before="0" w:after="283"/>
        <w:rPr/>
      </w:pPr>
      <w:r>
        <w:rPr>
          <w:rStyle w:val="SourceText"/>
        </w:rPr>
        <w:t>};</w:t>
      </w:r>
    </w:p>
    <w:p>
      <w:pPr>
        <w:pStyle w:val="Heading4"/>
        <w:rPr/>
      </w:pPr>
      <w:bookmarkStart w:id="63" w:name="__RefHeading___Toc22304_2925186988"/>
      <w:bookmarkStart w:id="64" w:name="user-content-gsub--gpos-chaincontext-for"/>
      <w:bookmarkEnd w:id="63"/>
      <w:bookmarkEnd w:id="64"/>
      <w:r>
        <w:rPr>
          <w:rStyle w:val="SourceText"/>
        </w:rPr>
        <w:t>GSUB</w:t>
      </w:r>
      <w:r>
        <w:rPr/>
        <w:t xml:space="preserve"> / </w:t>
      </w:r>
      <w:r>
        <w:rPr>
          <w:rStyle w:val="SourceText"/>
        </w:rPr>
        <w:t>GPOS</w:t>
      </w:r>
      <w:r>
        <w:rPr/>
        <w:t xml:space="preserve"> </w:t>
      </w:r>
      <w:r>
        <w:rPr>
          <w:rStyle w:val="SourceText"/>
        </w:rPr>
        <w:t>(Chain)Context</w:t>
      </w:r>
      <w:r>
        <w:rPr/>
        <w:t xml:space="preserve"> format 4 &amp; 5</w:t>
      </w:r>
    </w:p>
    <w:p>
      <w:pPr>
        <w:pStyle w:val="TextBody"/>
        <w:spacing w:before="1" w:after="283"/>
        <w:rPr/>
      </w:pPr>
      <w:r>
        <w:rPr/>
        <w:t xml:space="preserve">Add </w:t>
      </w:r>
      <w:r>
        <w:rPr>
          <w:rStyle w:val="SourceText"/>
        </w:rPr>
        <w:t>Context</w:t>
      </w:r>
      <w:r>
        <w:rPr/>
        <w:t xml:space="preserve"> and </w:t>
      </w:r>
      <w:r>
        <w:rPr>
          <w:rStyle w:val="SourceText"/>
        </w:rPr>
        <w:t>ChainContext</w:t>
      </w:r>
      <w:r>
        <w:rPr/>
        <w:t xml:space="preserve"> format 4 that parallels format 1 for gid24:</w:t>
      </w:r>
    </w:p>
    <w:p>
      <w:pPr>
        <w:pStyle w:val="PreformattedText"/>
        <w:rPr/>
      </w:pPr>
      <w:r>
        <w:rPr>
          <w:rStyle w:val="SourceText"/>
        </w:rPr>
        <w:t>struct ContextFormat4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Array16Of&lt;Offset24To&lt;GlyphRuleSet24&gt;&gt; ruleSets;</w:t>
      </w:r>
    </w:p>
    <w:p>
      <w:pPr>
        <w:pStyle w:val="PreformattedText"/>
        <w:rPr/>
      </w:pPr>
      <w:r>
        <w:rPr>
          <w:rStyle w:val="SourceText"/>
        </w:rPr>
        <w:t>};</w:t>
      </w:r>
    </w:p>
    <w:p>
      <w:pPr>
        <w:pStyle w:val="PreformattedText"/>
        <w:rPr/>
      </w:pPr>
      <w:r>
        <w:rPr/>
      </w:r>
    </w:p>
    <w:p>
      <w:pPr>
        <w:pStyle w:val="PreformattedText"/>
        <w:rPr/>
      </w:pPr>
      <w:r>
        <w:rPr>
          <w:rStyle w:val="SourceText"/>
        </w:rPr>
        <w:t>struct GlyphRuleSet24 {</w:t>
      </w:r>
    </w:p>
    <w:p>
      <w:pPr>
        <w:pStyle w:val="PreformattedText"/>
        <w:rPr/>
      </w:pPr>
      <w:r>
        <w:rPr>
          <w:rStyle w:val="SourceText"/>
        </w:rPr>
        <w:t xml:space="preserve">  </w:t>
      </w:r>
      <w:r>
        <w:rPr>
          <w:rStyle w:val="SourceText"/>
        </w:rPr>
        <w:t>Array16Of&lt;Offset16To&lt;GlyphRule24&gt;&gt; rules;</w:t>
      </w:r>
    </w:p>
    <w:p>
      <w:pPr>
        <w:pStyle w:val="PreformattedText"/>
        <w:rPr/>
      </w:pPr>
      <w:r>
        <w:rPr>
          <w:rStyle w:val="SourceText"/>
        </w:rPr>
        <w:t>};</w:t>
      </w:r>
    </w:p>
    <w:p>
      <w:pPr>
        <w:pStyle w:val="PreformattedText"/>
        <w:rPr/>
      </w:pPr>
      <w:r>
        <w:rPr/>
      </w:r>
    </w:p>
    <w:p>
      <w:pPr>
        <w:pStyle w:val="PreformattedText"/>
        <w:rPr/>
      </w:pPr>
      <w:r>
        <w:rPr>
          <w:rStyle w:val="SourceText"/>
        </w:rPr>
        <w:t>struct GlyphRule24 {</w:t>
      </w:r>
    </w:p>
    <w:p>
      <w:pPr>
        <w:pStyle w:val="PreformattedText"/>
        <w:rPr/>
      </w:pPr>
      <w:r>
        <w:rPr>
          <w:rStyle w:val="SourceText"/>
        </w:rPr>
        <w:t xml:space="preserve">  </w:t>
      </w:r>
      <w:r>
        <w:rPr>
          <w:rStyle w:val="SourceText"/>
        </w:rPr>
        <w:t>uint16 glyphCount;</w:t>
      </w:r>
    </w:p>
    <w:p>
      <w:pPr>
        <w:pStyle w:val="PreformattedText"/>
        <w:rPr/>
      </w:pPr>
      <w:r>
        <w:rPr>
          <w:rStyle w:val="SourceText"/>
        </w:rPr>
        <w:t xml:space="preserve">  </w:t>
      </w:r>
      <w:r>
        <w:rPr>
          <w:rStyle w:val="SourceText"/>
        </w:rPr>
        <w:t>GlyphID24 glyphs[inputGlyphCount - 1];</w:t>
      </w:r>
    </w:p>
    <w:p>
      <w:pPr>
        <w:pStyle w:val="PreformattedText"/>
        <w:rPr/>
      </w:pPr>
      <w:r>
        <w:rPr>
          <w:rStyle w:val="SourceText"/>
        </w:rPr>
        <w:t xml:space="preserve">  </w:t>
      </w:r>
      <w:r>
        <w:rPr>
          <w:rStyle w:val="SourceText"/>
        </w:rPr>
        <w:t>uint16 seqLookupCount;</w:t>
      </w:r>
    </w:p>
    <w:p>
      <w:pPr>
        <w:pStyle w:val="PreformattedText"/>
        <w:rPr/>
      </w:pPr>
      <w:r>
        <w:rPr>
          <w:rStyle w:val="SourceText"/>
        </w:rPr>
        <w:t xml:space="preserve">  </w:t>
      </w:r>
      <w:r>
        <w:rPr>
          <w:rStyle w:val="SourceText"/>
        </w:rPr>
        <w:t>SequenceLookupRecord seqLookupRecords[seqLookupCount];</w:t>
      </w:r>
    </w:p>
    <w:p>
      <w:pPr>
        <w:pStyle w:val="PreformattedText"/>
        <w:spacing w:before="0" w:after="283"/>
        <w:rPr/>
      </w:pPr>
      <w:r>
        <w:rPr>
          <w:rStyle w:val="SourceText"/>
        </w:rPr>
        <w:t>};</w:t>
      </w:r>
    </w:p>
    <w:p>
      <w:pPr>
        <w:pStyle w:val="PreformattedText"/>
        <w:rPr/>
      </w:pPr>
      <w:r>
        <w:rPr>
          <w:rStyle w:val="SourceText"/>
        </w:rPr>
        <w:t>struct ChainContextFormat4 {</w:t>
      </w:r>
    </w:p>
    <w:p>
      <w:pPr>
        <w:pStyle w:val="PreformattedText"/>
        <w:rPr/>
      </w:pPr>
      <w:r>
        <w:rPr>
          <w:rStyle w:val="SourceText"/>
        </w:rPr>
        <w:t xml:space="preserve">  </w:t>
      </w:r>
      <w:r>
        <w:rPr>
          <w:rStyle w:val="SourceText"/>
        </w:rPr>
        <w:t>uint16 format; == 4</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Array16Of&lt;Offset24To&lt;ChainGlyphRuleSet24&gt;&gt; ruleSets;</w:t>
      </w:r>
    </w:p>
    <w:p>
      <w:pPr>
        <w:pStyle w:val="PreformattedText"/>
        <w:rPr/>
      </w:pPr>
      <w:r>
        <w:rPr>
          <w:rStyle w:val="SourceText"/>
        </w:rPr>
        <w:t>};</w:t>
      </w:r>
    </w:p>
    <w:p>
      <w:pPr>
        <w:pStyle w:val="PreformattedText"/>
        <w:rPr/>
      </w:pPr>
      <w:r>
        <w:rPr/>
      </w:r>
    </w:p>
    <w:p>
      <w:pPr>
        <w:pStyle w:val="PreformattedText"/>
        <w:rPr/>
      </w:pPr>
      <w:r>
        <w:rPr>
          <w:rStyle w:val="SourceText"/>
        </w:rPr>
        <w:t>struct ChainGlyphRuleSet24 {</w:t>
      </w:r>
    </w:p>
    <w:p>
      <w:pPr>
        <w:pStyle w:val="PreformattedText"/>
        <w:rPr/>
      </w:pPr>
      <w:r>
        <w:rPr>
          <w:rStyle w:val="SourceText"/>
        </w:rPr>
        <w:t xml:space="preserve">  </w:t>
      </w:r>
      <w:r>
        <w:rPr>
          <w:rStyle w:val="SourceText"/>
        </w:rPr>
        <w:t>Array16Of&lt;Offset16To&lt;ChainGlyphRule24&gt;&gt; rules;</w:t>
      </w:r>
    </w:p>
    <w:p>
      <w:pPr>
        <w:pStyle w:val="PreformattedText"/>
        <w:rPr/>
      </w:pPr>
      <w:r>
        <w:rPr>
          <w:rStyle w:val="SourceText"/>
        </w:rPr>
        <w:t>};</w:t>
      </w:r>
    </w:p>
    <w:p>
      <w:pPr>
        <w:pStyle w:val="PreformattedText"/>
        <w:rPr/>
      </w:pPr>
      <w:r>
        <w:rPr/>
      </w:r>
    </w:p>
    <w:p>
      <w:pPr>
        <w:pStyle w:val="PreformattedText"/>
        <w:rPr/>
      </w:pPr>
      <w:r>
        <w:rPr>
          <w:rStyle w:val="SourceText"/>
        </w:rPr>
        <w:t>struct ChainGlyphRule24 {</w:t>
      </w:r>
    </w:p>
    <w:p>
      <w:pPr>
        <w:pStyle w:val="PreformattedText"/>
        <w:rPr/>
      </w:pPr>
      <w:r>
        <w:rPr>
          <w:rStyle w:val="SourceText"/>
        </w:rPr>
        <w:t xml:space="preserve">  </w:t>
      </w:r>
      <w:r>
        <w:rPr>
          <w:rStyle w:val="SourceText"/>
        </w:rPr>
        <w:t xml:space="preserve">uint16 backtrackGlyphCount; </w:t>
      </w:r>
    </w:p>
    <w:p>
      <w:pPr>
        <w:pStyle w:val="PreformattedText"/>
        <w:rPr/>
      </w:pPr>
      <w:r>
        <w:rPr>
          <w:rStyle w:val="SourceText"/>
        </w:rPr>
        <w:t xml:space="preserve">  </w:t>
      </w:r>
      <w:r>
        <w:rPr>
          <w:rStyle w:val="SourceText"/>
        </w:rPr>
        <w:t>GlyphID24 backtrackGlyphs[backtrackGlyphCount];</w:t>
      </w:r>
    </w:p>
    <w:p>
      <w:pPr>
        <w:pStyle w:val="PreformattedText"/>
        <w:rPr/>
      </w:pPr>
      <w:r>
        <w:rPr>
          <w:rStyle w:val="SourceText"/>
        </w:rPr>
        <w:t xml:space="preserve">  </w:t>
      </w:r>
      <w:r>
        <w:rPr>
          <w:rStyle w:val="SourceText"/>
        </w:rPr>
        <w:t>uint16 inputGlyphCount;</w:t>
      </w:r>
    </w:p>
    <w:p>
      <w:pPr>
        <w:pStyle w:val="PreformattedText"/>
        <w:rPr/>
      </w:pPr>
      <w:r>
        <w:rPr>
          <w:rStyle w:val="SourceText"/>
        </w:rPr>
        <w:t xml:space="preserve">  </w:t>
      </w:r>
      <w:r>
        <w:rPr>
          <w:rStyle w:val="SourceText"/>
        </w:rPr>
        <w:t>GlyphID24 inputGlyphs[inputGlyphCount - 1];</w:t>
      </w:r>
    </w:p>
    <w:p>
      <w:pPr>
        <w:pStyle w:val="PreformattedText"/>
        <w:rPr/>
      </w:pPr>
      <w:r>
        <w:rPr>
          <w:rStyle w:val="SourceText"/>
        </w:rPr>
        <w:t xml:space="preserve">  </w:t>
      </w:r>
      <w:r>
        <w:rPr>
          <w:rStyle w:val="SourceText"/>
        </w:rPr>
        <w:t>uint16 lookaheadGlyphCount;</w:t>
      </w:r>
    </w:p>
    <w:p>
      <w:pPr>
        <w:pStyle w:val="PreformattedText"/>
        <w:rPr/>
      </w:pPr>
      <w:r>
        <w:rPr>
          <w:rStyle w:val="SourceText"/>
        </w:rPr>
        <w:t xml:space="preserve">  </w:t>
      </w:r>
      <w:r>
        <w:rPr>
          <w:rStyle w:val="SourceText"/>
        </w:rPr>
        <w:t>GlyphID24 lookaheadGlyphs[lookaheadGlyphCount];</w:t>
      </w:r>
    </w:p>
    <w:p>
      <w:pPr>
        <w:pStyle w:val="PreformattedText"/>
        <w:rPr/>
      </w:pPr>
      <w:r>
        <w:rPr>
          <w:rStyle w:val="SourceText"/>
        </w:rPr>
        <w:t xml:space="preserve">  </w:t>
      </w:r>
      <w:r>
        <w:rPr>
          <w:rStyle w:val="SourceText"/>
        </w:rPr>
        <w:t>uint16 seqLookupCount;</w:t>
      </w:r>
    </w:p>
    <w:p>
      <w:pPr>
        <w:pStyle w:val="PreformattedText"/>
        <w:rPr/>
      </w:pPr>
      <w:r>
        <w:rPr>
          <w:rStyle w:val="SourceText"/>
        </w:rPr>
        <w:t xml:space="preserve">  </w:t>
      </w:r>
      <w:r>
        <w:rPr>
          <w:rStyle w:val="SourceText"/>
        </w:rPr>
        <w:t>SequenceLookupRecord seqLookupRecords[seqLookupCount];</w:t>
      </w:r>
    </w:p>
    <w:p>
      <w:pPr>
        <w:pStyle w:val="PreformattedText"/>
        <w:spacing w:before="0" w:after="283"/>
        <w:rPr/>
      </w:pPr>
      <w:r>
        <w:rPr>
          <w:rStyle w:val="SourceText"/>
        </w:rPr>
        <w:t>};</w:t>
      </w:r>
    </w:p>
    <w:p>
      <w:pPr>
        <w:pStyle w:val="TextBody"/>
        <w:spacing w:before="1" w:after="283"/>
        <w:rPr/>
      </w:pPr>
      <w:r>
        <w:rPr/>
        <w:t xml:space="preserve">Add </w:t>
      </w:r>
      <w:r>
        <w:rPr>
          <w:rStyle w:val="SourceText"/>
        </w:rPr>
        <w:t>Context</w:t>
      </w:r>
      <w:r>
        <w:rPr/>
        <w:t xml:space="preserve"> and </w:t>
      </w:r>
      <w:r>
        <w:rPr>
          <w:rStyle w:val="SourceText"/>
        </w:rPr>
        <w:t>ChainContext</w:t>
      </w:r>
      <w:r>
        <w:rPr/>
        <w:t xml:space="preserve"> format 5 that parallels format 2 for offset-overflow alleviation:</w:t>
      </w:r>
    </w:p>
    <w:p>
      <w:pPr>
        <w:pStyle w:val="PreformattedText"/>
        <w:rPr/>
      </w:pPr>
      <w:r>
        <w:rPr>
          <w:rStyle w:val="SourceText"/>
        </w:rPr>
        <w:t>struct ContextFormat5 {</w:t>
      </w:r>
    </w:p>
    <w:p>
      <w:pPr>
        <w:pStyle w:val="PreformattedText"/>
        <w:rPr/>
      </w:pPr>
      <w:r>
        <w:rPr>
          <w:rStyle w:val="SourceText"/>
        </w:rPr>
        <w:t xml:space="preserve">  </w:t>
      </w:r>
      <w:r>
        <w:rPr>
          <w:rStyle w:val="SourceText"/>
        </w:rPr>
        <w:t>uint16 format; == 5</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Offset24To&lt;ClassDef&gt; classDef;</w:t>
      </w:r>
    </w:p>
    <w:p>
      <w:pPr>
        <w:pStyle w:val="PreformattedText"/>
        <w:rPr/>
      </w:pPr>
      <w:r>
        <w:rPr>
          <w:rStyle w:val="SourceText"/>
        </w:rPr>
        <w:t xml:space="preserve">  </w:t>
      </w:r>
      <w:r>
        <w:rPr>
          <w:rStyle w:val="SourceText"/>
        </w:rPr>
        <w:t>Array16Of&lt;Offset24To&lt;ClassRuleSet&gt;&gt; ruleSets;</w:t>
      </w:r>
    </w:p>
    <w:p>
      <w:pPr>
        <w:pStyle w:val="PreformattedText"/>
        <w:spacing w:before="0" w:after="283"/>
        <w:rPr/>
      </w:pPr>
      <w:r>
        <w:rPr>
          <w:rStyle w:val="SourceText"/>
        </w:rPr>
        <w:t>};</w:t>
      </w:r>
    </w:p>
    <w:p>
      <w:pPr>
        <w:pStyle w:val="PreformattedText"/>
        <w:rPr/>
      </w:pPr>
      <w:r>
        <w:rPr>
          <w:rStyle w:val="SourceText"/>
        </w:rPr>
        <w:t>struct ChainContextFormat5 {</w:t>
      </w:r>
    </w:p>
    <w:p>
      <w:pPr>
        <w:pStyle w:val="PreformattedText"/>
        <w:rPr/>
      </w:pPr>
      <w:r>
        <w:rPr>
          <w:rStyle w:val="SourceText"/>
        </w:rPr>
        <w:t xml:space="preserve">  </w:t>
      </w:r>
      <w:r>
        <w:rPr>
          <w:rStyle w:val="SourceText"/>
        </w:rPr>
        <w:t>uint16 format; == 5</w:t>
      </w:r>
    </w:p>
    <w:p>
      <w:pPr>
        <w:pStyle w:val="PreformattedText"/>
        <w:rPr/>
      </w:pPr>
      <w:r>
        <w:rPr>
          <w:rStyle w:val="SourceText"/>
        </w:rPr>
        <w:t xml:space="preserve">  </w:t>
      </w:r>
      <w:r>
        <w:rPr>
          <w:rStyle w:val="SourceText"/>
        </w:rPr>
        <w:t>Offset24To&lt;Coverage&gt; coverage;</w:t>
      </w:r>
    </w:p>
    <w:p>
      <w:pPr>
        <w:pStyle w:val="PreformattedText"/>
        <w:rPr/>
      </w:pPr>
      <w:r>
        <w:rPr>
          <w:rStyle w:val="SourceText"/>
        </w:rPr>
        <w:t xml:space="preserve">  </w:t>
      </w:r>
      <w:r>
        <w:rPr>
          <w:rStyle w:val="SourceText"/>
        </w:rPr>
        <w:t>Offset24To&lt;ClassDef&gt; backtrackClassDef;</w:t>
      </w:r>
    </w:p>
    <w:p>
      <w:pPr>
        <w:pStyle w:val="PreformattedText"/>
        <w:rPr/>
      </w:pPr>
      <w:r>
        <w:rPr>
          <w:rStyle w:val="SourceText"/>
        </w:rPr>
        <w:t xml:space="preserve">  </w:t>
      </w:r>
      <w:r>
        <w:rPr>
          <w:rStyle w:val="SourceText"/>
        </w:rPr>
        <w:t>Offset24To&lt;ClassDef&gt; inputClassDef;</w:t>
      </w:r>
    </w:p>
    <w:p>
      <w:pPr>
        <w:pStyle w:val="PreformattedText"/>
        <w:rPr/>
      </w:pPr>
      <w:r>
        <w:rPr>
          <w:rStyle w:val="SourceText"/>
        </w:rPr>
        <w:t xml:space="preserve">  </w:t>
      </w:r>
      <w:r>
        <w:rPr>
          <w:rStyle w:val="SourceText"/>
        </w:rPr>
        <w:t>Offset24To&lt;ClassDef&gt; lookaheadClassDef;</w:t>
      </w:r>
    </w:p>
    <w:p>
      <w:pPr>
        <w:pStyle w:val="PreformattedText"/>
        <w:rPr/>
      </w:pPr>
      <w:r>
        <w:rPr>
          <w:rStyle w:val="SourceText"/>
        </w:rPr>
        <w:t xml:space="preserve">  </w:t>
      </w:r>
      <w:r>
        <w:rPr>
          <w:rStyle w:val="SourceText"/>
        </w:rPr>
        <w:t>Array16Of&lt;Offset24To&lt;ClassRuleSet&gt;&gt; ruleSets;</w:t>
      </w:r>
    </w:p>
    <w:p>
      <w:pPr>
        <w:pStyle w:val="PreformattedText"/>
        <w:spacing w:before="0" w:after="283"/>
        <w:rPr/>
      </w:pPr>
      <w:r>
        <w:rPr>
          <w:rStyle w:val="SourceText"/>
        </w:rPr>
        <w:t>};</w:t>
      </w:r>
    </w:p>
    <w:p>
      <w:pPr>
        <w:pStyle w:val="TextBody"/>
        <w:spacing w:before="1" w:after="283"/>
        <w:rPr/>
      </w:pPr>
      <w:r>
        <w:rPr/>
        <w:t xml:space="preserve">The </w:t>
      </w:r>
      <w:r>
        <w:rPr>
          <w:rStyle w:val="SourceText"/>
        </w:rPr>
        <w:t>RuleSet</w:t>
      </w:r>
      <w:r>
        <w:rPr/>
        <w:t xml:space="preserve"> and </w:t>
      </w:r>
      <w:r>
        <w:rPr>
          <w:rStyle w:val="SourceText"/>
        </w:rPr>
        <w:t>ChainRuleSet</w:t>
      </w:r>
      <w:r>
        <w:rPr/>
        <w:t xml:space="preserve"> are </w:t>
      </w:r>
      <w:r>
        <w:rPr>
          <w:rStyle w:val="Emphasis"/>
        </w:rPr>
        <w:t>not</w:t>
      </w:r>
      <w:r>
        <w:rPr/>
        <w:t xml:space="preserve"> extended, because they are class-based, not glyph-based, so no extension is necessary.</w:t>
      </w:r>
    </w:p>
    <w:p>
      <w:pPr>
        <w:pStyle w:val="TextBody"/>
        <w:spacing w:before="1" w:after="283"/>
        <w:rPr/>
      </w:pPr>
      <w:r>
        <w:rPr/>
        <w:t xml:space="preserve">Format 3 (Coverage-based format) is </w:t>
      </w:r>
      <w:r>
        <w:rPr>
          <w:rStyle w:val="Emphasis"/>
        </w:rPr>
        <w:t>not</w:t>
      </w:r>
      <w:r>
        <w:rPr/>
        <w:t xml:space="preserve"> extended, because it only encodes one rule, so overflows are unlikely.</w:t>
      </w:r>
    </w:p>
    <w:p>
      <w:pPr>
        <w:pStyle w:val="Heading1"/>
        <w:ind w:left="104" w:right="0" w:hanging="0"/>
        <w:rPr>
          <w:rFonts w:ascii="Times New Roman" w:hAnsi="Times New Roman" w:eastAsia="SimSun" w:cs="Times New Roman"/>
          <w:b/>
          <w:sz w:val="28"/>
          <w:szCs w:val="24"/>
          <w:lang w:eastAsia="zh-CN"/>
        </w:rPr>
      </w:pPr>
      <w:bookmarkStart w:id="65" w:name="__RefHeading___Toc21930_2335824944"/>
      <w:bookmarkEnd w:id="65"/>
      <w:r>
        <w:rPr/>
        <w:t xml:space="preserve">The </w:t>
      </w:r>
      <w:r>
        <w:rPr>
          <w:rFonts w:ascii="Courier New" w:hAnsi="Courier New"/>
        </w:rPr>
        <w:t>avar</w:t>
      </w:r>
      <w:r>
        <w:rPr/>
        <w:t xml:space="preserve"> Table: Axis Variations Table Version 2</w:t>
      </w:r>
    </w:p>
    <w:p>
      <w:pPr>
        <w:pStyle w:val="TextBody"/>
        <w:rPr>
          <w:rFonts w:ascii="Times New Roman" w:hAnsi="Times New Roman" w:eastAsia="SimSun" w:cs="Times New Roman"/>
          <w:b/>
          <w:sz w:val="28"/>
          <w:szCs w:val="24"/>
          <w:lang w:eastAsia="zh-CN"/>
        </w:rPr>
      </w:pPr>
      <w:r>
        <w:rPr/>
        <w:t>Th</w:t>
      </w:r>
      <w:r>
        <w:rPr/>
        <w:t>e axis variations table (</w:t>
      </w:r>
      <w:r>
        <w:rPr>
          <w:rStyle w:val="SourceText"/>
        </w:rPr>
        <w:t>avar</w:t>
      </w:r>
      <w:r>
        <w:rPr/>
        <w:t xml:space="preserve">) is an optional table used in variable fonts. Version 1 of </w:t>
      </w:r>
      <w:r>
        <w:rPr>
          <w:rStyle w:val="SourceText"/>
        </w:rPr>
        <w:t>avar</w:t>
      </w:r>
      <w:r>
        <w:rPr/>
        <w:t xml:space="preserve"> modifies aspects of how a design varies for different instances along a particular design-variation axis. It does this by piecewise linear remapping on a per-axis basis, with certain restrictions. See the </w:t>
      </w:r>
      <w:hyperlink r:id="rId2">
        <w:r>
          <w:rPr>
            <w:rStyle w:val="InternetLink"/>
          </w:rPr>
          <w:t>OpenType specification</w:t>
        </w:r>
      </w:hyperlink>
      <w:r>
        <w:rPr/>
        <w:t xml:space="preserve"> for details.</w:t>
      </w:r>
    </w:p>
    <w:p>
      <w:pPr>
        <w:pStyle w:val="TextBody"/>
        <w:rPr/>
      </w:pPr>
      <w:r>
        <w:rPr/>
      </w:r>
    </w:p>
    <w:p>
      <w:pPr>
        <w:pStyle w:val="TextBody"/>
        <w:spacing w:before="1" w:after="283"/>
        <w:rPr>
          <w:rFonts w:ascii="Times New Roman" w:hAnsi="Times New Roman" w:eastAsia="SimSun" w:cs="Times New Roman"/>
          <w:b/>
          <w:sz w:val="28"/>
          <w:szCs w:val="24"/>
          <w:lang w:eastAsia="zh-CN"/>
        </w:rPr>
      </w:pPr>
      <w:r>
        <w:rPr/>
        <w:t xml:space="preserve">Version 2, as proposed here, enables flexible axis remapping where each design-variation axis is modified according to the coordinates of multiple design-variation axes. In order to combine the effects of multiple input values, </w:t>
      </w:r>
      <w:r>
        <w:rPr>
          <w:rStyle w:val="SourceText"/>
        </w:rPr>
        <w:t>avar</w:t>
      </w:r>
      <w:r>
        <w:rPr/>
        <w:t xml:space="preserve"> version 2 uses the OpenType variation mechanism itself to determine interpolated delta values and add them to design-variation axis coordinates. The final interpolated axis coordinates are used in all subsequent variation operations.</w:t>
      </w:r>
    </w:p>
    <w:p>
      <w:pPr>
        <w:pStyle w:val="TextBody"/>
        <w:spacing w:before="1" w:after="283"/>
        <w:rPr>
          <w:rFonts w:ascii="Times New Roman" w:hAnsi="Times New Roman" w:eastAsia="SimSun" w:cs="Times New Roman"/>
          <w:b/>
          <w:sz w:val="28"/>
          <w:szCs w:val="24"/>
          <w:lang w:eastAsia="zh-CN"/>
        </w:rPr>
      </w:pPr>
      <w:r>
        <w:rPr/>
        <w:t xml:space="preserve">The efficiency of </w:t>
      </w:r>
      <w:r>
        <w:rPr>
          <w:rStyle w:val="SourceText"/>
        </w:rPr>
        <w:t>avar</w:t>
      </w:r>
      <w:r>
        <w:rPr/>
        <w:t xml:space="preserve"> version 2 enables fonts that:</w:t>
      </w:r>
    </w:p>
    <w:p>
      <w:pPr>
        <w:pStyle w:val="TextBody"/>
        <w:numPr>
          <w:ilvl w:val="0"/>
          <w:numId w:val="2"/>
        </w:numPr>
        <w:tabs>
          <w:tab w:val="clear" w:pos="720"/>
          <w:tab w:val="left" w:pos="0" w:leader="none"/>
        </w:tabs>
        <w:ind w:left="709" w:hanging="283"/>
        <w:rPr>
          <w:rFonts w:ascii="Times New Roman" w:hAnsi="Times New Roman" w:eastAsia="SimSun" w:cs="Times New Roman"/>
          <w:b/>
          <w:sz w:val="28"/>
          <w:szCs w:val="24"/>
          <w:lang w:eastAsia="zh-CN"/>
        </w:rPr>
      </w:pPr>
      <w:r>
        <w:rPr/>
        <w:t xml:space="preserve">are significantly smaller; </w:t>
      </w:r>
    </w:p>
    <w:p>
      <w:pPr>
        <w:pStyle w:val="TextBody"/>
        <w:numPr>
          <w:ilvl w:val="0"/>
          <w:numId w:val="2"/>
        </w:numPr>
        <w:tabs>
          <w:tab w:val="clear" w:pos="720"/>
          <w:tab w:val="left" w:pos="0" w:leader="none"/>
        </w:tabs>
        <w:ind w:left="709" w:hanging="283"/>
        <w:rPr>
          <w:rFonts w:ascii="Times New Roman" w:hAnsi="Times New Roman" w:eastAsia="SimSun" w:cs="Times New Roman"/>
          <w:b/>
          <w:sz w:val="28"/>
          <w:szCs w:val="24"/>
          <w:lang w:eastAsia="zh-CN"/>
        </w:rPr>
      </w:pPr>
      <w:r>
        <w:rPr/>
        <w:t xml:space="preserve">are easier for users to control; </w:t>
      </w:r>
    </w:p>
    <w:p>
      <w:pPr>
        <w:pStyle w:val="TextBody"/>
        <w:numPr>
          <w:ilvl w:val="0"/>
          <w:numId w:val="2"/>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simplify source maintenance by avoiding redundant data. </w:t>
      </w:r>
    </w:p>
    <w:p>
      <w:pPr>
        <w:pStyle w:val="TextBody"/>
        <w:spacing w:before="1" w:after="283"/>
        <w:rPr>
          <w:rFonts w:ascii="Times New Roman" w:hAnsi="Times New Roman" w:eastAsia="SimSun" w:cs="Times New Roman"/>
          <w:b/>
          <w:sz w:val="28"/>
          <w:szCs w:val="24"/>
          <w:lang w:eastAsia="zh-CN"/>
        </w:rPr>
      </w:pPr>
      <w:r>
        <w:rPr/>
        <w:t>Use cases include:</w:t>
      </w:r>
    </w:p>
    <w:p>
      <w:pPr>
        <w:pStyle w:val="TextBody"/>
        <w:numPr>
          <w:ilvl w:val="0"/>
          <w:numId w:val="3"/>
        </w:numPr>
        <w:tabs>
          <w:tab w:val="clear" w:pos="720"/>
          <w:tab w:val="left" w:pos="0" w:leader="none"/>
        </w:tabs>
        <w:ind w:left="709" w:hanging="283"/>
        <w:rPr>
          <w:rFonts w:ascii="Times New Roman" w:hAnsi="Times New Roman" w:eastAsia="SimSun" w:cs="Times New Roman"/>
          <w:b/>
          <w:sz w:val="28"/>
          <w:szCs w:val="24"/>
          <w:lang w:eastAsia="zh-CN"/>
        </w:rPr>
      </w:pPr>
      <w:r>
        <w:rPr/>
        <w:t xml:space="preserve">warped variable font designspaces to reflect a typeface designer’s intention accurately; </w:t>
      </w:r>
    </w:p>
    <w:p>
      <w:pPr>
        <w:pStyle w:val="TextBody"/>
        <w:numPr>
          <w:ilvl w:val="0"/>
          <w:numId w:val="3"/>
        </w:numPr>
        <w:tabs>
          <w:tab w:val="clear" w:pos="720"/>
          <w:tab w:val="left" w:pos="0" w:leader="none"/>
        </w:tabs>
        <w:ind w:left="709" w:hanging="283"/>
        <w:rPr>
          <w:rFonts w:ascii="Times New Roman" w:hAnsi="Times New Roman" w:eastAsia="SimSun" w:cs="Times New Roman"/>
          <w:b/>
          <w:sz w:val="28"/>
          <w:szCs w:val="24"/>
          <w:lang w:eastAsia="zh-CN"/>
        </w:rPr>
      </w:pPr>
      <w:r>
        <w:rPr/>
        <w:t xml:space="preserve">parametric fonts with intuitive control methods and a much reduced data footprint; </w:t>
      </w:r>
    </w:p>
    <w:p>
      <w:pPr>
        <w:pStyle w:val="TextBody"/>
        <w:numPr>
          <w:ilvl w:val="0"/>
          <w:numId w:val="3"/>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offering simpler methods of control for specialized variable fonts. </w:t>
      </w:r>
    </w:p>
    <w:p>
      <w:pPr>
        <w:pStyle w:val="Heading2"/>
        <w:rPr>
          <w:rFonts w:ascii="Times New Roman" w:hAnsi="Times New Roman" w:eastAsia="SimSun" w:cs="Times New Roman"/>
          <w:b/>
          <w:sz w:val="28"/>
          <w:szCs w:val="24"/>
          <w:lang w:eastAsia="zh-CN"/>
        </w:rPr>
      </w:pPr>
      <w:bookmarkStart w:id="66" w:name="__RefHeading___Toc21932_2335824944"/>
      <w:bookmarkEnd w:id="66"/>
      <w:r>
        <w:rPr/>
        <w:t xml:space="preserve">The </w:t>
      </w:r>
      <w:r>
        <w:rPr/>
        <w:t>avar version 2.0 header format</w:t>
      </w:r>
    </w:p>
    <w:tbl>
      <w:tblPr>
        <w:tblW w:w="9026" w:type="dxa"/>
        <w:jc w:val="left"/>
        <w:tblInd w:w="0" w:type="dxa"/>
        <w:tblLayout w:type="fixed"/>
        <w:tblCellMar>
          <w:top w:w="28" w:type="dxa"/>
          <w:left w:w="28" w:type="dxa"/>
          <w:bottom w:w="28" w:type="dxa"/>
          <w:right w:w="28" w:type="dxa"/>
        </w:tblCellMar>
      </w:tblPr>
      <w:tblGrid>
        <w:gridCol w:w="2735"/>
        <w:gridCol w:w="2952"/>
        <w:gridCol w:w="3339"/>
      </w:tblGrid>
      <w:tr>
        <w:trPr>
          <w:tblHeader w:val="true"/>
        </w:trPr>
        <w:tc>
          <w:tcPr>
            <w:tcW w:w="2735" w:type="dxa"/>
            <w:tcBorders/>
            <w:vAlign w:val="center"/>
          </w:tcPr>
          <w:p>
            <w:pPr>
              <w:pStyle w:val="TableHeading"/>
              <w:rPr/>
            </w:pPr>
            <w:r>
              <w:rPr/>
              <w:t>Type</w:t>
            </w:r>
          </w:p>
        </w:tc>
        <w:tc>
          <w:tcPr>
            <w:tcW w:w="2952" w:type="dxa"/>
            <w:tcBorders/>
            <w:vAlign w:val="center"/>
          </w:tcPr>
          <w:p>
            <w:pPr>
              <w:pStyle w:val="TableHeading"/>
              <w:rPr/>
            </w:pPr>
            <w:r>
              <w:rPr/>
              <w:t>Name</w:t>
            </w:r>
          </w:p>
        </w:tc>
        <w:tc>
          <w:tcPr>
            <w:tcW w:w="3339" w:type="dxa"/>
            <w:tcBorders/>
            <w:vAlign w:val="center"/>
          </w:tcPr>
          <w:p>
            <w:pPr>
              <w:pStyle w:val="TableHeading"/>
              <w:rPr/>
            </w:pPr>
            <w:r>
              <w:rPr/>
              <w:t>Description</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majorVersion</w:t>
            </w:r>
          </w:p>
        </w:tc>
        <w:tc>
          <w:tcPr>
            <w:tcW w:w="3339" w:type="dxa"/>
            <w:tcBorders/>
            <w:vAlign w:val="center"/>
          </w:tcPr>
          <w:p>
            <w:pPr>
              <w:pStyle w:val="TableContents"/>
              <w:rPr/>
            </w:pPr>
            <w:r>
              <w:rPr/>
              <w:t>Major version number of the axis variations table — set to 2.</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minorVersion</w:t>
            </w:r>
          </w:p>
        </w:tc>
        <w:tc>
          <w:tcPr>
            <w:tcW w:w="3339" w:type="dxa"/>
            <w:tcBorders/>
            <w:vAlign w:val="center"/>
          </w:tcPr>
          <w:p>
            <w:pPr>
              <w:pStyle w:val="TableContents"/>
              <w:rPr/>
            </w:pPr>
            <w:r>
              <w:rPr/>
              <w:t>Minor version number of the axis variations table — set to 0.</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&lt;reserved&gt;</w:t>
            </w:r>
          </w:p>
        </w:tc>
        <w:tc>
          <w:tcPr>
            <w:tcW w:w="3339" w:type="dxa"/>
            <w:tcBorders/>
            <w:vAlign w:val="center"/>
          </w:tcPr>
          <w:p>
            <w:pPr>
              <w:pStyle w:val="TableContents"/>
              <w:rPr/>
            </w:pPr>
            <w:r>
              <w:rPr/>
              <w:t>Permanently reserved; set to zero.</w:t>
            </w:r>
          </w:p>
        </w:tc>
      </w:tr>
      <w:tr>
        <w:trPr/>
        <w:tc>
          <w:tcPr>
            <w:tcW w:w="2735" w:type="dxa"/>
            <w:tcBorders/>
            <w:vAlign w:val="center"/>
          </w:tcPr>
          <w:p>
            <w:pPr>
              <w:pStyle w:val="TableContents"/>
              <w:rPr/>
            </w:pPr>
            <w:r>
              <w:rPr>
                <w:rStyle w:val="SourceText"/>
              </w:rPr>
              <w:t>uint16</w:t>
            </w:r>
          </w:p>
        </w:tc>
        <w:tc>
          <w:tcPr>
            <w:tcW w:w="2952" w:type="dxa"/>
            <w:tcBorders/>
            <w:vAlign w:val="center"/>
          </w:tcPr>
          <w:p>
            <w:pPr>
              <w:pStyle w:val="TableContents"/>
              <w:rPr/>
            </w:pPr>
            <w:r>
              <w:rPr>
                <w:rStyle w:val="SourceText"/>
              </w:rPr>
              <w:t>axisSegmentMapCount</w:t>
            </w:r>
          </w:p>
        </w:tc>
        <w:tc>
          <w:tcPr>
            <w:tcW w:w="3339" w:type="dxa"/>
            <w:tcBorders/>
            <w:vAlign w:val="center"/>
          </w:tcPr>
          <w:p>
            <w:pPr>
              <w:pStyle w:val="TableContents"/>
              <w:rPr/>
            </w:pPr>
            <w:r>
              <w:rPr/>
              <w:t xml:space="preserve">The number of </w:t>
            </w:r>
            <w:r>
              <w:rPr>
                <w:rStyle w:val="Emphasis"/>
              </w:rPr>
              <w:t>axisSegmentMap</w:t>
            </w:r>
            <w:r>
              <w:rPr/>
              <w:t xml:space="preserve">s for this font. If this is not 0, it must be the same as </w:t>
            </w:r>
            <w:r>
              <w:rPr>
                <w:rStyle w:val="Emphasis"/>
              </w:rPr>
              <w:t>axisCount</w:t>
            </w:r>
            <w:r>
              <w:rPr/>
              <w:t xml:space="preserve"> in the 'fvar' table.</w:t>
            </w:r>
          </w:p>
        </w:tc>
      </w:tr>
      <w:tr>
        <w:trPr/>
        <w:tc>
          <w:tcPr>
            <w:tcW w:w="2735" w:type="dxa"/>
            <w:tcBorders/>
            <w:vAlign w:val="center"/>
          </w:tcPr>
          <w:p>
            <w:pPr>
              <w:pStyle w:val="TableContents"/>
              <w:rPr/>
            </w:pPr>
            <w:r>
              <w:rPr>
                <w:rStyle w:val="SourceText"/>
              </w:rPr>
              <w:t>SegmentMaps</w:t>
            </w:r>
          </w:p>
        </w:tc>
        <w:tc>
          <w:tcPr>
            <w:tcW w:w="2952" w:type="dxa"/>
            <w:tcBorders/>
            <w:vAlign w:val="center"/>
          </w:tcPr>
          <w:p>
            <w:pPr>
              <w:pStyle w:val="TableContents"/>
              <w:rPr/>
            </w:pPr>
            <w:r>
              <w:rPr>
                <w:rStyle w:val="SourceText"/>
              </w:rPr>
              <w:t>axisSegmentMaps[axisSegmentMapCount]</w:t>
            </w:r>
          </w:p>
        </w:tc>
        <w:tc>
          <w:tcPr>
            <w:tcW w:w="3339" w:type="dxa"/>
            <w:tcBorders/>
            <w:vAlign w:val="center"/>
          </w:tcPr>
          <w:p>
            <w:pPr>
              <w:pStyle w:val="TableContents"/>
              <w:rPr/>
            </w:pPr>
            <w:r>
              <w:rPr/>
              <w:t>The segment maps array — one segment map for each axis, in the order of axes specified in the 'fvar' table.</w:t>
            </w:r>
          </w:p>
        </w:tc>
      </w:tr>
      <w:tr>
        <w:trPr/>
        <w:tc>
          <w:tcPr>
            <w:tcW w:w="2735" w:type="dxa"/>
            <w:tcBorders/>
            <w:vAlign w:val="center"/>
          </w:tcPr>
          <w:p>
            <w:pPr>
              <w:pStyle w:val="TableContents"/>
              <w:rPr/>
            </w:pPr>
            <w:r>
              <w:rPr>
                <w:rStyle w:val="SourceText"/>
              </w:rPr>
              <w:t>Offset32To&lt;DeltaSetIndexMap&gt;</w:t>
            </w:r>
          </w:p>
        </w:tc>
        <w:tc>
          <w:tcPr>
            <w:tcW w:w="2952" w:type="dxa"/>
            <w:tcBorders/>
            <w:vAlign w:val="center"/>
          </w:tcPr>
          <w:p>
            <w:pPr>
              <w:pStyle w:val="TableContents"/>
              <w:rPr/>
            </w:pPr>
            <w:r>
              <w:rPr>
                <w:rStyle w:val="SourceText"/>
              </w:rPr>
              <w:t>axisIndexMapOffset</w:t>
            </w:r>
          </w:p>
        </w:tc>
        <w:tc>
          <w:tcPr>
            <w:tcW w:w="3339" w:type="dxa"/>
            <w:tcBorders/>
            <w:vAlign w:val="center"/>
          </w:tcPr>
          <w:p>
            <w:pPr>
              <w:pStyle w:val="TableContents"/>
              <w:rPr/>
            </w:pPr>
            <w:r>
              <w:rPr/>
              <w:t xml:space="preserve">Offset from beginning of the table to </w:t>
            </w:r>
            <w:r>
              <w:rPr>
                <w:rStyle w:val="SourceText"/>
              </w:rPr>
              <w:t>axisIndexMap</w:t>
            </w:r>
            <w:r>
              <w:rPr/>
              <w:t>.</w:t>
            </w:r>
          </w:p>
        </w:tc>
      </w:tr>
      <w:tr>
        <w:trPr/>
        <w:tc>
          <w:tcPr>
            <w:tcW w:w="2735" w:type="dxa"/>
            <w:tcBorders/>
            <w:vAlign w:val="center"/>
          </w:tcPr>
          <w:p>
            <w:pPr>
              <w:pStyle w:val="TableContents"/>
              <w:rPr/>
            </w:pPr>
            <w:r>
              <w:rPr>
                <w:rStyle w:val="SourceText"/>
              </w:rPr>
              <w:t>Offset32To&lt;ItemVariationStore&gt;</w:t>
            </w:r>
          </w:p>
        </w:tc>
        <w:tc>
          <w:tcPr>
            <w:tcW w:w="2952" w:type="dxa"/>
            <w:tcBorders/>
            <w:vAlign w:val="center"/>
          </w:tcPr>
          <w:p>
            <w:pPr>
              <w:pStyle w:val="TableContents"/>
              <w:rPr/>
            </w:pPr>
            <w:r>
              <w:rPr>
                <w:rStyle w:val="SourceText"/>
              </w:rPr>
              <w:t>varStoreOffset</w:t>
            </w:r>
          </w:p>
        </w:tc>
        <w:tc>
          <w:tcPr>
            <w:tcW w:w="3339" w:type="dxa"/>
            <w:tcBorders/>
            <w:vAlign w:val="center"/>
          </w:tcPr>
          <w:p>
            <w:pPr>
              <w:pStyle w:val="TableContents"/>
              <w:rPr/>
            </w:pPr>
            <w:r>
              <w:rPr/>
              <w:t xml:space="preserve">Offset from beginning of the table to </w:t>
            </w:r>
            <w:r>
              <w:rPr>
                <w:rStyle w:val="SourceText"/>
              </w:rPr>
              <w:t>varStore</w:t>
            </w:r>
            <w:r>
              <w:rPr/>
              <w:t>.</w:t>
            </w:r>
          </w:p>
        </w:tc>
      </w:tr>
    </w:tbl>
    <w:p>
      <w:pPr>
        <w:pStyle w:val="TextBody"/>
        <w:spacing w:before="1" w:after="283"/>
        <w:rPr>
          <w:rFonts w:ascii="Times New Roman" w:hAnsi="Times New Roman" w:eastAsia="SimSun" w:cs="Times New Roman"/>
          <w:b/>
          <w:sz w:val="28"/>
          <w:szCs w:val="24"/>
          <w:lang w:eastAsia="zh-CN"/>
        </w:rPr>
      </w:pPr>
      <w:r>
        <w:rPr/>
        <w:t xml:space="preserve">The table format for </w:t>
      </w:r>
      <w:r>
        <w:rPr>
          <w:rStyle w:val="SourceText"/>
        </w:rPr>
        <w:t>avar</w:t>
      </w:r>
      <w:r>
        <w:rPr/>
        <w:t xml:space="preserve"> version 2 is the same as </w:t>
      </w:r>
      <w:r>
        <w:rPr>
          <w:rStyle w:val="SourceText"/>
        </w:rPr>
        <w:t>avar</w:t>
      </w:r>
      <w:r>
        <w:rPr/>
        <w:t xml:space="preserve"> version 1, appended with offsets to two extra structures, </w:t>
      </w:r>
      <w:r>
        <w:rPr>
          <w:rStyle w:val="SourceText"/>
        </w:rPr>
        <w:t>axisIndexMap</w:t>
      </w:r>
      <w:r>
        <w:rPr/>
        <w:t xml:space="preserve"> and </w:t>
      </w:r>
      <w:r>
        <w:rPr>
          <w:rStyle w:val="SourceText"/>
        </w:rPr>
        <w:t>varStore</w:t>
      </w:r>
      <w:r>
        <w:rPr/>
        <w:t>, and with the data for those structures.</w:t>
      </w:r>
    </w:p>
    <w:p>
      <w:pPr>
        <w:pStyle w:val="TextBody"/>
        <w:spacing w:before="1" w:after="283"/>
        <w:rPr>
          <w:rFonts w:ascii="Times New Roman" w:hAnsi="Times New Roman" w:eastAsia="SimSun" w:cs="Times New Roman"/>
          <w:b/>
          <w:sz w:val="28"/>
          <w:szCs w:val="24"/>
          <w:lang w:eastAsia="zh-CN"/>
        </w:rPr>
      </w:pPr>
      <w:r>
        <w:rPr>
          <w:rStyle w:val="SourceText"/>
        </w:rPr>
        <w:t>axisIndexMap</w:t>
      </w:r>
      <w:r>
        <w:rPr/>
        <w:t xml:space="preserve"> is a </w:t>
      </w:r>
      <w:r>
        <w:rPr>
          <w:rStyle w:val="Emphasis"/>
        </w:rPr>
        <w:t>DeltaSetIndexMap</w:t>
      </w:r>
      <w:r>
        <w:rPr/>
        <w:t xml:space="preserve"> structure that maps the axis indices implied in </w:t>
      </w:r>
      <w:r>
        <w:rPr>
          <w:rStyle w:val="SourceText"/>
        </w:rPr>
        <w:t>fvar</w:t>
      </w:r>
      <w:r>
        <w:rPr/>
        <w:t xml:space="preserve"> to indices used in </w:t>
      </w:r>
      <w:r>
        <w:rPr>
          <w:rStyle w:val="SourceText"/>
        </w:rPr>
        <w:t>varStore</w:t>
      </w:r>
      <w:r>
        <w:rPr/>
        <w:t xml:space="preserve">. The outer index identifies an </w:t>
      </w:r>
      <w:r>
        <w:rPr>
          <w:rStyle w:val="Emphasis"/>
        </w:rPr>
        <w:t>ItemVariationData</w:t>
      </w:r>
      <w:r>
        <w:rPr/>
        <w:t xml:space="preserve"> structure in </w:t>
      </w:r>
      <w:r>
        <w:rPr>
          <w:rStyle w:val="SourceText"/>
        </w:rPr>
        <w:t>varStore</w:t>
      </w:r>
      <w:r>
        <w:rPr/>
        <w:t xml:space="preserve">. The inner index identifies a </w:t>
      </w:r>
      <w:r>
        <w:rPr>
          <w:rStyle w:val="Emphasis"/>
        </w:rPr>
        <w:t>deltaSet</w:t>
      </w:r>
      <w:r>
        <w:rPr/>
        <w:t xml:space="preserve"> within an </w:t>
      </w:r>
      <w:r>
        <w:rPr>
          <w:rStyle w:val="Emphasis"/>
        </w:rPr>
        <w:t>ItemVariationData</w:t>
      </w:r>
      <w:r>
        <w:rPr/>
        <w:t>.</w:t>
      </w:r>
    </w:p>
    <w:p>
      <w:pPr>
        <w:pStyle w:val="TextBody"/>
        <w:spacing w:before="1" w:after="283"/>
        <w:rPr>
          <w:rFonts w:ascii="Times New Roman" w:hAnsi="Times New Roman" w:eastAsia="SimSun" w:cs="Times New Roman"/>
          <w:b/>
          <w:sz w:val="28"/>
          <w:szCs w:val="24"/>
          <w:lang w:eastAsia="zh-CN"/>
        </w:rPr>
      </w:pPr>
      <w:r>
        <w:rPr>
          <w:rStyle w:val="SourceText"/>
        </w:rPr>
        <w:t>varStore</w:t>
      </w:r>
      <w:r>
        <w:rPr/>
        <w:t xml:space="preserve"> is an </w:t>
      </w:r>
      <w:r>
        <w:rPr>
          <w:rStyle w:val="Emphasis"/>
        </w:rPr>
        <w:t>ItemVariationStore</w:t>
      </w:r>
      <w:r>
        <w:rPr/>
        <w:t xml:space="preserve"> structure that points to a </w:t>
      </w:r>
      <w:r>
        <w:rPr>
          <w:rStyle w:val="Emphasis"/>
        </w:rPr>
        <w:t>VariationRegions</w:t>
      </w:r>
      <w:r>
        <w:rPr/>
        <w:t xml:space="preserve"> array and a list of </w:t>
      </w:r>
      <w:r>
        <w:rPr>
          <w:rStyle w:val="Emphasis"/>
        </w:rPr>
        <w:t>ItemVariationData</w:t>
      </w:r>
      <w:r>
        <w:rPr/>
        <w:t xml:space="preserve"> structures. Each </w:t>
      </w:r>
      <w:r>
        <w:rPr>
          <w:rStyle w:val="Emphasis"/>
        </w:rPr>
        <w:t>ItemVariationData</w:t>
      </w:r>
      <w:r>
        <w:rPr/>
        <w:t xml:space="preserve"> specifies a subset of </w:t>
      </w:r>
      <w:r>
        <w:rPr>
          <w:rStyle w:val="Emphasis"/>
        </w:rPr>
        <w:t>VariationRegions</w:t>
      </w:r>
      <w:r>
        <w:rPr/>
        <w:t xml:space="preserve"> and an array of </w:t>
      </w:r>
      <w:r>
        <w:rPr>
          <w:rStyle w:val="Emphasis"/>
        </w:rPr>
        <w:t>deltaSets</w:t>
      </w:r>
      <w:r>
        <w:rPr/>
        <w:t xml:space="preserve">. Each </w:t>
      </w:r>
      <w:r>
        <w:rPr>
          <w:rStyle w:val="Emphasis"/>
        </w:rPr>
        <w:t>deltaSet</w:t>
      </w:r>
      <w:r>
        <w:rPr/>
        <w:t xml:space="preserve"> specifies a delta value for each region.</w:t>
      </w:r>
    </w:p>
    <w:p>
      <w:pPr>
        <w:pStyle w:val="TextBody"/>
        <w:spacing w:before="1" w:after="283"/>
        <w:rPr>
          <w:rFonts w:ascii="Times New Roman" w:hAnsi="Times New Roman" w:eastAsia="SimSun" w:cs="Times New Roman"/>
          <w:b/>
          <w:sz w:val="28"/>
          <w:szCs w:val="24"/>
          <w:lang w:eastAsia="zh-CN"/>
        </w:rPr>
      </w:pPr>
      <w:r>
        <w:rPr/>
        <w:t>Delta values are typically in (but not limited to) the range [-1.0, 1.0].</w:t>
      </w:r>
    </w:p>
    <w:p>
      <w:pPr>
        <w:pStyle w:val="TextBody"/>
        <w:spacing w:before="1" w:after="283"/>
        <w:rPr>
          <w:rFonts w:ascii="Times New Roman" w:hAnsi="Times New Roman" w:eastAsia="SimSun" w:cs="Times New Roman"/>
          <w:b/>
          <w:sz w:val="28"/>
          <w:szCs w:val="24"/>
          <w:lang w:eastAsia="zh-CN"/>
        </w:rPr>
      </w:pPr>
      <w:r>
        <w:rPr/>
        <w:t>Delta values are stored as if they were signed integers by multiplying their true value by 16384. Thus 1.0 is stored as 16384; -1.0 is stored as -16384.</w:t>
      </w:r>
    </w:p>
    <w:p>
      <w:pPr>
        <w:pStyle w:val="TextBody"/>
        <w:spacing w:before="1" w:after="283"/>
        <w:rPr>
          <w:rFonts w:ascii="Times New Roman" w:hAnsi="Times New Roman" w:eastAsia="SimSun" w:cs="Times New Roman"/>
          <w:b/>
          <w:sz w:val="28"/>
          <w:szCs w:val="24"/>
          <w:lang w:eastAsia="zh-CN"/>
        </w:rPr>
      </w:pPr>
      <w:r>
        <w:rPr/>
        <w:t xml:space="preserve">The </w:t>
      </w:r>
      <w:r>
        <w:rPr>
          <w:rStyle w:val="Emphasis"/>
        </w:rPr>
        <w:t>DeltaSetIndexMap</w:t>
      </w:r>
      <w:r>
        <w:rPr/>
        <w:t xml:space="preserve"> and </w:t>
      </w:r>
      <w:r>
        <w:rPr>
          <w:rStyle w:val="Emphasis"/>
        </w:rPr>
        <w:t>ItemVariationStore</w:t>
      </w:r>
      <w:r>
        <w:rPr/>
        <w:t xml:space="preserve"> formats are given in </w:t>
      </w:r>
      <w:hyperlink r:id="rId3">
        <w:r>
          <w:rPr>
            <w:rStyle w:val="InternetLink"/>
          </w:rPr>
          <w:t>OpenType Font Variations Common Table Formats</w:t>
        </w:r>
      </w:hyperlink>
      <w:r>
        <w:rPr/>
        <w:t>.</w:t>
      </w:r>
    </w:p>
    <w:p>
      <w:pPr>
        <w:pStyle w:val="Heading2"/>
        <w:rPr>
          <w:rFonts w:ascii="Times New Roman" w:hAnsi="Times New Roman" w:eastAsia="SimSun" w:cs="Times New Roman"/>
          <w:b/>
          <w:sz w:val="28"/>
          <w:szCs w:val="24"/>
          <w:lang w:eastAsia="zh-CN"/>
        </w:rPr>
      </w:pPr>
      <w:bookmarkStart w:id="67" w:name="__RefHeading___Toc21934_2335824944"/>
      <w:bookmarkStart w:id="68" w:name="user-content-processing_Copy_1"/>
      <w:bookmarkEnd w:id="67"/>
      <w:bookmarkEnd w:id="68"/>
      <w:r>
        <w:rPr/>
        <w:t>Processing</w:t>
      </w:r>
    </w:p>
    <w:p>
      <w:pPr>
        <w:pStyle w:val="TextBody"/>
        <w:spacing w:before="1" w:after="283"/>
        <w:rPr>
          <w:rFonts w:ascii="Times New Roman" w:hAnsi="Times New Roman" w:eastAsia="SimSun" w:cs="Times New Roman"/>
          <w:b/>
          <w:sz w:val="28"/>
          <w:szCs w:val="24"/>
          <w:lang w:eastAsia="zh-CN"/>
        </w:rPr>
      </w:pPr>
      <w:r>
        <w:rPr/>
        <w:t xml:space="preserve">Processing of axis values in an </w:t>
      </w:r>
      <w:r>
        <w:rPr>
          <w:rStyle w:val="SourceText"/>
        </w:rPr>
        <w:t>avar</w:t>
      </w:r>
      <w:r>
        <w:rPr/>
        <w:t xml:space="preserve"> version 2 table happens in 3 stages for a given instance:</w:t>
      </w:r>
    </w:p>
    <w:p>
      <w:pPr>
        <w:pStyle w:val="TextBody"/>
        <w:numPr>
          <w:ilvl w:val="0"/>
          <w:numId w:val="4"/>
        </w:numPr>
        <w:tabs>
          <w:tab w:val="clear" w:pos="720"/>
          <w:tab w:val="left" w:pos="0" w:leader="none"/>
        </w:tabs>
        <w:ind w:left="709" w:hanging="283"/>
        <w:rPr>
          <w:rFonts w:ascii="Times New Roman" w:hAnsi="Times New Roman" w:eastAsia="SimSun" w:cs="Times New Roman"/>
          <w:b/>
          <w:sz w:val="28"/>
          <w:szCs w:val="24"/>
          <w:lang w:eastAsia="zh-CN"/>
        </w:rPr>
      </w:pPr>
      <w:r>
        <w:rPr/>
        <w:t xml:space="preserve">Initial normalization to convert user coordinates of each axis to initial normalized coordinates in the range [-1.0, 1.0]. </w:t>
      </w:r>
    </w:p>
    <w:p>
      <w:pPr>
        <w:pStyle w:val="TextBody"/>
        <w:numPr>
          <w:ilvl w:val="0"/>
          <w:numId w:val="4"/>
        </w:numPr>
        <w:tabs>
          <w:tab w:val="clear" w:pos="720"/>
          <w:tab w:val="left" w:pos="0" w:leader="none"/>
        </w:tabs>
        <w:ind w:left="709" w:hanging="283"/>
        <w:rPr>
          <w:rFonts w:ascii="Times New Roman" w:hAnsi="Times New Roman" w:eastAsia="SimSun" w:cs="Times New Roman"/>
          <w:b/>
          <w:sz w:val="28"/>
          <w:szCs w:val="24"/>
          <w:lang w:eastAsia="zh-CN"/>
        </w:rPr>
      </w:pPr>
      <w:r>
        <w:rPr/>
        <w:t xml:space="preserve">Remap initial normalized coordinates of each axis via the </w:t>
      </w:r>
      <w:r>
        <w:rPr>
          <w:rStyle w:val="Emphasis"/>
        </w:rPr>
        <w:t>axisSegmentMap</w:t>
      </w:r>
      <w:r>
        <w:rPr/>
        <w:t xml:space="preserve">s of </w:t>
      </w:r>
      <w:r>
        <w:rPr>
          <w:rStyle w:val="SourceText"/>
        </w:rPr>
        <w:t>avar</w:t>
      </w:r>
      <w:r>
        <w:rPr/>
        <w:t xml:space="preserve"> version 1, providing intermediate coordinates also in the range [-1.0, 1.0]. </w:t>
      </w:r>
    </w:p>
    <w:p>
      <w:pPr>
        <w:pStyle w:val="TextBody"/>
        <w:numPr>
          <w:ilvl w:val="0"/>
          <w:numId w:val="4"/>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Calculate interpolated deltas for each axis via </w:t>
      </w:r>
      <w:r>
        <w:rPr>
          <w:rStyle w:val="SourceText"/>
        </w:rPr>
        <w:t>avar</w:t>
      </w:r>
      <w:r>
        <w:rPr/>
        <w:t xml:space="preserve"> version 2 and add them to intermediate coordinates, providing final coordinates that are clamped to the range [-1,1]. </w:t>
      </w:r>
    </w:p>
    <w:p>
      <w:pPr>
        <w:pStyle w:val="TextBody"/>
        <w:spacing w:before="1" w:after="283"/>
        <w:rPr>
          <w:rFonts w:ascii="Times New Roman" w:hAnsi="Times New Roman" w:eastAsia="SimSun" w:cs="Times New Roman"/>
          <w:b/>
          <w:sz w:val="28"/>
          <w:szCs w:val="24"/>
          <w:lang w:eastAsia="zh-CN"/>
        </w:rPr>
      </w:pPr>
      <w:r>
        <w:rPr/>
        <w:t xml:space="preserve">In more detail, step 3 proceeds as follows. Considering the coordinates provided by step 2, a scalar is determined for each </w:t>
      </w:r>
      <w:r>
        <w:rPr>
          <w:rStyle w:val="Emphasis"/>
        </w:rPr>
        <w:t>variationRegion</w:t>
      </w:r>
      <w:r>
        <w:rPr/>
        <w:t xml:space="preserve"> by the usual variation interpolation algorithm. Then, the </w:t>
      </w:r>
      <w:r>
        <w:rPr>
          <w:rStyle w:val="Emphasis"/>
        </w:rPr>
        <w:t>deltaSet</w:t>
      </w:r>
      <w:r>
        <w:rPr/>
        <w:t xml:space="preserve">s of each </w:t>
      </w:r>
      <w:r>
        <w:rPr>
          <w:rStyle w:val="Emphasis"/>
        </w:rPr>
        <w:t>ItemVariationData</w:t>
      </w:r>
      <w:r>
        <w:rPr/>
        <w:t xml:space="preserve"> are processed such that each delta value is multiplied by its associated scalar. Summing those products gives an interpolated delta to add to a particular axis coordinate, the axis index being defined in </w:t>
      </w:r>
      <w:r>
        <w:rPr>
          <w:rStyle w:val="SourceText"/>
        </w:rPr>
        <w:t>axisIndexMap</w:t>
      </w:r>
      <w:r>
        <w:rPr/>
        <w:t xml:space="preserve">. After the summing operations for all </w:t>
      </w:r>
      <w:r>
        <w:rPr>
          <w:rStyle w:val="Emphasis"/>
        </w:rPr>
        <w:t>ItemVariationData</w:t>
      </w:r>
      <w:r>
        <w:rPr/>
        <w:t xml:space="preserve"> structures is complete, axis values are clamped to to the range [-1.0, 1.0], giving final axis coordinates.</w:t>
      </w:r>
    </w:p>
    <w:p>
      <w:pPr>
        <w:pStyle w:val="TextBody"/>
        <w:spacing w:before="1" w:after="283"/>
        <w:rPr>
          <w:rFonts w:ascii="Times New Roman" w:hAnsi="Times New Roman" w:eastAsia="SimSun" w:cs="Times New Roman"/>
          <w:b/>
          <w:sz w:val="28"/>
          <w:szCs w:val="24"/>
          <w:lang w:eastAsia="zh-CN"/>
        </w:rPr>
      </w:pPr>
      <w:r>
        <w:rPr/>
        <w:t xml:space="preserve">The final axis coordinates obtained by step 3 are subsequently used in the standard variation process described in </w:t>
      </w:r>
      <w:r>
        <w:fldChar w:fldCharType="begin"/>
      </w:r>
      <w:r>
        <w:rPr>
          <w:rStyle w:val="InternetLink"/>
        </w:rPr>
        <w:instrText xml:space="preserve"> HYPERLINK "https://docs.microsoft.com/en-us/typography/opentype/spec/otvaroverview" \l "algorithm-for-interpolation-of-instance-values"</w:instrText>
      </w:r>
      <w:r>
        <w:rPr>
          <w:rStyle w:val="InternetLink"/>
        </w:rPr>
        <w:fldChar w:fldCharType="separate"/>
      </w:r>
      <w:r>
        <w:rPr>
          <w:rStyle w:val="InternetLink"/>
        </w:rPr>
        <w:t>Algorithm for Interpolation of Instance Values</w:t>
      </w:r>
      <w:r>
        <w:rPr>
          <w:rStyle w:val="InternetLink"/>
        </w:rPr>
        <w:fldChar w:fldCharType="end"/>
      </w:r>
      <w:r>
        <w:rPr/>
        <w:t xml:space="preserve">, applying to all </w:t>
      </w:r>
      <w:r>
        <w:rPr>
          <w:rStyle w:val="SourceText"/>
        </w:rPr>
        <w:t>gvar</w:t>
      </w:r>
      <w:r>
        <w:rPr/>
        <w:t xml:space="preserve"> data and all </w:t>
      </w:r>
      <w:r>
        <w:rPr>
          <w:rStyle w:val="SourceText"/>
        </w:rPr>
        <w:t>ItemVariationStore</w:t>
      </w:r>
      <w:r>
        <w:rPr/>
        <w:t xml:space="preserve"> data elsewhere in the font.</w:t>
      </w:r>
    </w:p>
    <w:p>
      <w:pPr>
        <w:pStyle w:val="TextBody"/>
        <w:rPr>
          <w:rFonts w:ascii="Times New Roman" w:hAnsi="Times New Roman" w:eastAsia="SimSun" w:cs="Times New Roman"/>
          <w:b/>
          <w:sz w:val="28"/>
          <w:szCs w:val="24"/>
          <w:lang w:eastAsia="zh-CN"/>
        </w:rPr>
      </w:pPr>
      <w:r>
        <w:rPr/>
        <w:t>The following algorithm implements step 3 above, producing the final normalized axis coordinates:</w:t>
      </w:r>
    </w:p>
    <w:p>
      <w:pPr>
        <w:pStyle w:val="PreformattedText"/>
        <w:rPr>
          <w:rFonts w:ascii="Times New Roman" w:hAnsi="Times New Roman" w:eastAsia="SimSun" w:cs="Times New Roman"/>
          <w:b/>
          <w:sz w:val="28"/>
          <w:szCs w:val="24"/>
          <w:lang w:eastAsia="zh-CN"/>
        </w:rPr>
      </w:pPr>
      <w:r>
        <w:rPr/>
        <w:t xml:space="preserve">    </w:t>
      </w:r>
      <w:r>
        <w:rPr/>
        <w:t>// let coords be the vector of current normalized coordinates.</w:t>
      </w:r>
    </w:p>
    <w:p>
      <w:pPr>
        <w:pStyle w:val="PreformattedText"/>
        <w:rPr/>
      </w:pPr>
      <w:r>
        <w:rPr/>
      </w:r>
    </w:p>
    <w:p>
      <w:pPr>
        <w:pStyle w:val="PreformattedText"/>
        <w:rPr/>
      </w:pPr>
      <w:r>
        <w:rPr/>
        <w:t xml:space="preserve">    </w:t>
      </w:r>
      <w:r>
        <w:rPr/>
        <w:t>std::vector&lt;int&gt; out;</w:t>
      </w:r>
    </w:p>
    <w:p>
      <w:pPr>
        <w:pStyle w:val="PreformattedText"/>
        <w:rPr/>
      </w:pPr>
      <w:r>
        <w:rPr/>
        <w:t xml:space="preserve">    </w:t>
      </w:r>
      <w:r>
        <w:rPr/>
        <w:t>for (unsigned i = 0; i &lt; coords.size(); i++)</w:t>
      </w:r>
    </w:p>
    <w:p>
      <w:pPr>
        <w:pStyle w:val="PreformattedText"/>
        <w:rPr/>
      </w:pPr>
      <w:r>
        <w:rPr/>
        <w:t xml:space="preserve">    </w:t>
      </w:r>
      <w:r>
        <w:rPr/>
        <w:t>{</w:t>
      </w:r>
    </w:p>
    <w:p>
      <w:pPr>
        <w:pStyle w:val="PreformattedText"/>
        <w:rPr/>
      </w:pPr>
      <w:r>
        <w:rPr/>
        <w:t xml:space="preserve">      </w:t>
      </w:r>
      <w:r>
        <w:rPr/>
        <w:t>int v = coords[i];</w:t>
      </w:r>
    </w:p>
    <w:p>
      <w:pPr>
        <w:pStyle w:val="PreformattedText"/>
        <w:rPr/>
      </w:pPr>
      <w:r>
        <w:rPr/>
        <w:t xml:space="preserve">      </w:t>
      </w:r>
      <w:r>
        <w:rPr/>
        <w:t>uint32_t varidx = i;</w:t>
      </w:r>
    </w:p>
    <w:p>
      <w:pPr>
        <w:pStyle w:val="PreformattedText"/>
        <w:rPr/>
      </w:pPr>
      <w:r>
        <w:rPr/>
        <w:t xml:space="preserve">      </w:t>
      </w:r>
    </w:p>
    <w:p>
      <w:pPr>
        <w:pStyle w:val="PreformattedText"/>
        <w:rPr/>
      </w:pPr>
      <w:r>
        <w:rPr/>
        <w:t xml:space="preserve">      </w:t>
      </w:r>
      <w:r>
        <w:rPr/>
        <w:t>if (axisIdxMap != 0)</w:t>
      </w:r>
    </w:p>
    <w:p>
      <w:pPr>
        <w:pStyle w:val="PreformattedText"/>
        <w:rPr/>
      </w:pPr>
      <w:r>
        <w:rPr/>
        <w:t xml:space="preserve">        </w:t>
      </w:r>
      <w:r>
        <w:rPr/>
        <w:t>varidx = (this+axisIdxMap).map(varidx);</w:t>
      </w:r>
    </w:p>
    <w:p>
      <w:pPr>
        <w:pStyle w:val="PreformattedText"/>
        <w:rPr/>
      </w:pPr>
      <w:r>
        <w:rPr/>
        <w:t xml:space="preserve">      </w:t>
      </w:r>
    </w:p>
    <w:p>
      <w:pPr>
        <w:pStyle w:val="PreformattedText"/>
        <w:rPr/>
      </w:pPr>
      <w:r>
        <w:rPr/>
        <w:t xml:space="preserve">      </w:t>
      </w:r>
      <w:r>
        <w:rPr/>
        <w:t>float delta = 0;</w:t>
      </w:r>
    </w:p>
    <w:p>
      <w:pPr>
        <w:pStyle w:val="PreformattedText"/>
        <w:rPr/>
      </w:pPr>
      <w:r>
        <w:rPr/>
        <w:t xml:space="preserve">      </w:t>
      </w:r>
    </w:p>
    <w:p>
      <w:pPr>
        <w:pStyle w:val="PreformattedText"/>
        <w:rPr/>
      </w:pPr>
      <w:r>
        <w:rPr/>
        <w:t xml:space="preserve">      </w:t>
      </w:r>
      <w:r>
        <w:rPr/>
        <w:t>if (varStore != 0)</w:t>
      </w:r>
    </w:p>
    <w:p>
      <w:pPr>
        <w:pStyle w:val="PreformattedText"/>
        <w:rPr/>
      </w:pPr>
      <w:r>
        <w:rPr/>
        <w:t xml:space="preserve">        </w:t>
      </w:r>
      <w:r>
        <w:rPr/>
        <w:t>delta = (this+varStore).get_delta (varidx, coords);</w:t>
      </w:r>
    </w:p>
    <w:p>
      <w:pPr>
        <w:pStyle w:val="PreformattedText"/>
        <w:rPr/>
      </w:pPr>
      <w:r>
        <w:rPr/>
      </w:r>
    </w:p>
    <w:p>
      <w:pPr>
        <w:pStyle w:val="PreformattedText"/>
        <w:rPr/>
      </w:pPr>
      <w:r>
        <w:rPr/>
        <w:t xml:space="preserve">      </w:t>
      </w:r>
      <w:r>
        <w:rPr/>
        <w:t>v += std::roundf (delta);</w:t>
      </w:r>
    </w:p>
    <w:p>
      <w:pPr>
        <w:pStyle w:val="PreformattedText"/>
        <w:rPr/>
      </w:pPr>
      <w:r>
        <w:rPr/>
        <w:t xml:space="preserve">      </w:t>
      </w:r>
      <w:r>
        <w:rPr/>
        <w:t>v = std::clamp (v, -(1&lt;&lt;14), +(1&lt;&lt;14));</w:t>
      </w:r>
    </w:p>
    <w:p>
      <w:pPr>
        <w:pStyle w:val="PreformattedText"/>
        <w:rPr/>
      </w:pPr>
      <w:r>
        <w:rPr/>
      </w:r>
    </w:p>
    <w:p>
      <w:pPr>
        <w:pStyle w:val="PreformattedText"/>
        <w:rPr/>
      </w:pPr>
      <w:r>
        <w:rPr/>
        <w:t xml:space="preserve">      </w:t>
      </w:r>
      <w:r>
        <w:rPr/>
        <w:t>out.push_back (v);</w:t>
      </w:r>
    </w:p>
    <w:p>
      <w:pPr>
        <w:pStyle w:val="PreformattedText"/>
        <w:rPr/>
      </w:pPr>
      <w:r>
        <w:rPr/>
        <w:t xml:space="preserve">    </w:t>
      </w:r>
      <w:r>
        <w:rPr/>
        <w:t>}</w:t>
      </w:r>
    </w:p>
    <w:p>
      <w:pPr>
        <w:pStyle w:val="PreformattedText"/>
        <w:rPr/>
      </w:pPr>
      <w:r>
        <w:rPr/>
        <w:t xml:space="preserve">    </w:t>
      </w:r>
      <w:r>
        <w:rPr/>
        <w:t>for (unsigned i = 0; i &lt; coords.size(); i++)</w:t>
      </w:r>
    </w:p>
    <w:p>
      <w:pPr>
        <w:pStyle w:val="PreformattedText"/>
        <w:spacing w:before="0" w:after="283"/>
        <w:rPr/>
      </w:pPr>
      <w:r>
        <w:rPr/>
        <w:t xml:space="preserve">      </w:t>
      </w:r>
      <w:r>
        <w:rPr/>
        <w:t>coords[i] = out[i];</w:t>
      </w:r>
    </w:p>
    <w:p>
      <w:pPr>
        <w:pStyle w:val="Heading2"/>
        <w:rPr>
          <w:rFonts w:ascii="Times New Roman" w:hAnsi="Times New Roman" w:eastAsia="SimSun" w:cs="Times New Roman"/>
          <w:b/>
          <w:sz w:val="28"/>
          <w:szCs w:val="24"/>
          <w:lang w:eastAsia="zh-CN"/>
        </w:rPr>
      </w:pPr>
      <w:bookmarkStart w:id="69" w:name="__RefHeading___Toc22306_2925186988"/>
      <w:bookmarkStart w:id="70" w:name="user-content-construction"/>
      <w:bookmarkEnd w:id="69"/>
      <w:bookmarkEnd w:id="70"/>
      <w:r>
        <w:rPr/>
        <w:t>Construction</w:t>
      </w:r>
    </w:p>
    <w:p>
      <w:pPr>
        <w:pStyle w:val="TextBody"/>
        <w:spacing w:before="1" w:after="283"/>
        <w:rPr>
          <w:rFonts w:ascii="Times New Roman" w:hAnsi="Times New Roman" w:eastAsia="SimSun" w:cs="Times New Roman"/>
          <w:b/>
          <w:sz w:val="28"/>
          <w:szCs w:val="24"/>
          <w:lang w:eastAsia="zh-CN"/>
        </w:rPr>
      </w:pPr>
      <w:r>
        <w:rPr/>
        <w:t xml:space="preserve">The way </w:t>
      </w:r>
      <w:r>
        <w:rPr>
          <w:rStyle w:val="SourceText"/>
        </w:rPr>
        <w:t>ItemVariationStore</w:t>
      </w:r>
      <w:r>
        <w:rPr/>
        <w:t xml:space="preserve">s are built is typically by using a variation modeler, that takes a series of </w:t>
      </w:r>
      <w:r>
        <w:rPr>
          <w:rStyle w:val="Emphasis"/>
        </w:rPr>
        <w:t>master</w:t>
      </w:r>
      <w:r>
        <w:rPr/>
        <w:t xml:space="preserve"> values at certain locations in the design-space, and produces </w:t>
      </w:r>
      <w:r>
        <w:rPr>
          <w:rStyle w:val="SourceText"/>
        </w:rPr>
        <w:t>VariationRegion</w:t>
      </w:r>
      <w:r>
        <w:rPr/>
        <w:t xml:space="preserve">s and </w:t>
      </w:r>
      <w:r>
        <w:rPr>
          <w:rStyle w:val="SourceText"/>
        </w:rPr>
        <w:t>deltaSets</w:t>
      </w:r>
      <w:r>
        <w:rPr/>
        <w:t xml:space="preserve"> to be stored in one or more </w:t>
      </w:r>
      <w:r>
        <w:rPr>
          <w:rStyle w:val="SourceText"/>
        </w:rPr>
        <w:t>ItemVariationData</w:t>
      </w:r>
      <w:r>
        <w:rPr/>
        <w:t xml:space="preserve"> structures. This usage is identical, except that delta values apply to normalized axis coordinates rather than distances measured in font units. To build the </w:t>
      </w:r>
      <w:r>
        <w:rPr>
          <w:rStyle w:val="SourceText"/>
        </w:rPr>
        <w:t>avar</w:t>
      </w:r>
      <w:r>
        <w:rPr/>
        <w:t xml:space="preserve"> version 2 mapping tables, the designer will need to produce a mapping of input axis locations and their respective output axis locations. This data then will constitute the set of </w:t>
      </w:r>
      <w:r>
        <w:rPr>
          <w:rStyle w:val="Emphasis"/>
        </w:rPr>
        <w:t>masters</w:t>
      </w:r>
      <w:r>
        <w:rPr/>
        <w:t xml:space="preserve"> to be fed to the variation modeler and populate the </w:t>
      </w:r>
      <w:r>
        <w:rPr>
          <w:rStyle w:val="SourceText"/>
        </w:rPr>
        <w:t>ItemVariationStore</w:t>
      </w:r>
      <w:r>
        <w:rPr/>
        <w:t xml:space="preserve"> that will go into the </w:t>
      </w:r>
      <w:r>
        <w:rPr>
          <w:rStyle w:val="SourceText"/>
        </w:rPr>
        <w:t>avar</w:t>
      </w:r>
      <w:r>
        <w:rPr/>
        <w:t xml:space="preserve"> version 2 table. The variation index for each axis will be stored in </w:t>
      </w:r>
      <w:r>
        <w:rPr>
          <w:rStyle w:val="SourceText"/>
        </w:rPr>
        <w:t>axisIndexMap</w:t>
      </w:r>
      <w:r>
        <w:rPr/>
        <w:t>.</w:t>
      </w:r>
    </w:p>
    <w:p>
      <w:pPr>
        <w:pStyle w:val="Heading2"/>
        <w:rPr>
          <w:rFonts w:ascii="Times New Roman" w:hAnsi="Times New Roman" w:eastAsia="SimSun" w:cs="Times New Roman"/>
          <w:b/>
          <w:sz w:val="28"/>
          <w:szCs w:val="24"/>
          <w:lang w:eastAsia="zh-CN"/>
        </w:rPr>
      </w:pPr>
      <w:bookmarkStart w:id="71" w:name="__RefHeading___Toc22308_2925186988"/>
      <w:bookmarkStart w:id="72" w:name="user-content-use-cases"/>
      <w:bookmarkEnd w:id="71"/>
      <w:bookmarkEnd w:id="72"/>
      <w:r>
        <w:rPr/>
        <w:t>Use cases</w:t>
      </w:r>
    </w:p>
    <w:p>
      <w:pPr>
        <w:pStyle w:val="Heading3"/>
        <w:rPr>
          <w:rFonts w:ascii="Times New Roman" w:hAnsi="Times New Roman" w:eastAsia="SimSun" w:cs="Times New Roman"/>
          <w:b/>
          <w:sz w:val="28"/>
          <w:szCs w:val="24"/>
          <w:lang w:eastAsia="zh-CN"/>
        </w:rPr>
      </w:pPr>
      <w:bookmarkStart w:id="73" w:name="__RefHeading___Toc22310_2925186988"/>
      <w:bookmarkEnd w:id="73"/>
      <w:r>
        <w:rPr/>
        <w:t>Designspace warping</w:t>
      </w:r>
    </w:p>
    <w:p>
      <w:pPr>
        <w:pStyle w:val="TextBody"/>
        <w:spacing w:before="1" w:after="283"/>
        <w:rPr>
          <w:rFonts w:ascii="Times New Roman" w:hAnsi="Times New Roman" w:eastAsia="SimSun" w:cs="Times New Roman"/>
          <w:b/>
          <w:sz w:val="28"/>
          <w:szCs w:val="24"/>
          <w:lang w:eastAsia="zh-CN"/>
        </w:rPr>
      </w:pPr>
      <w:r>
        <w:rPr/>
        <w:t xml:space="preserve">In the OpenType variations specification, </w:t>
      </w:r>
      <w:hyperlink r:id="rId4">
        <w:r>
          <w:rPr>
            <w:rStyle w:val="InternetLink"/>
          </w:rPr>
          <w:t>registered axes</w:t>
        </w:r>
      </w:hyperlink>
      <w:r>
        <w:rPr/>
        <w:t xml:space="preserve"> offer a standard way to offer users control of a variable font on reasonably well defined scales. For example, users learn that the Regular version of a font has Weight=400, Width=100, while the Bold has wght=700, wdth=100. A typical 2-axis variable font with </w:t>
      </w:r>
      <w:r>
        <w:rPr>
          <w:rStyle w:val="SourceText"/>
        </w:rPr>
        <w:t>wght</w:t>
      </w:r>
      <w:r>
        <w:rPr/>
        <w:t xml:space="preserve"> and </w:t>
      </w:r>
      <w:r>
        <w:rPr>
          <w:rStyle w:val="SourceText"/>
        </w:rPr>
        <w:t>wdth</w:t>
      </w:r>
      <w:r>
        <w:rPr/>
        <w:t xml:space="preserve"> axes might have the following nine Named Instances:</w:t>
      </w:r>
    </w:p>
    <w:tbl>
      <w:tblPr>
        <w:tblW w:w="5633" w:type="dxa"/>
        <w:jc w:val="left"/>
        <w:tblInd w:w="0" w:type="dxa"/>
        <w:tblLayout w:type="fixed"/>
        <w:tblCellMar>
          <w:top w:w="28" w:type="dxa"/>
          <w:left w:w="28" w:type="dxa"/>
          <w:bottom w:w="28" w:type="dxa"/>
          <w:right w:w="28" w:type="dxa"/>
        </w:tblCellMar>
      </w:tblPr>
      <w:tblGrid>
        <w:gridCol w:w="1130"/>
        <w:gridCol w:w="1769"/>
        <w:gridCol w:w="1115"/>
        <w:gridCol w:w="1619"/>
      </w:tblGrid>
      <w:tr>
        <w:trPr>
          <w:tblHeader w:val="true"/>
        </w:trPr>
        <w:tc>
          <w:tcPr>
            <w:tcW w:w="1130" w:type="dxa"/>
            <w:tcBorders/>
            <w:vAlign w:val="center"/>
          </w:tcPr>
          <w:p>
            <w:pPr>
              <w:pStyle w:val="TableHeading"/>
              <w:rPr>
                <w:sz w:val="4"/>
                <w:szCs w:val="4"/>
              </w:rPr>
            </w:pPr>
            <w:r>
              <w:rPr>
                <w:sz w:val="4"/>
                <w:szCs w:val="4"/>
              </w:rPr>
            </w:r>
          </w:p>
        </w:tc>
        <w:tc>
          <w:tcPr>
            <w:tcW w:w="1769" w:type="dxa"/>
            <w:tcBorders/>
            <w:vAlign w:val="center"/>
          </w:tcPr>
          <w:p>
            <w:pPr>
              <w:pStyle w:val="TableHeading"/>
              <w:rPr/>
            </w:pPr>
            <w:r>
              <w:rPr>
                <w:rStyle w:val="StrongEmphasis"/>
                <w:b/>
              </w:rPr>
              <w:t>wdth=75</w:t>
            </w:r>
          </w:p>
        </w:tc>
        <w:tc>
          <w:tcPr>
            <w:tcW w:w="1115" w:type="dxa"/>
            <w:tcBorders/>
            <w:vAlign w:val="center"/>
          </w:tcPr>
          <w:p>
            <w:pPr>
              <w:pStyle w:val="TableHeading"/>
              <w:rPr/>
            </w:pPr>
            <w:r>
              <w:rPr>
                <w:rStyle w:val="StrongEmphasis"/>
                <w:b/>
              </w:rPr>
              <w:t>wdth=100</w:t>
            </w:r>
          </w:p>
        </w:tc>
        <w:tc>
          <w:tcPr>
            <w:tcW w:w="1619" w:type="dxa"/>
            <w:tcBorders/>
            <w:vAlign w:val="center"/>
          </w:tcPr>
          <w:p>
            <w:pPr>
              <w:pStyle w:val="TableHeading"/>
              <w:rPr/>
            </w:pPr>
            <w:r>
              <w:rPr>
                <w:rStyle w:val="StrongEmphasis"/>
                <w:b/>
              </w:rPr>
              <w:t>wdth=125</w:t>
            </w:r>
          </w:p>
        </w:tc>
      </w:tr>
      <w:tr>
        <w:trPr/>
        <w:tc>
          <w:tcPr>
            <w:tcW w:w="1130" w:type="dxa"/>
            <w:tcBorders/>
            <w:vAlign w:val="center"/>
          </w:tcPr>
          <w:p>
            <w:pPr>
              <w:pStyle w:val="TableContents"/>
              <w:rPr/>
            </w:pPr>
            <w:r>
              <w:rPr>
                <w:rStyle w:val="StrongEmphasis"/>
              </w:rPr>
              <w:t>wght=300</w:t>
            </w:r>
          </w:p>
        </w:tc>
        <w:tc>
          <w:tcPr>
            <w:tcW w:w="1769" w:type="dxa"/>
            <w:tcBorders/>
            <w:vAlign w:val="center"/>
          </w:tcPr>
          <w:p>
            <w:pPr>
              <w:pStyle w:val="TableContents"/>
              <w:rPr/>
            </w:pPr>
            <w:r>
              <w:rPr/>
              <w:t>Light Condensed</w:t>
            </w:r>
          </w:p>
        </w:tc>
        <w:tc>
          <w:tcPr>
            <w:tcW w:w="1115" w:type="dxa"/>
            <w:tcBorders/>
            <w:vAlign w:val="center"/>
          </w:tcPr>
          <w:p>
            <w:pPr>
              <w:pStyle w:val="TableContents"/>
              <w:rPr/>
            </w:pPr>
            <w:r>
              <w:rPr/>
              <w:t>Light</w:t>
            </w:r>
          </w:p>
        </w:tc>
        <w:tc>
          <w:tcPr>
            <w:tcW w:w="1619" w:type="dxa"/>
            <w:tcBorders/>
            <w:vAlign w:val="center"/>
          </w:tcPr>
          <w:p>
            <w:pPr>
              <w:pStyle w:val="TableContents"/>
              <w:rPr/>
            </w:pPr>
            <w:r>
              <w:rPr/>
              <w:t>Light Extended</w:t>
            </w:r>
          </w:p>
        </w:tc>
      </w:tr>
      <w:tr>
        <w:trPr/>
        <w:tc>
          <w:tcPr>
            <w:tcW w:w="1130" w:type="dxa"/>
            <w:tcBorders/>
            <w:vAlign w:val="center"/>
          </w:tcPr>
          <w:p>
            <w:pPr>
              <w:pStyle w:val="TableContents"/>
              <w:rPr/>
            </w:pPr>
            <w:r>
              <w:rPr>
                <w:rStyle w:val="StrongEmphasis"/>
              </w:rPr>
              <w:t>wght=400</w:t>
            </w:r>
          </w:p>
        </w:tc>
        <w:tc>
          <w:tcPr>
            <w:tcW w:w="1769" w:type="dxa"/>
            <w:tcBorders/>
            <w:vAlign w:val="center"/>
          </w:tcPr>
          <w:p>
            <w:pPr>
              <w:pStyle w:val="TableContents"/>
              <w:rPr/>
            </w:pPr>
            <w:r>
              <w:rPr/>
              <w:t>Condensed</w:t>
            </w:r>
          </w:p>
        </w:tc>
        <w:tc>
          <w:tcPr>
            <w:tcW w:w="1115" w:type="dxa"/>
            <w:tcBorders/>
            <w:vAlign w:val="center"/>
          </w:tcPr>
          <w:p>
            <w:pPr>
              <w:pStyle w:val="TableContents"/>
              <w:rPr/>
            </w:pPr>
            <w:r>
              <w:rPr/>
              <w:t>Regular</w:t>
            </w:r>
          </w:p>
        </w:tc>
        <w:tc>
          <w:tcPr>
            <w:tcW w:w="1619" w:type="dxa"/>
            <w:tcBorders/>
            <w:vAlign w:val="center"/>
          </w:tcPr>
          <w:p>
            <w:pPr>
              <w:pStyle w:val="TableContents"/>
              <w:rPr/>
            </w:pPr>
            <w:r>
              <w:rPr/>
              <w:t>Extended</w:t>
            </w:r>
          </w:p>
        </w:tc>
      </w:tr>
      <w:tr>
        <w:trPr/>
        <w:tc>
          <w:tcPr>
            <w:tcW w:w="1130" w:type="dxa"/>
            <w:tcBorders/>
            <w:vAlign w:val="center"/>
          </w:tcPr>
          <w:p>
            <w:pPr>
              <w:pStyle w:val="TableContents"/>
              <w:rPr/>
            </w:pPr>
            <w:r>
              <w:rPr>
                <w:rStyle w:val="StrongEmphasis"/>
              </w:rPr>
              <w:t>wght=700</w:t>
            </w:r>
          </w:p>
        </w:tc>
        <w:tc>
          <w:tcPr>
            <w:tcW w:w="1769" w:type="dxa"/>
            <w:tcBorders/>
            <w:vAlign w:val="center"/>
          </w:tcPr>
          <w:p>
            <w:pPr>
              <w:pStyle w:val="TableContents"/>
              <w:rPr/>
            </w:pPr>
            <w:r>
              <w:rPr/>
              <w:t>Bold Condensed</w:t>
            </w:r>
          </w:p>
        </w:tc>
        <w:tc>
          <w:tcPr>
            <w:tcW w:w="1115" w:type="dxa"/>
            <w:tcBorders/>
            <w:vAlign w:val="center"/>
          </w:tcPr>
          <w:p>
            <w:pPr>
              <w:pStyle w:val="TableContents"/>
              <w:rPr/>
            </w:pPr>
            <w:r>
              <w:rPr/>
              <w:t>Bold</w:t>
            </w:r>
          </w:p>
        </w:tc>
        <w:tc>
          <w:tcPr>
            <w:tcW w:w="1619" w:type="dxa"/>
            <w:tcBorders/>
            <w:vAlign w:val="center"/>
          </w:tcPr>
          <w:p>
            <w:pPr>
              <w:pStyle w:val="TableContents"/>
              <w:rPr/>
            </w:pPr>
            <w:r>
              <w:rPr/>
              <w:t>Bold Extended</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However, in fonts with more than one design axis, this approach lacks the flexibility of older methods of interpolation, where the type designer used a font design application to specify freely the axis values for, say, the Bold Condensed. Notably, the </w:t>
      </w:r>
      <w:r>
        <w:rPr>
          <w:rStyle w:val="SourceText"/>
        </w:rPr>
        <w:t>wght</w:t>
      </w:r>
      <w:r>
        <w:rPr/>
        <w:t xml:space="preserve"> coordinate of Bold Condensed did not need to match the </w:t>
      </w:r>
      <w:r>
        <w:rPr>
          <w:rStyle w:val="SourceText"/>
        </w:rPr>
        <w:t>wght</w:t>
      </w:r>
      <w:r>
        <w:rPr/>
        <w:t xml:space="preserve"> coordinate of Bold, nor did the </w:t>
      </w:r>
      <w:r>
        <w:rPr>
          <w:rStyle w:val="SourceText"/>
        </w:rPr>
        <w:t>wdth</w:t>
      </w:r>
      <w:r>
        <w:rPr/>
        <w:t xml:space="preserve"> coordinate of Bold Condensed need to match the </w:t>
      </w:r>
      <w:r>
        <w:rPr>
          <w:rStyle w:val="SourceText"/>
        </w:rPr>
        <w:t>wdth</w:t>
      </w:r>
      <w:r>
        <w:rPr/>
        <w:t xml:space="preserve"> coordinate of Condensed. A Bold Condensed with </w:t>
      </w:r>
      <w:r>
        <w:rPr>
          <w:rStyle w:val="SourceText"/>
        </w:rPr>
        <w:t>wght</w:t>
      </w:r>
      <w:r>
        <w:rPr/>
        <w:t>,</w:t>
      </w:r>
      <w:r>
        <w:rPr>
          <w:rStyle w:val="SourceText"/>
        </w:rPr>
        <w:t>wdth</w:t>
      </w:r>
      <w:r>
        <w:rPr/>
        <w:t xml:space="preserve"> of (677,81) rather than (700,75) was perfectly reasonable. Our grid of instances in such as case would look something like this:</w:t>
      </w:r>
    </w:p>
    <w:tbl>
      <w:tblPr>
        <w:tblW w:w="4371" w:type="dxa"/>
        <w:jc w:val="left"/>
        <w:tblInd w:w="0" w:type="dxa"/>
        <w:tblLayout w:type="fixed"/>
        <w:tblCellMar>
          <w:top w:w="28" w:type="dxa"/>
          <w:left w:w="28" w:type="dxa"/>
          <w:bottom w:w="28" w:type="dxa"/>
          <w:right w:w="28" w:type="dxa"/>
        </w:tblCellMar>
      </w:tblPr>
      <w:tblGrid>
        <w:gridCol w:w="940"/>
        <w:gridCol w:w="1304"/>
        <w:gridCol w:w="925"/>
        <w:gridCol w:w="1202"/>
      </w:tblGrid>
      <w:tr>
        <w:trPr>
          <w:tblHeader w:val="true"/>
        </w:trPr>
        <w:tc>
          <w:tcPr>
            <w:tcW w:w="940" w:type="dxa"/>
            <w:tcBorders/>
            <w:vAlign w:val="center"/>
          </w:tcPr>
          <w:p>
            <w:pPr>
              <w:pStyle w:val="TableHeading"/>
              <w:rPr>
                <w:sz w:val="4"/>
                <w:szCs w:val="4"/>
              </w:rPr>
            </w:pPr>
            <w:r>
              <w:rPr>
                <w:sz w:val="4"/>
                <w:szCs w:val="4"/>
              </w:rPr>
            </w:r>
          </w:p>
        </w:tc>
        <w:tc>
          <w:tcPr>
            <w:tcW w:w="1304" w:type="dxa"/>
            <w:tcBorders/>
            <w:vAlign w:val="center"/>
          </w:tcPr>
          <w:p>
            <w:pPr>
              <w:pStyle w:val="TableHeading"/>
              <w:rPr/>
            </w:pPr>
            <w:r>
              <w:rPr>
                <w:rStyle w:val="StrongEmphasis"/>
                <w:b/>
              </w:rPr>
              <w:t>Condensed</w:t>
            </w:r>
          </w:p>
        </w:tc>
        <w:tc>
          <w:tcPr>
            <w:tcW w:w="925" w:type="dxa"/>
            <w:tcBorders/>
            <w:vAlign w:val="center"/>
          </w:tcPr>
          <w:p>
            <w:pPr>
              <w:pStyle w:val="TableHeading"/>
              <w:rPr/>
            </w:pPr>
            <w:r>
              <w:rPr>
                <w:rStyle w:val="StrongEmphasis"/>
                <w:b/>
              </w:rPr>
              <w:t>Regular</w:t>
            </w:r>
          </w:p>
        </w:tc>
        <w:tc>
          <w:tcPr>
            <w:tcW w:w="1202" w:type="dxa"/>
            <w:tcBorders/>
            <w:vAlign w:val="center"/>
          </w:tcPr>
          <w:p>
            <w:pPr>
              <w:pStyle w:val="TableHeading"/>
              <w:rPr/>
            </w:pPr>
            <w:r>
              <w:rPr>
                <w:rStyle w:val="StrongEmphasis"/>
                <w:b/>
              </w:rPr>
              <w:t>Expanded</w:t>
            </w:r>
          </w:p>
        </w:tc>
      </w:tr>
      <w:tr>
        <w:trPr/>
        <w:tc>
          <w:tcPr>
            <w:tcW w:w="940" w:type="dxa"/>
            <w:tcBorders/>
            <w:vAlign w:val="center"/>
          </w:tcPr>
          <w:p>
            <w:pPr>
              <w:pStyle w:val="TableContents"/>
              <w:rPr/>
            </w:pPr>
            <w:r>
              <w:rPr>
                <w:rStyle w:val="StrongEmphasis"/>
              </w:rPr>
              <w:t>Light</w:t>
            </w:r>
          </w:p>
        </w:tc>
        <w:tc>
          <w:tcPr>
            <w:tcW w:w="1304" w:type="dxa"/>
            <w:tcBorders/>
            <w:vAlign w:val="center"/>
          </w:tcPr>
          <w:p>
            <w:pPr>
              <w:pStyle w:val="TableContents"/>
              <w:rPr/>
            </w:pPr>
            <w:r>
              <w:rPr/>
              <w:t>300,75</w:t>
            </w:r>
          </w:p>
        </w:tc>
        <w:tc>
          <w:tcPr>
            <w:tcW w:w="925" w:type="dxa"/>
            <w:tcBorders/>
            <w:vAlign w:val="center"/>
          </w:tcPr>
          <w:p>
            <w:pPr>
              <w:pStyle w:val="TableContents"/>
              <w:rPr/>
            </w:pPr>
            <w:r>
              <w:rPr/>
              <w:t>300,100</w:t>
            </w:r>
          </w:p>
        </w:tc>
        <w:tc>
          <w:tcPr>
            <w:tcW w:w="1202" w:type="dxa"/>
            <w:tcBorders/>
            <w:vAlign w:val="center"/>
          </w:tcPr>
          <w:p>
            <w:pPr>
              <w:pStyle w:val="TableContents"/>
              <w:rPr/>
            </w:pPr>
            <w:r>
              <w:rPr/>
              <w:t>300,115</w:t>
            </w:r>
          </w:p>
        </w:tc>
      </w:tr>
      <w:tr>
        <w:trPr/>
        <w:tc>
          <w:tcPr>
            <w:tcW w:w="940" w:type="dxa"/>
            <w:tcBorders/>
            <w:vAlign w:val="center"/>
          </w:tcPr>
          <w:p>
            <w:pPr>
              <w:pStyle w:val="TableContents"/>
              <w:rPr/>
            </w:pPr>
            <w:r>
              <w:rPr>
                <w:rStyle w:val="StrongEmphasis"/>
              </w:rPr>
              <w:t>Regular</w:t>
            </w:r>
          </w:p>
        </w:tc>
        <w:tc>
          <w:tcPr>
            <w:tcW w:w="1304" w:type="dxa"/>
            <w:tcBorders/>
            <w:vAlign w:val="center"/>
          </w:tcPr>
          <w:p>
            <w:pPr>
              <w:pStyle w:val="TableContents"/>
              <w:rPr/>
            </w:pPr>
            <w:r>
              <w:rPr/>
              <w:t>400,75</w:t>
            </w:r>
          </w:p>
        </w:tc>
        <w:tc>
          <w:tcPr>
            <w:tcW w:w="925" w:type="dxa"/>
            <w:tcBorders/>
            <w:vAlign w:val="center"/>
          </w:tcPr>
          <w:p>
            <w:pPr>
              <w:pStyle w:val="TableContents"/>
              <w:rPr/>
            </w:pPr>
            <w:r>
              <w:rPr/>
              <w:t>400,100</w:t>
            </w:r>
          </w:p>
        </w:tc>
        <w:tc>
          <w:tcPr>
            <w:tcW w:w="1202" w:type="dxa"/>
            <w:tcBorders/>
            <w:vAlign w:val="center"/>
          </w:tcPr>
          <w:p>
            <w:pPr>
              <w:pStyle w:val="TableContents"/>
              <w:rPr/>
            </w:pPr>
            <w:r>
              <w:rPr/>
              <w:t>400,120</w:t>
            </w:r>
          </w:p>
        </w:tc>
      </w:tr>
      <w:tr>
        <w:trPr/>
        <w:tc>
          <w:tcPr>
            <w:tcW w:w="940" w:type="dxa"/>
            <w:tcBorders/>
            <w:vAlign w:val="center"/>
          </w:tcPr>
          <w:p>
            <w:pPr>
              <w:pStyle w:val="TableContents"/>
              <w:rPr/>
            </w:pPr>
            <w:r>
              <w:rPr>
                <w:rStyle w:val="StrongEmphasis"/>
              </w:rPr>
              <w:t>Bold</w:t>
            </w:r>
          </w:p>
        </w:tc>
        <w:tc>
          <w:tcPr>
            <w:tcW w:w="1304" w:type="dxa"/>
            <w:tcBorders/>
            <w:vAlign w:val="center"/>
          </w:tcPr>
          <w:p>
            <w:pPr>
              <w:pStyle w:val="TableContents"/>
              <w:rPr/>
            </w:pPr>
            <w:r>
              <w:rPr/>
              <w:t>677,81</w:t>
            </w:r>
          </w:p>
        </w:tc>
        <w:tc>
          <w:tcPr>
            <w:tcW w:w="925" w:type="dxa"/>
            <w:tcBorders/>
            <w:vAlign w:val="center"/>
          </w:tcPr>
          <w:p>
            <w:pPr>
              <w:pStyle w:val="TableContents"/>
              <w:rPr/>
            </w:pPr>
            <w:r>
              <w:rPr/>
              <w:t>695,100</w:t>
            </w:r>
          </w:p>
        </w:tc>
        <w:tc>
          <w:tcPr>
            <w:tcW w:w="1202" w:type="dxa"/>
            <w:tcBorders/>
            <w:vAlign w:val="center"/>
          </w:tcPr>
          <w:p>
            <w:pPr>
              <w:pStyle w:val="TableContents"/>
              <w:rPr/>
            </w:pPr>
            <w:r>
              <w:rPr/>
              <w:t>700,125</w:t>
            </w:r>
          </w:p>
        </w:tc>
      </w:tr>
    </w:tbl>
    <w:p>
      <w:pPr>
        <w:pStyle w:val="TextBody"/>
        <w:spacing w:before="1" w:after="283"/>
        <w:rPr/>
      </w:pPr>
      <w:r>
        <w:rPr/>
      </w:r>
    </w:p>
    <w:p>
      <w:pPr>
        <w:pStyle w:val="TextBody"/>
        <w:spacing w:before="1" w:after="283"/>
        <w:rPr>
          <w:rFonts w:ascii="Times New Roman" w:hAnsi="Times New Roman" w:eastAsia="SimSun" w:cs="Times New Roman"/>
          <w:b/>
          <w:sz w:val="28"/>
          <w:szCs w:val="24"/>
          <w:lang w:eastAsia="zh-CN"/>
        </w:rPr>
      </w:pPr>
      <w:r>
        <w:rPr/>
        <w:t xml:space="preserve">While with OpenType 1.8 it is possible to set up a designspace like this, it has the significant drawback that many applications and systems expect all Bold weights to be at </w:t>
      </w:r>
      <w:r>
        <w:rPr>
          <w:rStyle w:val="SourceText"/>
        </w:rPr>
        <w:t>wght</w:t>
      </w:r>
      <w:r>
        <w:rPr/>
        <w:t xml:space="preserve">=700 and all Condensed weights to be at </w:t>
      </w:r>
      <w:r>
        <w:rPr>
          <w:rStyle w:val="SourceText"/>
        </w:rPr>
        <w:t>wdth</w:t>
      </w:r>
      <w:r>
        <w:rPr/>
        <w:t>=75, whatever the values of other axes. In practice, many OpenType 1.8 fonts encode numerous additional masters that ensure the design is as intended at all designspace locations. This not only increases the data footprint significantly, but also adds to the maintenance burden of the font.</w:t>
      </w:r>
    </w:p>
    <w:p>
      <w:pPr>
        <w:pStyle w:val="TextBody"/>
        <w:spacing w:before="1" w:after="283"/>
        <w:rPr>
          <w:rFonts w:ascii="Times New Roman" w:hAnsi="Times New Roman" w:eastAsia="SimSun" w:cs="Times New Roman"/>
          <w:b/>
          <w:sz w:val="28"/>
          <w:szCs w:val="24"/>
          <w:lang w:eastAsia="zh-CN"/>
        </w:rPr>
      </w:pPr>
      <w:r>
        <w:rPr/>
        <w:t xml:space="preserve">Furthermore, there are many cases where a type designer does not intend to offer instances in certain regions of the design space. For example, a Black Condensed instance is often difficult to design, and many type families omit it. Desired behaviour, in case a user requests </w:t>
      </w:r>
      <w:r>
        <w:rPr>
          <w:rStyle w:val="SourceText"/>
        </w:rPr>
        <w:t>wght</w:t>
      </w:r>
      <w:r>
        <w:rPr/>
        <w:t xml:space="preserve">=900, </w:t>
      </w:r>
      <w:r>
        <w:rPr>
          <w:rStyle w:val="SourceText"/>
        </w:rPr>
        <w:t>wdth</w:t>
      </w:r>
      <w:r>
        <w:rPr/>
        <w:t>=75, may be for the font to provide the same instance for the Black Condensed as it does for the Bold Condensed.</w:t>
      </w:r>
    </w:p>
    <w:p>
      <w:pPr>
        <w:pStyle w:val="TextBody"/>
        <w:spacing w:before="1" w:after="283"/>
        <w:rPr>
          <w:rFonts w:ascii="Times New Roman" w:hAnsi="Times New Roman" w:eastAsia="SimSun" w:cs="Times New Roman"/>
          <w:b/>
          <w:sz w:val="28"/>
          <w:szCs w:val="24"/>
          <w:lang w:eastAsia="zh-CN"/>
        </w:rPr>
      </w:pPr>
      <w:r>
        <w:rPr/>
        <w:t xml:space="preserve">By applying deltas to axis values anywhere in the designspace, the </w:t>
      </w:r>
      <w:r>
        <w:rPr>
          <w:rStyle w:val="SourceText"/>
        </w:rPr>
        <w:t>avar</w:t>
      </w:r>
      <w:r>
        <w:rPr/>
        <w:t xml:space="preserve"> table version 2 “warps” the designspace and so resolves the issues described.</w:t>
      </w:r>
    </w:p>
    <w:p>
      <w:pPr>
        <w:pStyle w:val="TextBody"/>
        <w:spacing w:before="1" w:after="283"/>
        <w:rPr>
          <w:rFonts w:ascii="Times New Roman" w:hAnsi="Times New Roman" w:eastAsia="SimSun" w:cs="Times New Roman"/>
          <w:b/>
          <w:sz w:val="28"/>
          <w:szCs w:val="24"/>
          <w:lang w:eastAsia="zh-CN"/>
        </w:rPr>
      </w:pPr>
      <w:r>
        <w:rPr/>
        <w:t xml:space="preserve">As with variation deltas in general, we also benefit from interpolation when axis values are influenced by a delta but are not exactly at the location of the delta. Each delta value is encoded as F2DOT14. Its interpolated value is determined by the standard OpenType variations algorithm, then added to the value obtained from the standard normalization process. Thus, assuming the Bold Condensed instance at (700,75) has normalized coordinates (1,-1) and assuming the designspace location (677,81) has normalized coordinates ((677-400)/(700-400), -1 + (81-75)/(100-75)) = (0.9233,-0.76), then the </w:t>
      </w:r>
      <w:r>
        <w:rPr>
          <w:rStyle w:val="SourceText"/>
        </w:rPr>
        <w:t>ItemVariationStore</w:t>
      </w:r>
      <w:r>
        <w:rPr/>
        <w:t xml:space="preserve"> needs a delta set with peaks at (-1,1), thus with region ((-1,-1,0),(0,1,1)) and the following delta values:</w:t>
      </w:r>
    </w:p>
    <w:p>
      <w:pPr>
        <w:pStyle w:val="TextBody"/>
        <w:numPr>
          <w:ilvl w:val="0"/>
          <w:numId w:val="5"/>
        </w:numPr>
        <w:tabs>
          <w:tab w:val="clear" w:pos="720"/>
          <w:tab w:val="left" w:pos="0" w:leader="none"/>
        </w:tabs>
        <w:ind w:left="709" w:hanging="283"/>
        <w:rPr>
          <w:rFonts w:ascii="Times New Roman" w:hAnsi="Times New Roman" w:eastAsia="SimSun" w:cs="Times New Roman"/>
          <w:b/>
          <w:sz w:val="28"/>
          <w:szCs w:val="24"/>
          <w:lang w:eastAsia="zh-CN"/>
        </w:rPr>
      </w:pPr>
      <w:r>
        <w:rPr>
          <w:rStyle w:val="SourceText"/>
        </w:rPr>
        <w:t>wght</w:t>
      </w:r>
      <w:r>
        <w:rPr/>
        <w:t xml:space="preserve"> -0.0767 </w:t>
      </w:r>
    </w:p>
    <w:p>
      <w:pPr>
        <w:pStyle w:val="TextBody"/>
        <w:numPr>
          <w:ilvl w:val="0"/>
          <w:numId w:val="5"/>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rStyle w:val="SourceText"/>
        </w:rPr>
        <w:t>wdth</w:t>
      </w:r>
      <w:r>
        <w:rPr/>
        <w:t xml:space="preserve"> +0.24 </w:t>
      </w:r>
    </w:p>
    <w:p>
      <w:pPr>
        <w:pStyle w:val="TextBody"/>
        <w:spacing w:before="1" w:after="283"/>
        <w:rPr>
          <w:rFonts w:ascii="Times New Roman" w:hAnsi="Times New Roman" w:eastAsia="SimSun" w:cs="Times New Roman"/>
          <w:b/>
          <w:sz w:val="28"/>
          <w:szCs w:val="24"/>
          <w:lang w:eastAsia="zh-CN"/>
        </w:rPr>
      </w:pPr>
      <w:r>
        <w:rPr/>
        <w:t>In practice there may be other delta sets required at the partial default locations (-1,0) and (0,1), which then influence the delta values required at (-1,1), in line with normal variations math.</w:t>
      </w:r>
    </w:p>
    <w:p>
      <w:pPr>
        <w:pStyle w:val="TextBody"/>
        <w:spacing w:before="1" w:after="283"/>
        <w:rPr>
          <w:rFonts w:ascii="Times New Roman" w:hAnsi="Times New Roman" w:eastAsia="SimSun" w:cs="Times New Roman"/>
          <w:b/>
          <w:sz w:val="28"/>
          <w:szCs w:val="24"/>
          <w:lang w:eastAsia="zh-CN"/>
        </w:rPr>
      </w:pPr>
      <w:r>
        <w:rPr/>
        <w:t xml:space="preserve">The result of implementing designspace warping this way is that we preserve the original axis values where applications and systems expect them, namely all Bold instances at </w:t>
      </w:r>
      <w:r>
        <w:rPr>
          <w:rStyle w:val="SourceText"/>
        </w:rPr>
        <w:t>wght</w:t>
      </w:r>
      <w:r>
        <w:rPr/>
        <w:t xml:space="preserve">=700 and all Condensed weights at </w:t>
      </w:r>
      <w:r>
        <w:rPr>
          <w:rStyle w:val="SourceText"/>
        </w:rPr>
        <w:t>wdth</w:t>
      </w:r>
      <w:r>
        <w:rPr/>
        <w:t>=75, while at the same time minimizing the data footprint.</w:t>
      </w:r>
    </w:p>
    <w:p>
      <w:pPr>
        <w:pStyle w:val="Heading3"/>
        <w:rPr>
          <w:rFonts w:ascii="Times New Roman" w:hAnsi="Times New Roman" w:eastAsia="SimSun" w:cs="Times New Roman"/>
          <w:b/>
          <w:sz w:val="28"/>
          <w:szCs w:val="24"/>
          <w:lang w:eastAsia="zh-CN"/>
        </w:rPr>
      </w:pPr>
      <w:bookmarkStart w:id="74" w:name="__RefHeading___Toc22312_2925186988"/>
      <w:bookmarkEnd w:id="74"/>
      <w:r>
        <w:rPr/>
        <w:t>Duplication of axis values for non-linear interpolation</w:t>
      </w:r>
    </w:p>
    <w:p>
      <w:pPr>
        <w:pStyle w:val="TextBody"/>
        <w:spacing w:before="1" w:after="283"/>
        <w:rPr>
          <w:rFonts w:ascii="Times New Roman" w:hAnsi="Times New Roman" w:eastAsia="SimSun" w:cs="Times New Roman"/>
          <w:b/>
          <w:sz w:val="28"/>
          <w:szCs w:val="24"/>
          <w:lang w:eastAsia="zh-CN"/>
        </w:rPr>
      </w:pPr>
      <w:r>
        <w:rPr/>
        <w:t xml:space="preserve">Certain variable fonts encode delta sets in such a way that, when multiple axes are synchronized, outline points move in curves rather than in straight lines. This technique </w:t>
      </w:r>
      <w:r>
        <w:rPr/>
        <w:t>has been referred to as</w:t>
      </w:r>
      <w:r>
        <w:rPr/>
        <w:t xml:space="preserve"> HOI (higher order interpolation). The details of the non-linear encoding need not concern us here, but a practical drawback under OpenType 1.8 is that it requires users to set multiple design axes to identical values in order to obtain valid instances. When axes are not synchronized, the resulting glyphs are severely distorted and useless. Synchronization using JavaScript has been proposed as a solution. A clever exploit of the CFF2 format, allowing a single axis to perform all the necessary non-linear adjustment of outline points, has also been demonstrated (but this method cannot be adapted to adjust delta values in an </w:t>
      </w:r>
      <w:r>
        <w:rPr>
          <w:rStyle w:val="Emphasis"/>
        </w:rPr>
        <w:t>ItemVariationStore</w:t>
      </w:r>
      <w:r>
        <w:rPr/>
        <w:t xml:space="preserve"> non-linearly).</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avar</w:t>
      </w:r>
      <w:r>
        <w:rPr/>
        <w:t xml:space="preserve"> version 2 table provides a solution to the synchonization problem, such that a user adjusts one “primary” axis and that value is cloned to other subordinate axes. Ideally the subordinate axes have the Hidden flag set in </w:t>
      </w:r>
      <w:r>
        <w:rPr>
          <w:rStyle w:val="SourceText"/>
        </w:rPr>
        <w:t>fvar</w:t>
      </w:r>
      <w:r>
        <w:rPr/>
        <w:t xml:space="preserve"> to discourage manual operation. For a font with 3 axes requiring identical values, if the first axis is considered primary, then the other two can encode delta sets in </w:t>
      </w:r>
      <w:r>
        <w:rPr>
          <w:rStyle w:val="SourceText"/>
        </w:rPr>
        <w:t>avar</w:t>
      </w:r>
      <w:r>
        <w:rPr/>
        <w:t xml:space="preserve">’s </w:t>
      </w:r>
      <w:r>
        <w:rPr>
          <w:rStyle w:val="Emphasis"/>
        </w:rPr>
        <w:t>ItemVariationStore</w:t>
      </w:r>
      <w:r>
        <w:rPr/>
        <w:t xml:space="preserve"> to clone the value of the first axis. Assuming the subordinate axes have the same minimum, default and maximum values as the primary axis, each subordinate axis requires either one or two delta sets to clone the negative and positive regions of the normalized value of the primary axis:</w:t>
      </w:r>
    </w:p>
    <w:p>
      <w:pPr>
        <w:pStyle w:val="TextBody"/>
        <w:numPr>
          <w:ilvl w:val="0"/>
          <w:numId w:val="6"/>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If the axes use only the normalized region [0,1] then one delta set per subordinate axis is needed, referring to the region (0,1,1) of the primary axis and having the delta value of 1. This is the common case.</w:t>
      </w:r>
    </w:p>
    <w:p>
      <w:pPr>
        <w:pStyle w:val="TextBody"/>
        <w:numPr>
          <w:ilvl w:val="0"/>
          <w:numId w:val="6"/>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If the axes use only the normalized region [-1,0] then one delta set per subordinate axis is needed, referring to the region (-1,-1,0) of the primary axis and having the delta value of -1.</w:t>
      </w:r>
    </w:p>
    <w:p>
      <w:pPr>
        <w:pStyle w:val="TextBody"/>
        <w:numPr>
          <w:ilvl w:val="0"/>
          <w:numId w:val="6"/>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If the axes use both the normalized regions [-1,0] and [0,1] then two delta sets per subordinate axis are needed, one referring to the region (0,1,1) of the primary axis and having the delta value of 1, the other referring to the region (-1,-1,0) of the primary axis and having the delta value of -1.</w:t>
      </w:r>
    </w:p>
    <w:p>
      <w:pPr>
        <w:pStyle w:val="Heading3"/>
        <w:rPr>
          <w:rFonts w:ascii="Times New Roman" w:hAnsi="Times New Roman" w:eastAsia="SimSun" w:cs="Times New Roman"/>
          <w:b/>
          <w:sz w:val="28"/>
          <w:szCs w:val="24"/>
          <w:lang w:eastAsia="zh-CN"/>
        </w:rPr>
      </w:pPr>
      <w:bookmarkStart w:id="75" w:name="__RefHeading___Toc22314_2925186988"/>
      <w:bookmarkEnd w:id="75"/>
      <w:r>
        <w:rPr/>
        <w:t>Simplified controls for parametric fonts without redundant data</w:t>
      </w:r>
    </w:p>
    <w:p>
      <w:pPr>
        <w:pStyle w:val="TextBody"/>
        <w:spacing w:before="1" w:after="283"/>
        <w:rPr>
          <w:rFonts w:ascii="Times New Roman" w:hAnsi="Times New Roman" w:eastAsia="SimSun" w:cs="Times New Roman"/>
          <w:b/>
          <w:sz w:val="28"/>
          <w:szCs w:val="24"/>
          <w:lang w:eastAsia="zh-CN"/>
        </w:rPr>
      </w:pPr>
      <w:r>
        <w:rPr/>
        <w:t xml:space="preserve">Parametric fonts, explored by Donald Knuth </w:t>
      </w:r>
      <w:r>
        <w:rPr/>
        <w:t xml:space="preserve">in Metafont </w:t>
      </w:r>
      <w:r>
        <w:rPr/>
        <w:t xml:space="preserve">and </w:t>
      </w:r>
      <w:r>
        <w:rPr/>
        <w:t xml:space="preserve">by </w:t>
      </w:r>
      <w:r>
        <w:rPr/>
        <w:t>others, offer fine-tuned control of specific font-wide aspects of their design. Such aspects typically include the thickness of vertical strokes, thickness of horizontal strokes, the overall width of the font, and direct control over vertical zones including cap-height, ascender height, x-height and descender height.</w:t>
      </w:r>
    </w:p>
    <w:p>
      <w:pPr>
        <w:pStyle w:val="TextBody"/>
        <w:spacing w:before="1" w:after="283"/>
        <w:rPr>
          <w:rFonts w:ascii="Times New Roman" w:hAnsi="Times New Roman" w:eastAsia="SimSun" w:cs="Times New Roman"/>
          <w:b/>
          <w:sz w:val="28"/>
          <w:szCs w:val="24"/>
          <w:lang w:eastAsia="zh-CN"/>
        </w:rPr>
      </w:pPr>
      <w:r>
        <w:rPr/>
        <w:t>In an OpenType variable font these parameters can be encoded as design-variation axes. The Type Network Variations Proposal</w:t>
      </w:r>
      <w:r>
        <w:rPr>
          <w:rStyle w:val="FootnoteAnchor"/>
        </w:rPr>
        <w:footnoteReference w:id="2"/>
      </w:r>
      <w:r>
        <w:rPr/>
        <w:t xml:space="preserve"> of 2017 provides the basis for parametric OpenType fonts Amstelvar, Roboto Flex and others, demonstrating the potential for usable parametric fonts with large character sets. That flexibility comes from a designspace of many axes – sometimes 10 or more – which raises issues of control. Faced with 10 sliders, users are unlikely to be able to find the instance they want and are likely to get “lost” in a unusable region of the designspace.</w:t>
      </w:r>
    </w:p>
    <w:p>
      <w:pPr>
        <w:pStyle w:val="TextBody"/>
        <w:spacing w:before="1" w:after="283"/>
        <w:rPr>
          <w:rFonts w:ascii="Times New Roman" w:hAnsi="Times New Roman" w:eastAsia="SimSun" w:cs="Times New Roman"/>
          <w:b/>
          <w:sz w:val="28"/>
          <w:szCs w:val="24"/>
          <w:lang w:eastAsia="zh-CN"/>
        </w:rPr>
      </w:pPr>
      <w:r>
        <w:rPr/>
        <w:t xml:space="preserve">In OpenType 1.8, the solution to getting “lost” is to include “blended” axes that combine the deltas of parametric axes in such a way that they function in exactly the same way as they would in a non-parametric font. The blended axes are exposed using the registered axes of </w:t>
      </w:r>
      <w:r>
        <w:rPr>
          <w:rStyle w:val="SourceText"/>
        </w:rPr>
        <w:t>wght</w:t>
      </w:r>
      <w:r>
        <w:rPr/>
        <w:t xml:space="preserve">, </w:t>
      </w:r>
      <w:r>
        <w:rPr>
          <w:rStyle w:val="SourceText"/>
        </w:rPr>
        <w:t>wdth</w:t>
      </w:r>
      <w:r>
        <w:rPr/>
        <w:t xml:space="preserve">, </w:t>
      </w:r>
      <w:r>
        <w:rPr>
          <w:rStyle w:val="SourceText"/>
        </w:rPr>
        <w:t>opsz</w:t>
      </w:r>
      <w:r>
        <w:rPr/>
        <w:t xml:space="preserve">, etc., or well specified custom axes, and they are encoded in the standard OpenType 1.8 manner using </w:t>
      </w:r>
      <w:r>
        <w:rPr>
          <w:rStyle w:val="SourceText"/>
        </w:rPr>
        <w:t>gvar</w:t>
      </w:r>
      <w:r>
        <w:rPr/>
        <w:t xml:space="preserve"> and related data. The major problem with such fonts is their large data footprint, as the blended axes effectively replicate much of what the parametric axes do. For a font containing both parametric and blended axes, the problem is particularly acute, so the parametric axes may be omitted to save space — thereby removing core functionality. In such cases the parametric nature of the font is thus reduced to a convenience of sources.</w:t>
      </w:r>
    </w:p>
    <w:p>
      <w:pPr>
        <w:pStyle w:val="TextBody"/>
        <w:spacing w:before="1" w:after="283"/>
        <w:rPr>
          <w:rFonts w:ascii="Times New Roman" w:hAnsi="Times New Roman" w:eastAsia="SimSun" w:cs="Times New Roman"/>
          <w:b/>
          <w:sz w:val="28"/>
          <w:szCs w:val="24"/>
          <w:lang w:eastAsia="zh-CN"/>
        </w:rPr>
      </w:pPr>
      <w:r>
        <w:rPr/>
        <w:t xml:space="preserve">The </w:t>
      </w:r>
      <w:r>
        <w:rPr>
          <w:rStyle w:val="SourceText"/>
        </w:rPr>
        <w:t>avar</w:t>
      </w:r>
      <w:r>
        <w:rPr/>
        <w:t xml:space="preserve"> table version 2 provides a method to deploy a purely parametric font with user-friendly axes, while avoiding the data bloat of blended axes. The user axes, for example </w:t>
      </w:r>
      <w:r>
        <w:rPr>
          <w:rStyle w:val="SourceText"/>
        </w:rPr>
        <w:t>wght</w:t>
      </w:r>
      <w:r>
        <w:rPr/>
        <w:t xml:space="preserve"> and </w:t>
      </w:r>
      <w:r>
        <w:rPr>
          <w:rStyle w:val="SourceText"/>
        </w:rPr>
        <w:t>wdth</w:t>
      </w:r>
      <w:r>
        <w:rPr/>
        <w:t xml:space="preserve">, on their own do nothing (i.e. they have no </w:t>
      </w:r>
      <w:r>
        <w:rPr>
          <w:rStyle w:val="SourceText"/>
        </w:rPr>
        <w:t>gvar</w:t>
      </w:r>
      <w:r>
        <w:rPr/>
        <w:t xml:space="preserve"> or similar data), but they control the parametric axes by means of </w:t>
      </w:r>
      <w:r>
        <w:rPr>
          <w:rStyle w:val="SourceText"/>
        </w:rPr>
        <w:t>avar</w:t>
      </w:r>
      <w:r>
        <w:rPr/>
        <w:t xml:space="preserve">. The blending of parametric values into user-facing values effectively happens live in the font engine. The parametric axes are expected to have the Hidden flag set in </w:t>
      </w:r>
      <w:r>
        <w:rPr>
          <w:rStyle w:val="SourceText"/>
        </w:rPr>
        <w:t>fvar</w:t>
      </w:r>
      <w:r>
        <w:rPr/>
        <w:t xml:space="preserve"> to discourage (but not block) manual operation.</w:t>
      </w:r>
    </w:p>
    <w:p>
      <w:pPr>
        <w:pStyle w:val="Heading2"/>
        <w:rPr>
          <w:rFonts w:ascii="Times New Roman" w:hAnsi="Times New Roman" w:eastAsia="SimSun" w:cs="Times New Roman"/>
          <w:b/>
          <w:sz w:val="28"/>
          <w:szCs w:val="24"/>
          <w:lang w:eastAsia="zh-CN"/>
        </w:rPr>
      </w:pPr>
      <w:bookmarkStart w:id="76" w:name="__RefHeading___Toc22316_2925186988"/>
      <w:bookmarkStart w:id="77" w:name="user-content-inverse-avar-processing"/>
      <w:bookmarkEnd w:id="76"/>
      <w:bookmarkEnd w:id="77"/>
      <w:r>
        <w:rPr/>
        <w:t>Inverse avar processing</w:t>
      </w:r>
    </w:p>
    <w:p>
      <w:pPr>
        <w:pStyle w:val="TextBody"/>
        <w:spacing w:before="1" w:after="283"/>
        <w:rPr>
          <w:rFonts w:ascii="Times New Roman" w:hAnsi="Times New Roman" w:eastAsia="SimSun" w:cs="Times New Roman"/>
          <w:b/>
          <w:sz w:val="28"/>
          <w:szCs w:val="24"/>
          <w:lang w:eastAsia="zh-CN"/>
        </w:rPr>
      </w:pPr>
      <w:r>
        <w:rPr/>
        <w:t xml:space="preserve">Normally it is not possible for an application to obtain normalized axis values directly, these remaining private to the font engine. In fonts with an </w:t>
      </w:r>
      <w:r>
        <w:rPr>
          <w:rStyle w:val="SourceText"/>
        </w:rPr>
        <w:t>avar</w:t>
      </w:r>
      <w:r>
        <w:rPr/>
        <w:t xml:space="preserve"> version 2 table, however, it can be useful to know the axis values that would invoke a given instance if the font engine did not support </w:t>
      </w:r>
      <w:r>
        <w:rPr>
          <w:rStyle w:val="SourceText"/>
        </w:rPr>
        <w:t>avar</w:t>
      </w:r>
      <w:r>
        <w:rPr/>
        <w:t xml:space="preserve"> version 2. Use cases include:</w:t>
      </w:r>
    </w:p>
    <w:p>
      <w:pPr>
        <w:pStyle w:val="TextBody"/>
        <w:numPr>
          <w:ilvl w:val="0"/>
          <w:numId w:val="7"/>
        </w:numPr>
        <w:tabs>
          <w:tab w:val="clear" w:pos="720"/>
          <w:tab w:val="left" w:pos="0" w:leader="none"/>
        </w:tabs>
        <w:ind w:left="709" w:hanging="283"/>
        <w:rPr>
          <w:rFonts w:ascii="Times New Roman" w:hAnsi="Times New Roman" w:eastAsia="SimSun" w:cs="Times New Roman"/>
          <w:b/>
          <w:sz w:val="28"/>
          <w:szCs w:val="24"/>
          <w:lang w:eastAsia="zh-CN"/>
        </w:rPr>
      </w:pPr>
      <w:r>
        <w:rPr/>
        <w:t xml:space="preserve">informing users of the effective settings of parametric axes; </w:t>
      </w:r>
    </w:p>
    <w:p>
      <w:pPr>
        <w:pStyle w:val="TextBody"/>
        <w:numPr>
          <w:ilvl w:val="0"/>
          <w:numId w:val="7"/>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providing a polyfill for </w:t>
      </w:r>
      <w:r>
        <w:rPr>
          <w:rStyle w:val="SourceText"/>
        </w:rPr>
        <w:t>avar</w:t>
      </w:r>
      <w:r>
        <w:rPr/>
        <w:t xml:space="preserve"> version 2. </w:t>
      </w:r>
    </w:p>
    <w:p>
      <w:pPr>
        <w:pStyle w:val="TextBody"/>
        <w:spacing w:before="1" w:after="283"/>
        <w:rPr>
          <w:rFonts w:ascii="Times New Roman" w:hAnsi="Times New Roman" w:eastAsia="SimSun" w:cs="Times New Roman"/>
          <w:b/>
          <w:sz w:val="28"/>
          <w:szCs w:val="24"/>
          <w:lang w:eastAsia="zh-CN"/>
        </w:rPr>
      </w:pPr>
      <w:r>
        <w:rPr/>
        <w:t xml:space="preserve">The solution is for the application itself to implement the </w:t>
      </w:r>
      <w:r>
        <w:rPr>
          <w:rStyle w:val="SourceText"/>
        </w:rPr>
        <w:t>avar</w:t>
      </w:r>
      <w:r>
        <w:rPr/>
        <w:t xml:space="preserve"> algorithms, both version 1 and version 2. This requires not only access to the binary </w:t>
      </w:r>
      <w:r>
        <w:rPr>
          <w:rStyle w:val="SourceText"/>
        </w:rPr>
        <w:t>avar</w:t>
      </w:r>
      <w:r>
        <w:rPr/>
        <w:t xml:space="preserve"> table, but also knowledge of the font’s axis extents as defined in the </w:t>
      </w:r>
      <w:r>
        <w:rPr>
          <w:rStyle w:val="SourceText"/>
        </w:rPr>
        <w:t>fvar</w:t>
      </w:r>
      <w:r>
        <w:rPr/>
        <w:t xml:space="preserve"> table. Once an application has a complete set of final normalized values as defined above, the inverse of the </w:t>
      </w:r>
      <w:r>
        <w:rPr>
          <w:rStyle w:val="SourceText"/>
        </w:rPr>
        <w:t>avar</w:t>
      </w:r>
      <w:r>
        <w:rPr/>
        <w:t xml:space="preserve"> version 1 algorithm can be applied to obtain user coordinates for all axes. (Care must be taken to avoid a divide-by-zero error in implementing an inverse </w:t>
      </w:r>
      <w:r>
        <w:rPr>
          <w:rStyle w:val="SourceText"/>
        </w:rPr>
        <w:t>avar</w:t>
      </w:r>
      <w:r>
        <w:rPr/>
        <w:t xml:space="preserve"> version 1 mapping, in the case where consecutive </w:t>
      </w:r>
      <w:r>
        <w:rPr>
          <w:rStyle w:val="SourceText"/>
        </w:rPr>
        <w:t>toCoordinate</w:t>
      </w:r>
      <w:r>
        <w:rPr/>
        <w:t xml:space="preserve"> values are identical.)</w:t>
      </w:r>
    </w:p>
    <w:p>
      <w:pPr>
        <w:pStyle w:val="TextBody"/>
        <w:spacing w:before="1" w:after="283"/>
        <w:rPr>
          <w:rFonts w:ascii="Times New Roman" w:hAnsi="Times New Roman" w:eastAsia="SimSun" w:cs="Times New Roman"/>
          <w:b/>
          <w:sz w:val="28"/>
          <w:szCs w:val="24"/>
          <w:lang w:eastAsia="zh-CN"/>
        </w:rPr>
      </w:pPr>
      <w:r>
        <w:rPr/>
        <w:t xml:space="preserve">Almost all fonts can provide a valid set of user axis coordinates for a given set of final normalized axis coordinates in this way. Exceptions are those fonts that encode deltas in a region that is not accessible without </w:t>
      </w:r>
      <w:r>
        <w:rPr>
          <w:rStyle w:val="SourceText"/>
        </w:rPr>
        <w:t>avar</w:t>
      </w:r>
      <w:r>
        <w:rPr/>
        <w:t xml:space="preserve"> version 2, namely those fonts where the </w:t>
      </w:r>
      <w:r>
        <w:rPr>
          <w:rStyle w:val="SourceText"/>
        </w:rPr>
        <w:t>fvar</w:t>
      </w:r>
      <w:r>
        <w:rPr/>
        <w:t xml:space="preserve"> definition of an axis normally precludes an active negative region or a active positive region by having its default equal to its minimum or its maximum respectively. Such cases are expected to be rare.</w:t>
      </w:r>
    </w:p>
    <w:p>
      <w:pPr>
        <w:pStyle w:val="TextBody"/>
        <w:rPr/>
      </w:pPr>
      <w:r>
        <w:rPr/>
      </w:r>
    </w:p>
    <w:p>
      <w:pPr>
        <w:pStyle w:val="Heading2"/>
        <w:rPr>
          <w:rFonts w:ascii="Times New Roman" w:hAnsi="Times New Roman" w:eastAsia="SimSun" w:cs="Times New Roman"/>
          <w:b/>
          <w:sz w:val="28"/>
          <w:szCs w:val="24"/>
          <w:lang w:eastAsia="zh-CN"/>
        </w:rPr>
      </w:pPr>
      <w:bookmarkStart w:id="78" w:name="__RefHeading___Toc22318_2925186988"/>
      <w:bookmarkEnd w:id="78"/>
      <w:r>
        <w:rPr/>
        <w:t>Recommendations and notes</w:t>
      </w:r>
    </w:p>
    <w:p>
      <w:pPr>
        <w:pStyle w:val="Heading3"/>
        <w:rPr>
          <w:rFonts w:ascii="Times New Roman" w:hAnsi="Times New Roman" w:eastAsia="SimSun" w:cs="Times New Roman"/>
          <w:b/>
          <w:sz w:val="28"/>
          <w:szCs w:val="24"/>
          <w:lang w:eastAsia="zh-CN"/>
        </w:rPr>
      </w:pPr>
      <w:bookmarkStart w:id="79" w:name="__RefHeading___Toc22320_2925186988"/>
      <w:bookmarkStart w:id="80" w:name="user-content-hidden-axes"/>
      <w:bookmarkEnd w:id="79"/>
      <w:bookmarkEnd w:id="80"/>
      <w:r>
        <w:rPr/>
        <w:t>Hidden axes</w:t>
      </w:r>
    </w:p>
    <w:p>
      <w:pPr>
        <w:pStyle w:val="TextBody"/>
        <w:spacing w:before="1" w:after="283"/>
        <w:rPr>
          <w:rFonts w:ascii="Times New Roman" w:hAnsi="Times New Roman" w:eastAsia="SimSun" w:cs="Times New Roman"/>
          <w:b/>
          <w:sz w:val="28"/>
          <w:szCs w:val="24"/>
          <w:lang w:eastAsia="zh-CN"/>
        </w:rPr>
      </w:pPr>
      <w:r>
        <w:rPr/>
        <w:t xml:space="preserve">Since many </w:t>
      </w:r>
      <w:r>
        <w:rPr>
          <w:rStyle w:val="SourceText"/>
        </w:rPr>
        <w:t>avar</w:t>
      </w:r>
      <w:r>
        <w:rPr/>
        <w:t xml:space="preserve"> version 2 fonts have axes not not intended for manual adjustment, it is recommended that such axes set the “hidden” flag in </w:t>
      </w:r>
      <w:r>
        <w:rPr>
          <w:rStyle w:val="SourceText"/>
        </w:rPr>
        <w:t>VariationAxisRecord</w:t>
      </w:r>
      <w:r>
        <w:rPr/>
        <w:t xml:space="preserve"> of the </w:t>
      </w:r>
      <w:hyperlink r:id="rId5">
        <w:r>
          <w:rPr>
            <w:rStyle w:val="InternetLink"/>
            <w:rFonts w:ascii="Liberation Mono" w:hAnsi="Liberation Mono" w:eastAsia="Liberation Mono" w:cs="Liberation Mono"/>
          </w:rPr>
          <w:t>fvar</w:t>
        </w:r>
      </w:hyperlink>
      <w:r>
        <w:rPr/>
        <w:t xml:space="preserve"> table.</w:t>
      </w:r>
    </w:p>
    <w:p>
      <w:pPr>
        <w:pStyle w:val="Heading3"/>
        <w:rPr>
          <w:rFonts w:ascii="Times New Roman" w:hAnsi="Times New Roman" w:eastAsia="SimSun" w:cs="Times New Roman"/>
          <w:b/>
          <w:sz w:val="28"/>
          <w:szCs w:val="24"/>
          <w:lang w:eastAsia="zh-CN"/>
        </w:rPr>
      </w:pPr>
      <w:bookmarkStart w:id="81" w:name="__RefHeading___Toc22322_2925186988"/>
      <w:bookmarkStart w:id="82" w:name="user-content-efficient-axisidxmap-and-it"/>
      <w:bookmarkEnd w:id="81"/>
      <w:bookmarkEnd w:id="82"/>
      <w:r>
        <w:rPr/>
        <w:t>Efficient axisIdxMap and ItemVariationData construction</w:t>
      </w:r>
    </w:p>
    <w:p>
      <w:pPr>
        <w:pStyle w:val="TextBody"/>
        <w:spacing w:before="1" w:after="283"/>
        <w:rPr>
          <w:rFonts w:ascii="Times New Roman" w:hAnsi="Times New Roman" w:eastAsia="SimSun" w:cs="Times New Roman"/>
          <w:b/>
          <w:sz w:val="28"/>
          <w:szCs w:val="24"/>
          <w:lang w:eastAsia="zh-CN"/>
        </w:rPr>
      </w:pPr>
      <w:r>
        <w:rPr/>
        <w:t xml:space="preserve">In order to reduce proliferation of zero deltas, it is recommended to store in </w:t>
      </w:r>
      <w:r>
        <w:rPr>
          <w:rStyle w:val="SourceText"/>
        </w:rPr>
        <w:t>axisIndexMap</w:t>
      </w:r>
      <w:r>
        <w:rPr/>
        <w:t xml:space="preserve"> only those axes that are remapped by </w:t>
      </w:r>
      <w:r>
        <w:rPr>
          <w:rStyle w:val="SourceText"/>
        </w:rPr>
        <w:t>avar</w:t>
      </w:r>
      <w:r>
        <w:rPr/>
        <w:t xml:space="preserve"> version 2. For the same reason, if there are multiple different types of axis mapping affecting different sets of axes, consider using multiple </w:t>
      </w:r>
      <w:r>
        <w:rPr>
          <w:rStyle w:val="SourceText"/>
        </w:rPr>
        <w:t>ItemVariationData</w:t>
      </w:r>
      <w:r>
        <w:rPr/>
        <w:t xml:space="preserve"> structures.</w:t>
      </w:r>
    </w:p>
    <w:p>
      <w:pPr>
        <w:pStyle w:val="Heading3"/>
        <w:rPr>
          <w:rFonts w:ascii="Times New Roman" w:hAnsi="Times New Roman" w:eastAsia="SimSun" w:cs="Times New Roman"/>
          <w:b/>
          <w:sz w:val="28"/>
          <w:szCs w:val="24"/>
          <w:lang w:eastAsia="zh-CN"/>
        </w:rPr>
      </w:pPr>
      <w:bookmarkStart w:id="83" w:name="__RefHeading___Toc22324_2925186988"/>
      <w:bookmarkEnd w:id="83"/>
      <w:r>
        <w:rPr/>
        <w:t>Other notes</w:t>
      </w:r>
    </w:p>
    <w:p>
      <w:pPr>
        <w:pStyle w:val="TextBody"/>
        <w:numPr>
          <w:ilvl w:val="0"/>
          <w:numId w:val="8"/>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The set of axes involved in adjusting the coordinate for a given axis may include the axis itself.</w:t>
      </w:r>
    </w:p>
    <w:p>
      <w:pPr>
        <w:pStyle w:val="TextBody"/>
        <w:numPr>
          <w:ilvl w:val="0"/>
          <w:numId w:val="8"/>
        </w:numPr>
        <w:tabs>
          <w:tab w:val="clear" w:pos="720"/>
          <w:tab w:val="left" w:pos="0" w:leader="none"/>
        </w:tabs>
        <w:spacing w:before="1" w:after="283"/>
        <w:ind w:left="709" w:hanging="283"/>
        <w:rPr>
          <w:rFonts w:ascii="Times New Roman" w:hAnsi="Times New Roman" w:eastAsia="SimSun" w:cs="Times New Roman"/>
          <w:b/>
          <w:sz w:val="28"/>
          <w:szCs w:val="24"/>
          <w:lang w:eastAsia="zh-CN"/>
        </w:rPr>
      </w:pPr>
      <w:r>
        <w:rPr/>
        <w:t xml:space="preserve">It is expected that implementations that handle only </w:t>
      </w:r>
      <w:r>
        <w:rPr>
          <w:rStyle w:val="SourceText"/>
        </w:rPr>
        <w:t>avar</w:t>
      </w:r>
      <w:r>
        <w:rPr/>
        <w:t xml:space="preserve"> version 1 will ignore the entire table by rejecting the </w:t>
      </w:r>
      <w:r>
        <w:rPr>
          <w:rStyle w:val="SourceText"/>
        </w:rPr>
        <w:t>majorVersion</w:t>
      </w:r>
      <w:r>
        <w:rPr/>
        <w:t xml:space="preserve"> value.</w:t>
      </w:r>
    </w:p>
    <w:p>
      <w:pPr>
        <w:pStyle w:val="TextBody"/>
        <w:spacing w:before="1" w:after="283"/>
        <w:rPr/>
      </w:pPr>
      <w:r>
        <w:rPr/>
      </w:r>
    </w:p>
    <w:sectPr>
      <w:footerReference w:type="default" r:id="rId6"/>
      <w:footnotePr>
        <w:numFmt w:val="decimal"/>
      </w:footnotePr>
      <w:type w:val="nextPage"/>
      <w:pgSz w:w="11906" w:h="16838"/>
      <w:pgMar w:left="1440" w:right="1440" w:gutter="0" w:header="0" w:top="1701" w:footer="720" w:bottom="1440"/>
      <w:pgNumType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22</w:t>
    </w:r>
    <w:r>
      <w:rPr/>
      <w:fldChar w:fldCharType="end"/>
    </w:r>
  </w:p>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https://variationsguide.typenetwork.com/</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0" w:hanging="0"/>
      </w:pPr>
      <w:rPr>
        <w:sz w:val="36"/>
        <w:b/>
        <w:rFonts w:ascii="Arial" w:hAnsi="Arial"/>
      </w:rPr>
    </w:lvl>
    <w:lvl w:ilvl="1">
      <w:start w:val="1"/>
      <w:pStyle w:val="Heading2"/>
      <w:numFmt w:val="decimal"/>
      <w:suff w:val="space"/>
      <w:lvlText w:val="%1.%2."/>
      <w:lvlJc w:val="left"/>
      <w:pPr>
        <w:tabs>
          <w:tab w:val="num" w:pos="0"/>
        </w:tabs>
        <w:ind w:left="0" w:hanging="0"/>
      </w:pPr>
      <w:rPr>
        <w:sz w:val="32"/>
        <w:b/>
        <w:rFonts w:ascii="Arial" w:hAnsi="Arial"/>
      </w:rPr>
    </w:lvl>
    <w:lvl w:ilvl="2">
      <w:start w:val="1"/>
      <w:pStyle w:val="Heading3"/>
      <w:numFmt w:val="decimal"/>
      <w:suff w:val="space"/>
      <w:lvlText w:val="%1.%2.%3."/>
      <w:lvlJc w:val="left"/>
      <w:pPr>
        <w:tabs>
          <w:tab w:val="num" w:pos="0"/>
        </w:tabs>
        <w:ind w:left="0" w:hanging="0"/>
      </w:pPr>
      <w:rPr>
        <w:sz w:val="28"/>
        <w:b/>
        <w:rFonts w:ascii="Arial" w:hAnsi="Arial"/>
      </w:rPr>
    </w:lvl>
    <w:lvl w:ilvl="3">
      <w:start w:val="1"/>
      <w:pStyle w:val="Heading4"/>
      <w:numFmt w:val="decimal"/>
      <w:suff w:val="space"/>
      <w:lvlText w:val="%1.%2.%3.%4."/>
      <w:lvlJc w:val="left"/>
      <w:pPr>
        <w:tabs>
          <w:tab w:val="num" w:pos="0"/>
        </w:tabs>
        <w:ind w:left="0" w:hanging="0"/>
      </w:pPr>
      <w:rPr>
        <w:sz w:val="24"/>
        <w:b/>
        <w:rFonts w:ascii="Arial" w:hAnsi="Arial"/>
      </w:r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ＭＳ 明朝" w:cs="Tahoma"/>
        <w:sz w:val="22"/>
        <w:szCs w:val="22"/>
        <w:lang w:val="en-US" w:eastAsia="en-US" w:bidi="ar-SA"/>
      </w:rPr>
    </w:rPrDefault>
    <w:pPrDefault>
      <w:pPr>
        <w:suppressAutoHyphens w:val="true"/>
      </w:pPr>
    </w:pPrDefault>
  </w:docDefaults>
  <w:style w:type="paragraph" w:styleId="Normal">
    <w:name w:val="Normal"/>
    <w:qFormat/>
    <w:pPr>
      <w:widowControl w:val="false"/>
      <w:kinsoku w:val="true"/>
      <w:overflowPunct w:val="true"/>
      <w:autoSpaceDE w:val="true"/>
      <w:bidi w:val="0"/>
      <w:spacing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qFormat/>
    <w:pPr>
      <w:numPr>
        <w:ilvl w:val="0"/>
        <w:numId w:val="1"/>
      </w:numPr>
      <w:spacing w:lineRule="auto" w:line="276" w:before="357" w:after="0"/>
      <w:ind w:left="104" w:right="0" w:hanging="0"/>
      <w:outlineLvl w:val="0"/>
    </w:pPr>
    <w:rPr>
      <w:b/>
      <w:bCs/>
      <w:sz w:val="36"/>
      <w:szCs w:val="24"/>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rFonts w:ascii="Arial" w:hAnsi="Arial" w:eastAsia="Segoe UI" w:cs="Tahoma"/>
      <w:b/>
      <w:bCs/>
      <w:sz w:val="24"/>
      <w:szCs w:val="24"/>
    </w:rPr>
  </w:style>
  <w:style w:type="character" w:styleId="DefaultParagraphFont">
    <w:name w:val="Default Paragraph Font"/>
    <w:qFormat/>
    <w:rPr/>
  </w:style>
  <w:style w:type="character" w:styleId="InternetLink">
    <w:name w:val="Hyperlink"/>
    <w:rPr>
      <w:color w:val="0000FF"/>
      <w:u w:val="single"/>
    </w:rPr>
  </w:style>
  <w:style w:type="character" w:styleId="BodyTextChar">
    <w:name w:val="Body Text Char"/>
    <w:basedOn w:val="DefaultParagraphFont"/>
    <w:qFormat/>
    <w:rPr>
      <w:rFonts w:ascii="Arial" w:hAnsi="Arial" w:eastAsia="Arial" w:cs="Arial"/>
      <w:sz w:val="24"/>
      <w:szCs w:val="24"/>
    </w:rPr>
  </w:style>
  <w:style w:type="character" w:styleId="Strong">
    <w:name w:val="Strong"/>
    <w:basedOn w:val="DefaultParagraphFont"/>
    <w:qFormat/>
    <w:rPr>
      <w:b/>
      <w:bCs/>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link w:val="Header"/>
    <w:qFormat/>
    <w:rPr>
      <w:rFonts w:ascii="Arial" w:hAnsi="Arial" w:eastAsia="Arial" w:cs="Arial"/>
    </w:rPr>
  </w:style>
  <w:style w:type="character" w:styleId="FooterChar">
    <w:name w:val="Footer Char"/>
    <w:basedOn w:val="DefaultParagraphFont"/>
    <w:link w:val="Footer"/>
    <w:qFormat/>
    <w:rPr>
      <w:rFonts w:ascii="Arial" w:hAnsi="Arial" w:eastAsia="Arial" w:cs="Arial"/>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trongEmphasis">
    <w:name w:val="Strong"/>
    <w:qFormat/>
    <w:rPr>
      <w:b/>
      <w:bCs/>
    </w:rPr>
  </w:style>
  <w:style w:type="character" w:styleId="NumberingSymbols">
    <w:name w:val="Numbering Symbols"/>
    <w:qFormat/>
    <w:rPr/>
  </w:style>
  <w:style w:type="character" w:styleId="IndexLink">
    <w:name w:val="Index Link"/>
    <w:qFormat/>
    <w:rPr/>
  </w:style>
  <w:style w:type="character" w:styleId="NumberH1">
    <w:name w:val="Number H 1"/>
    <w:qFormat/>
    <w:rPr>
      <w:rFonts w:ascii="Arial" w:hAnsi="Arial"/>
      <w:b/>
      <w:sz w:val="36"/>
    </w:rPr>
  </w:style>
  <w:style w:type="character" w:styleId="NumberH3">
    <w:name w:val="Number H 3"/>
    <w:qFormat/>
    <w:rPr>
      <w:rFonts w:ascii="Arial" w:hAnsi="Arial"/>
      <w:b/>
      <w:sz w:val="28"/>
    </w:rPr>
  </w:style>
  <w:style w:type="character" w:styleId="NumberH2">
    <w:name w:val="Number H 2"/>
    <w:qFormat/>
    <w:rPr>
      <w:rFonts w:ascii="Arial" w:hAnsi="Arial"/>
      <w:b/>
      <w:sz w:val="32"/>
    </w:rPr>
  </w:style>
  <w:style w:type="character" w:styleId="NumberH4">
    <w:name w:val="Number H 4"/>
    <w:qFormat/>
    <w:rPr>
      <w:rFonts w:ascii="Arial" w:hAnsi="Arial"/>
      <w:b/>
      <w:sz w:val="24"/>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SC" w:cs="Mangal"/>
      <w:sz w:val="28"/>
      <w:szCs w:val="28"/>
    </w:rPr>
  </w:style>
  <w:style w:type="paragraph" w:styleId="TextBody">
    <w:name w:val="Body Text"/>
    <w:basedOn w:val="Normal"/>
    <w:link w:val="BodyTextChar"/>
    <w:pPr>
      <w:spacing w:lineRule="auto" w:line="276" w:before="1" w:after="0"/>
    </w:pPr>
    <w:rPr>
      <w:sz w:val="24"/>
      <w:szCs w:val="24"/>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qFormat/>
    <w:pPr>
      <w:spacing w:before="90" w:after="0"/>
      <w:ind w:left="1194" w:right="0" w:hanging="0"/>
    </w:pPr>
    <w:rPr>
      <w:b/>
      <w:bCs/>
      <w:sz w:val="29"/>
      <w:szCs w:val="29"/>
      <w:u w:val="single" w:color="000000"/>
    </w:rPr>
  </w:style>
  <w:style w:type="paragraph" w:styleId="ListParagraph">
    <w:name w:val="List Paragraph"/>
    <w:basedOn w:val="Normal"/>
    <w:qFormat/>
    <w:pPr/>
    <w:rPr/>
  </w:style>
  <w:style w:type="paragraph" w:styleId="TableParagraph">
    <w:name w:val="Table Paragraph"/>
    <w:basedOn w:val="Normal"/>
    <w:qFormat/>
    <w:pPr/>
    <w:rPr/>
  </w:style>
  <w:style w:type="paragraph" w:styleId="NormalWeb">
    <w:name w:val="Normal (Web)"/>
    <w:basedOn w:val="Normal"/>
    <w:qFormat/>
    <w:pPr>
      <w:spacing w:lineRule="auto" w:line="276" w:before="280" w:after="280"/>
    </w:pPr>
    <w:rPr>
      <w:rFonts w:ascii="Calibri" w:hAnsi="Calibri" w:eastAsia="Times New Roman" w:cs="Times New Roman"/>
      <w:lang w:eastAsia="zh-TW"/>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2">
    <w:name w:val="TOC 2"/>
    <w:basedOn w:val="Index"/>
    <w:pPr>
      <w:tabs>
        <w:tab w:val="clear" w:pos="720"/>
        <w:tab w:val="right" w:pos="8743" w:leader="dot"/>
      </w:tabs>
      <w:ind w:left="283" w:right="0" w:hanging="0"/>
    </w:pPr>
    <w:rPr/>
  </w:style>
  <w:style w:type="paragraph" w:styleId="Contents3">
    <w:name w:val="TOC 3"/>
    <w:basedOn w:val="Index"/>
    <w:pPr>
      <w:tabs>
        <w:tab w:val="clear" w:pos="720"/>
        <w:tab w:val="right" w:pos="8459" w:leader="dot"/>
      </w:tabs>
      <w:ind w:left="567" w:right="0" w:hanging="0"/>
    </w:pPr>
    <w:rPr/>
  </w:style>
  <w:style w:type="paragraph" w:styleId="Contents4">
    <w:name w:val="TOC 4"/>
    <w:basedOn w:val="Index"/>
    <w:pPr>
      <w:tabs>
        <w:tab w:val="clear" w:pos="720"/>
        <w:tab w:val="right" w:pos="8176" w:leader="dot"/>
      </w:tabs>
      <w:ind w:left="850" w:right="0" w:hanging="0"/>
    </w:pPr>
    <w:rPr/>
  </w:style>
  <w:style w:type="paragraph" w:styleId="Contents1">
    <w:name w:val="TOC 1"/>
    <w:basedOn w:val="Index"/>
    <w:pPr>
      <w:tabs>
        <w:tab w:val="clear" w:pos="720"/>
        <w:tab w:val="right" w:pos="9026" w:leader="dot"/>
      </w:tabs>
      <w:ind w:left="0" w:right="0" w:hanging="0"/>
    </w:pPr>
    <w:rPr/>
  </w:style>
  <w:style w:type="paragraph" w:styleId="Numbering1">
    <w:name w:val="List 3"/>
    <w:basedOn w:val="List"/>
    <w:pPr>
      <w:spacing w:before="0" w:after="120"/>
      <w:ind w:left="360" w:hanging="360"/>
    </w:pPr>
    <w:rPr/>
  </w:style>
  <w:style w:type="paragraph" w:styleId="Quotations">
    <w:name w:val="Quotations"/>
    <w:basedOn w:val="Normal"/>
    <w:qFormat/>
    <w:pPr>
      <w:spacing w:before="0" w:after="283"/>
      <w:ind w:left="567" w:right="567" w:hanging="0"/>
    </w:pPr>
    <w:rPr/>
  </w:style>
  <w:style w:type="paragraph" w:styleId="Footnote">
    <w:name w:val="Footnote Text"/>
    <w:basedOn w:val="Normal"/>
    <w:pPr>
      <w:suppressLineNumbers/>
      <w:ind w:left="340" w:hanging="340"/>
    </w:pPr>
    <w:rPr>
      <w:sz w:val="20"/>
      <w:szCs w:val="20"/>
    </w:rPr>
  </w:style>
  <w:style w:type="numbering" w:styleId="NoList">
    <w:name w:val="No List"/>
    <w:qFormat/>
  </w:style>
  <w:style w:type="numbering" w:styleId="Numberingivx">
    <w:name w:val="Numbering ivx"/>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microsoft.com/en-us/typography/opentype/spec/avar" TargetMode="External"/><Relationship Id="rId3" Type="http://schemas.openxmlformats.org/officeDocument/2006/relationships/hyperlink" Target="https://docs.microsoft.com/en-us/typography/opentype/spec/otvarcommonformats" TargetMode="External"/><Relationship Id="rId4" Type="http://schemas.openxmlformats.org/officeDocument/2006/relationships/hyperlink" Target="https://docs.microsoft.com/en-us/typography/opentype/spec/dvaraxisreg" TargetMode="External"/><Relationship Id="rId5" Type="http://schemas.openxmlformats.org/officeDocument/2006/relationships/hyperlink" Target="https://docs.microsoft.com/en-us/typography/opentype/spec/fvar" TargetMode="Externa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4632</TotalTime>
  <Application>LibreOffice/7.5.0.2$Linux_X86_64 LibreOffice_project/50$Build-2</Application>
  <AppVersion>15.0000</AppVersion>
  <Pages>22</Pages>
  <Words>6043</Words>
  <Characters>33295</Characters>
  <CharactersWithSpaces>39164</CharactersWithSpaces>
  <Paragraphs>634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2023-04-14T12:18:00Z</dcterms:created>
  <dc:creator>Youngkwon Lim/5G Standards /SRA/Principal Engineer/Samsung Electronics</dc:creator>
  <dc:description/>
  <dc:language>en-GB</dc:language>
  <cp:lastModifiedBy/>
  <dcterms:modified xsi:type="dcterms:W3CDTF">2023-04-18T21:57:43Z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