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end"/>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eastAsia="SimSun" w:cs="Times New Roman" w:ascii="Times New Roman" w:hAnsi="Times New Roman"/>
          <w:b/>
          <w:sz w:val="48"/>
          <w:szCs w:val="24"/>
          <w:lang w:val="en-GB" w:eastAsia="zh-CN"/>
        </w:rPr>
        <w:t>70320</w:t>
      </w:r>
    </w:p>
    <w:p>
      <w:pPr>
        <w:pStyle w:val="Normal"/>
        <w:widowControl/>
        <w:jc w:val="end"/>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 xml:space="preserve">Kemer, Turkey </w:t>
      </w:r>
      <w:r>
        <w:rPr>
          <w:rFonts w:eastAsia="SimSun" w:cs="Times New Roman" w:ascii="Times New Roman" w:hAnsi="Times New Roman"/>
          <w:b/>
          <w:sz w:val="28"/>
          <w:szCs w:val="24"/>
          <w:lang w:val="en-GB" w:eastAsia="zh-CN"/>
        </w:rPr>
        <w:t xml:space="preserve">– </w:t>
      </w:r>
      <w:r>
        <w:rPr>
          <w:rFonts w:eastAsia="SimSun" w:cs="Times New Roman" w:ascii="Times New Roman" w:hAnsi="Times New Roman"/>
          <w:b/>
          <w:sz w:val="28"/>
          <w:szCs w:val="24"/>
          <w:lang w:val="en-GB" w:eastAsia="zh-CN"/>
        </w:rPr>
        <w:t>November</w:t>
      </w:r>
      <w:r>
        <w:rPr>
          <w:rFonts w:eastAsia="SimSun" w:cs="Times New Roman" w:ascii="Times New Roman" w:hAnsi="Times New Roman"/>
          <w:b/>
          <w:sz w:val="28"/>
          <w:szCs w:val="24"/>
          <w:lang w:val="en-GB" w:eastAsia="zh-CN"/>
        </w:rPr>
        <w:t xml:space="preserve"> 202</w:t>
      </w:r>
      <w:r>
        <w:rPr>
          <w:rFonts w:eastAsia="SimSun" w:cs="Times New Roman" w:ascii="Times New Roman" w:hAnsi="Times New Roman"/>
          <w:b/>
          <w:sz w:val="28"/>
          <w:szCs w:val="24"/>
          <w:lang w:val="en-GB" w:eastAsia="zh-CN"/>
        </w:rPr>
        <w:t>4</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sz w:val="28"/>
          <w:szCs w:val="24"/>
          <w:lang w:eastAsia="zh-CN"/>
        </w:rPr>
        <w:t>Summary of proposed editorial and technical corrections in 14496-22/CD</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zzContents"/>
        <w:tabs>
          <w:tab w:val="clear" w:pos="720"/>
          <w:tab w:val="left" w:pos="403" w:leader="none"/>
          <w:tab w:val="right" w:pos="9752" w:leader="none"/>
        </w:tabs>
        <w:spacing w:before="720" w:after="0"/>
        <w:rPr>
          <w:b w:val="false"/>
          <w:sz w:val="20"/>
        </w:rPr>
      </w:pPr>
      <w:r>
        <w:rPr/>
      </w:r>
    </w:p>
    <w:p>
      <w:pPr>
        <w:pStyle w:val="Heading1"/>
        <w:ind w:hanging="0" w:start="104" w:end="0"/>
        <w:rPr>
          <w:rFonts w:ascii="Times New Roman" w:hAnsi="Times New Roman" w:eastAsia="SimSun" w:cs="Times New Roman"/>
          <w:sz w:val="28"/>
          <w:lang w:eastAsia="zh-CN"/>
        </w:rPr>
      </w:pPr>
      <w:bookmarkStart w:id="0" w:name="__RefHeading___Toc21898_2335824944"/>
      <w:bookmarkEnd w:id="0"/>
      <w:r>
        <w:rPr/>
        <w:t>Introduction</w:t>
      </w:r>
    </w:p>
    <w:p>
      <w:pPr>
        <w:pStyle w:val="BodyText"/>
        <w:rPr/>
      </w:pPr>
      <w:r>
        <w:rPr/>
        <w:t>This document summarizes comments sent via various national bodies as comments from the Google Fonts team. The comments were sent separately because of differing deadlines.</w:t>
      </w:r>
    </w:p>
    <w:p>
      <w:pPr>
        <w:pStyle w:val="BodyText"/>
        <w:rPr>
          <w:i/>
          <w:i/>
          <w:iCs/>
          <w:lang w:eastAsia="zh-CN"/>
        </w:rPr>
      </w:pPr>
      <w:r>
        <w:rPr/>
      </w:r>
    </w:p>
    <w:p>
      <w:pPr>
        <w:pStyle w:val="Heading1"/>
        <w:rPr/>
      </w:pPr>
      <w:bookmarkStart w:id="1" w:name="__RefHeading___Toc21932_2335824944"/>
      <w:bookmarkEnd w:id="1"/>
      <w:r>
        <w:rPr/>
        <w:t>Comments on Section 6</w:t>
      </w:r>
    </w:p>
    <w:p>
      <w:pPr>
        <w:pStyle w:val="BodyText"/>
        <w:rPr/>
      </w:pPr>
      <w:r>
        <w:rPr/>
      </w:r>
    </w:p>
    <w:p>
      <w:pPr>
        <w:pStyle w:val="Heading2"/>
        <w:rPr/>
      </w:pPr>
      <w:r>
        <w:rPr/>
        <w:t xml:space="preserve">SequenceContextFormat4 table </w:t>
      </w:r>
      <w:r>
        <w:rPr/>
        <w:t>(technical, editorial)</w:t>
      </w:r>
    </w:p>
    <w:p>
      <w:pPr>
        <w:pStyle w:val="Normal"/>
        <w:rPr/>
      </w:pPr>
      <w:r>
        <w:rPr/>
        <w:t>In 6.2.8 SequenceContextFormat4 table, there could be overflow.</w:t>
      </w:r>
    </w:p>
    <w:p>
      <w:pPr>
        <w:pStyle w:val="Normal"/>
        <w:rPr/>
      </w:pPr>
      <w:r>
        <w:rPr/>
        <w:t>M</w:t>
      </w:r>
      <w:r>
        <w:rPr/>
        <w:t>ake seqRuleSetCount a uint24 instead of uint16.</w:t>
      </w:r>
    </w:p>
    <w:p>
      <w:pPr>
        <w:pStyle w:val="Normal"/>
        <w:rPr/>
      </w:pPr>
      <w:r>
        <w:rPr/>
        <w:t>In addition, there is a minor editorial error: seqRuleSetOffsets should point to SequenceRuleSet2 tables, not SequenceRuleSet tables. The following table must be renamed to SequenceRuleSet2 table to avoid conflict with a table with the same name in format 1.</w:t>
      </w:r>
    </w:p>
    <w:p>
      <w:pPr>
        <w:pStyle w:val="Heading2"/>
        <w:rPr/>
      </w:pPr>
      <w:r>
        <w:rPr/>
        <w:t>Sequence context format 5 (editorial)</w:t>
      </w:r>
    </w:p>
    <w:p>
      <w:pPr>
        <w:pStyle w:val="Normal"/>
        <w:rPr/>
      </w:pPr>
      <w:bookmarkStart w:id="2" w:name="docs-internal-guid-5ef7c4ec-7fff-6937-c8"/>
      <w:bookmarkEnd w:id="2"/>
      <w:r>
        <w:rPr/>
        <w:t>In 6.2.8, t</w:t>
      </w:r>
      <w:r>
        <w:rPr/>
        <w:t>he definition of ClassSequenceRule here is redundant; it has already been defined.</w:t>
      </w:r>
    </w:p>
    <w:p>
      <w:pPr>
        <w:pStyle w:val="Normal"/>
        <w:rPr/>
      </w:pPr>
      <w:bookmarkStart w:id="3" w:name="docs-internal-guid-90abbf35-7fff-2b19-45"/>
      <w:bookmarkEnd w:id="3"/>
      <w:r>
        <w:rPr/>
        <w:t>Remove the redundant table.</w:t>
      </w:r>
    </w:p>
    <w:p>
      <w:pPr>
        <w:pStyle w:val="Heading2"/>
        <w:rPr/>
      </w:pPr>
      <w:r>
        <w:rPr/>
        <w:t>Chained Sequence Context</w:t>
      </w:r>
      <w:r>
        <w:rPr/>
        <w:t xml:space="preserve"> (</w:t>
      </w:r>
      <w:r>
        <w:rPr/>
        <w:t>technical</w:t>
      </w:r>
      <w:r>
        <w:rPr/>
        <w:t>)</w:t>
      </w:r>
    </w:p>
    <w:p>
      <w:pPr>
        <w:pStyle w:val="BodyText"/>
        <w:rPr/>
      </w:pPr>
      <w:r>
        <w:rPr/>
        <w:t>In 6.2.8, in ChainedSequenceContextFormat4, there could be overflow.</w:t>
      </w:r>
    </w:p>
    <w:p>
      <w:pPr>
        <w:pStyle w:val="BodyText"/>
        <w:rPr/>
      </w:pPr>
      <w:bookmarkStart w:id="4" w:name="docs-internal-guid-a4da2979-7fff-91a5-72"/>
      <w:bookmarkEnd w:id="4"/>
      <w:r>
        <w:rPr/>
        <w:t>Make chainedSeqRuleSetCount be uint24 instead of uint16.</w:t>
      </w:r>
    </w:p>
    <w:p>
      <w:pPr>
        <w:pStyle w:val="BodyText"/>
        <w:rPr/>
      </w:pPr>
      <w:r>
        <w:rPr/>
        <w:t>In chainedSequenceRuleSet2 table, chainedSeqRuleCount can be a uint16 instead of uint24. However, in ChainedSequenceRule2 table, lookaheadSequence must be uint24, not uint 16.</w:t>
      </w:r>
    </w:p>
    <w:p>
      <w:pPr>
        <w:pStyle w:val="Normal"/>
        <w:rPr/>
      </w:pPr>
      <w:r>
        <w:rPr/>
        <w:t>(this affects only the leftmost column of the table, not whether e.g. items are an array or not)</w:t>
      </w:r>
    </w:p>
    <w:p>
      <w:pPr>
        <w:pStyle w:val="Heading2"/>
        <w:rPr/>
      </w:pPr>
      <w:r>
        <w:rPr/>
        <w:t>ChainedSequenceRule2 Spurious (technical)</w:t>
      </w:r>
    </w:p>
    <w:p>
      <w:pPr>
        <w:pStyle w:val="Normal"/>
        <w:rPr/>
      </w:pPr>
      <w:r>
        <w:rPr/>
        <w:t>In 6.2.8, ChainedSequenceRule2 table is not needed, because fonts are not likely to need (and cannot use) more than 65535 class values anywhere.</w:t>
      </w:r>
    </w:p>
    <w:p>
      <w:pPr>
        <w:pStyle w:val="Normal"/>
        <w:rPr/>
      </w:pPr>
      <w:bookmarkStart w:id="5" w:name="docs-internal-guid-e3acfb0b-7fff-39c8-31"/>
      <w:bookmarkEnd w:id="5"/>
      <w:r>
        <w:rPr/>
        <w:t>Remove the table, and ChainedSequenceContextFormat5 should use ChainedClassSequenceRule instead of ChainedClassSequenceRule2.</w:t>
      </w:r>
    </w:p>
    <w:p>
      <w:pPr>
        <w:pStyle w:val="Heading2"/>
        <w:rPr/>
      </w:pPr>
      <w:r>
        <w:rPr/>
        <w:t xml:space="preserve">MarkGlyphSetsTable </w:t>
      </w:r>
      <w:r>
        <w:rPr/>
        <w:t>(technical)</w:t>
      </w:r>
    </w:p>
    <w:p>
      <w:pPr>
        <w:pStyle w:val="Normal"/>
        <w:rPr/>
      </w:pPr>
      <w:bookmarkStart w:id="6" w:name="docs-internal-guid-c460d46c-7fff-c681-7a"/>
      <w:bookmarkEnd w:id="6"/>
      <w:r>
        <w:rPr/>
        <w:t>In 6.3.2.2.6, w</w:t>
      </w:r>
      <w:r>
        <w:rPr/>
        <w:t>e should consider adding a MarkGlyphSets format 2 table with a uint32 markGlyphSetCount, to allow more than 65535 different mark glyph sets.</w:t>
      </w:r>
    </w:p>
    <w:p>
      <w:pPr>
        <w:pStyle w:val="Normal"/>
        <w:rPr/>
      </w:pPr>
      <w:bookmarkStart w:id="7" w:name="docs-internal-guid-57669645-7fff-e602-10"/>
      <w:bookmarkEnd w:id="7"/>
      <w:r>
        <w:rPr/>
        <w:t>Add a MarkGlyphSets format 2 table with a uint32 markGlyphSetCount, and the explanation,</w:t>
        <w:br/>
        <w:br/>
        <w:t>Format 2 allows more than 65535 different mark glyph sets.</w:t>
      </w:r>
      <w:r>
        <w:rPr/>
        <w:t>+</w:t>
      </w:r>
    </w:p>
    <w:p>
      <w:pPr>
        <w:pStyle w:val="Heading2"/>
        <w:rPr/>
      </w:pPr>
      <w:r>
        <w:rPr/>
        <w:t xml:space="preserve">PairSet2 table – </w:t>
      </w:r>
      <w:r>
        <w:rPr/>
        <w:t>PairValue Overflow (technical)</w:t>
      </w:r>
    </w:p>
    <w:p>
      <w:pPr>
        <w:pStyle w:val="Normal"/>
        <w:rPr/>
      </w:pPr>
      <w:r>
        <w:rPr/>
        <w:t xml:space="preserve">In 6.3.4.3.2 Lookup Type 2 subtable: pair adjustment positioning, </w:t>
        <w:br/>
        <w:t>the PairSet2 table needs to refer to PairValue2 records, not PairValue recoreds, in order to support 24-bit glyph IDs.</w:t>
      </w:r>
    </w:p>
    <w:p>
      <w:pPr>
        <w:pStyle w:val="Normal"/>
        <w:rPr/>
      </w:pPr>
      <w:r>
        <w:rPr/>
        <w:t>Change PairValue to PairValue2 in the PairSet2 table; add a PairValue2 Record beneath it which is the same as PairValue but uses uint24 for the type of secondGlyph. This new table should replace the text, “See format 1 for PairValue record description.”</w:t>
      </w:r>
    </w:p>
    <w:p>
      <w:pPr>
        <w:pStyle w:val="Heading2"/>
        <w:rPr/>
      </w:pPr>
      <w:r>
        <w:rPr/>
        <w:t>LigCaretList table – overflow</w:t>
      </w:r>
    </w:p>
    <w:p>
      <w:pPr>
        <w:pStyle w:val="Normal"/>
        <w:rPr/>
      </w:pPr>
      <w:r>
        <w:rPr/>
        <w:t>In 6.3.2.2.4 Ligature caret list table, fonts with many glyphs will overflow the 16-bit coverageOffset in this table, even if they do not have many ligatures.</w:t>
      </w:r>
    </w:p>
    <w:p>
      <w:pPr>
        <w:pStyle w:val="Normal"/>
        <w:rPr/>
      </w:pPr>
      <w:r>
        <w:rPr/>
        <w:t>In Example 4 LigCaretList table, make ligCaretListOffset2 point to a LigCaretList2 instead of current “ligature caret list table”</w:t>
        <w:br/>
        <w:br/>
        <w:t>After the LigCaretList table, define a LigCaretList2 table that is the same as LigCaretList, but uses Offset32 coverageOffset, uint24 ligGlyphCount, and Offset24 ligGlyphOffsets[ligGlyphCount]</w:t>
      </w:r>
    </w:p>
    <w:p>
      <w:pPr>
        <w:pStyle w:val="Heading1"/>
        <w:rPr/>
      </w:pPr>
      <w:r>
        <w:rPr/>
        <w:t>Comment</w:t>
      </w:r>
      <w:r>
        <w:rPr/>
        <w:t>s</w:t>
      </w:r>
      <w:r>
        <w:rPr/>
        <w:t xml:space="preserve"> on Section 7</w:t>
      </w:r>
    </w:p>
    <w:p>
      <w:pPr>
        <w:pStyle w:val="Normal"/>
        <w:rPr/>
      </w:pPr>
      <w:r>
        <w:rPr/>
      </w:r>
    </w:p>
    <w:p>
      <w:pPr>
        <w:pStyle w:val="Heading2"/>
        <w:rPr/>
      </w:pPr>
      <w:r>
        <w:rPr/>
        <w:t xml:space="preserve">SparseVariationRegionList </w:t>
      </w:r>
      <w:r>
        <w:rPr/>
        <w:t>(technical)</w:t>
      </w:r>
    </w:p>
    <w:p>
      <w:pPr>
        <w:pStyle w:val="Normal"/>
        <w:rPr/>
      </w:pPr>
      <w:r>
        <w:rPr/>
        <w:t>In section 7.2.3.5: In a large font there could be more than 65535 regions, so regionCount here should be uint32</w:t>
      </w:r>
    </w:p>
    <w:p>
      <w:pPr>
        <w:pStyle w:val="Normal"/>
        <w:rPr/>
      </w:pPr>
      <w:r>
        <w:rPr/>
        <w:t>Change regionCount to be uint32</w:t>
      </w:r>
    </w:p>
    <w:p>
      <w:pPr>
        <w:pStyle w:val="Heading2"/>
        <w:rPr/>
      </w:pPr>
      <w:r>
        <w:rPr/>
        <w:t xml:space="preserve">MultiItemVariationData subtable </w:t>
      </w:r>
      <w:r>
        <w:rPr/>
        <w:t>(technical)</w:t>
      </w:r>
    </w:p>
    <w:p>
      <w:pPr>
        <w:pStyle w:val="Normal"/>
        <w:rPr/>
      </w:pPr>
      <w:r>
        <w:rPr/>
        <w:t xml:space="preserve">In 7.2.3.5. </w:t>
      </w:r>
      <w:r>
        <w:rPr/>
        <w:t>Implementation measurements have shown that this table is slow to parse. We add a Format 2 that is the same except for using float32 (to be defined) makes it much faster.</w:t>
      </w:r>
    </w:p>
    <w:p>
      <w:pPr>
        <w:pStyle w:val="Normal"/>
        <w:rPr/>
      </w:pPr>
      <w:r>
        <w:rPr/>
        <w:t>Add a format 2 for MultiItemVariationData subtable in which deltaSets is an Offset32 (as in format 1) but to a CFF2-style INDEX array of little-endian Float32, as defined in IEEE 754.</w:t>
      </w:r>
    </w:p>
    <w:p>
      <w:pPr>
        <w:pStyle w:val="Heading2"/>
        <w:rPr/>
      </w:pPr>
      <w:r>
        <w:rPr/>
        <w:t>Processing of Variable Composite Glpyhs (editorial)</w:t>
      </w:r>
    </w:p>
    <w:p>
      <w:pPr>
        <w:pStyle w:val="Normal"/>
        <w:rPr/>
      </w:pPr>
      <w:r>
        <w:rPr/>
        <w:t>Subsection 7.3.10.5 Processing of Variable Composite Glyphs should come before 7.3.10.4 Hinting of Variable Composite Glyphs, as you have to know how to process them before the hinting section makes sense.</w:t>
      </w:r>
    </w:p>
    <w:p>
      <w:pPr>
        <w:pStyle w:val="Normal"/>
        <w:rPr/>
      </w:pPr>
      <w:r>
        <w:rPr/>
        <w:t>Suggest: swap sections 7.3.10.4 and 7.3.10.5</w:t>
      </w:r>
    </w:p>
    <w:p>
      <w:pPr>
        <w:pStyle w:val="Heading1"/>
        <w:rPr/>
      </w:pPr>
      <w:r>
        <w:rPr/>
        <w:t>Comment on Section 4.3</w:t>
      </w:r>
    </w:p>
    <w:p>
      <w:pPr>
        <w:pStyle w:val="Heading2"/>
        <w:rPr/>
      </w:pPr>
      <w:r>
        <w:rPr/>
        <w:t xml:space="preserve">The </w:t>
      </w:r>
      <w:r>
        <w:rPr/>
        <w:t>uint32var format (technical)</w:t>
      </w:r>
    </w:p>
    <w:p>
      <w:pPr>
        <w:pStyle w:val="Normal"/>
        <w:rPr/>
      </w:pPr>
      <w:r>
        <w:rPr/>
        <w:t>This variable-byte encoding is very efficient, but has the possibility of encoding a 36-bit number, which would overflow. A malicious font might make use of this.</w:t>
      </w:r>
    </w:p>
    <w:p>
      <w:pPr>
        <w:pStyle w:val="Normal"/>
        <w:rPr/>
      </w:pPr>
      <w:r>
        <w:rPr/>
        <w:t>Change the last entry of the table explaining uint32var from:</w:t>
        <w:br/>
        <w:br/>
        <w:t>Four bytes follow; the low 4 bits of the first byte become the most significant bits of the new value, as above</w:t>
        <w:br/>
        <w:br/>
        <w:t>to:</w:t>
        <w:br/>
        <w:br/>
        <w:t>Four bytes follow; the low 4 bits of the first byte become the most significant bits of the new value, as above. Note that the least significant 4 bits of the initial byte must be zero in this case to prevent overflow.</w:t>
      </w:r>
    </w:p>
    <w:p>
      <w:pPr>
        <w:pStyle w:val="Heading1"/>
        <w:rPr/>
      </w:pPr>
      <w:r>
        <w:rPr/>
        <w:t>Note on comment regarding VARC</w:t>
      </w:r>
    </w:p>
    <w:p>
      <w:pPr>
        <w:pStyle w:val="Normal"/>
        <w:spacing w:before="0" w:after="227"/>
        <w:rPr/>
      </w:pPr>
      <w:r>
        <w:rPr/>
        <w:t>We have decided to postpone the changes to VARC for a future amendment or revision; the current version works, with the minor errors in this document corrected, but research suggests further improvements may be possible.</w:t>
      </w:r>
    </w:p>
    <w:sectPr>
      <w:headerReference w:type="even" r:id="rId2"/>
      <w:headerReference w:type="default" r:id="rId3"/>
      <w:footerReference w:type="even" r:id="rId4"/>
      <w:footerReference w:type="default" r:id="rId5"/>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Calibri Light">
    <w:charset w:val="01" w:characterSet="utf-8"/>
    <w:family w:val="roman"/>
    <w:pitch w:val="variable"/>
  </w:font>
  <w:font w:name="Arial">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Times New Roman">
    <w:charset w:val="01" w:characterSet="utf-8"/>
    <w:family w:val="roman"/>
    <w:pitch w:val="variable"/>
  </w:font>
  <w:font w:name="Consolas">
    <w:charset w:val="01" w:characterSet="utf-8"/>
    <w:family w:val="roman"/>
    <w:pitch w:val="variable"/>
  </w:font>
  <w:font w:name="Tahoma">
    <w:charset w:val="01" w:characterSet="utf-8"/>
    <w:family w:val="roman"/>
    <w:pitch w:val="variable"/>
  </w:font>
  <w:font w:name="Courier New">
    <w:charset w:val="01" w:characterSet="utf-8"/>
    <w:family w:val="roman"/>
    <w:pitch w:val="variable"/>
  </w:font>
  <w:font w:name="Verdana">
    <w:charset w:val="01" w:characterSet="utf-8"/>
    <w:family w:val="roman"/>
    <w:pitch w:val="variable"/>
  </w:font>
  <w:font w:name="Liberation Sans">
    <w:altName w:val="Arial"/>
    <w:charset w:val="01" w:characterSet="utf-8"/>
    <w:family w:val="roman"/>
    <w:pitch w:val="variable"/>
  </w:font>
  <w:font w:name="Franklin Gothic Heavy">
    <w:charset w:val="01" w:characterSet="utf-8"/>
    <w:family w:val="roman"/>
    <w:pitch w:val="variable"/>
  </w:font>
  <w:font w:name="Georgia">
    <w:charset w:val="01" w:characterSet="utf-8"/>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sz w:val="28"/>
        <w:b/>
        <w:rFonts w:ascii="Cambria" w:hAnsi="Cambria"/>
      </w:rPr>
    </w:lvl>
    <w:lvl w:ilvl="1">
      <w:start w:val="3"/>
      <w:pStyle w:val="Heading2"/>
      <w:numFmt w:val="decimal"/>
      <w:suff w:val="space"/>
      <w:lvlText w:val="%1.%2."/>
      <w:lvlJc w:val="start"/>
      <w:pPr>
        <w:tabs>
          <w:tab w:val="num" w:pos="0"/>
        </w:tabs>
        <w:ind w:start="0" w:hanging="0"/>
      </w:pPr>
      <w:rPr>
        <w:sz w:val="26"/>
        <w:b/>
        <w:rFonts w:ascii="Cambria" w:hAnsi="Cambria"/>
      </w:rPr>
    </w:lvl>
    <w:lvl w:ilvl="2">
      <w:start w:val="1"/>
      <w:pStyle w:val="Heading3"/>
      <w:numFmt w:val="decimal"/>
      <w:suff w:val="space"/>
      <w:lvlText w:val="%1.%2.%3."/>
      <w:lvlJc w:val="start"/>
      <w:pPr>
        <w:tabs>
          <w:tab w:val="num" w:pos="0"/>
        </w:tabs>
        <w:ind w:start="0" w:hanging="0"/>
      </w:pPr>
      <w:rPr>
        <w:sz w:val="24"/>
        <w:b/>
        <w:rFonts w:ascii="Cambria" w:hAnsi="Cambria"/>
      </w:rPr>
    </w:lvl>
    <w:lvl w:ilvl="3">
      <w:start w:val="1"/>
      <w:pStyle w:val="Heading4"/>
      <w:numFmt w:val="decimal"/>
      <w:suff w:val="space"/>
      <w:lvlText w:val="%1.%2.%3.%4."/>
      <w:lvlJc w:val="start"/>
      <w:pPr>
        <w:tabs>
          <w:tab w:val="num" w:pos="0"/>
        </w:tabs>
        <w:ind w:start="0" w:hanging="0"/>
      </w:pPr>
      <w:rPr>
        <w:sz w:val="22"/>
        <w:b/>
        <w:rFonts w:ascii="Cambria" w:hAnsi="Cambria"/>
      </w:rPr>
    </w:lvl>
    <w:lvl w:ilvl="4">
      <w:start w:val="1"/>
      <w:pStyle w:val="Heading5"/>
      <w:numFmt w:val="none"/>
      <w:suff w:val="nothing"/>
      <w:lvlText w:val="%5"/>
      <w:lvlJc w:val="start"/>
      <w:pPr>
        <w:tabs>
          <w:tab w:val="num" w:pos="0"/>
        </w:tabs>
        <w:ind w:start="0" w:hanging="0"/>
      </w:pPr>
      <w:rPr/>
    </w:lvl>
    <w:lvl w:ilvl="5">
      <w:start w:val="1"/>
      <w:pStyle w:val="Heading6"/>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revisionView w:insDel="0" w:formatting="0"/>
  <w:mirrorMargins/>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start"/>
    </w:pPr>
    <w:rPr>
      <w:rFonts w:ascii="Cambria" w:hAnsi="Cambria" w:eastAsia="Arial" w:cs="Arial"/>
      <w:color w:val="auto"/>
      <w:kern w:val="2"/>
      <w:sz w:val="22"/>
      <w:szCs w:val="22"/>
      <w:lang w:val="en-US" w:eastAsia="en-US" w:bidi="ar-SA"/>
    </w:rPr>
  </w:style>
  <w:style w:type="paragraph" w:styleId="Heading1">
    <w:name w:val="Heading 1"/>
    <w:basedOn w:val="Normal"/>
    <w:next w:val="Normal"/>
    <w:qFormat/>
    <w:pPr>
      <w:numPr>
        <w:ilvl w:val="0"/>
        <w:numId w:val="1"/>
      </w:numPr>
      <w:spacing w:lineRule="auto" w:line="276" w:before="357" w:after="0"/>
      <w:ind w:hanging="0" w:start="104" w:end="0"/>
      <w:outlineLvl w:val="0"/>
    </w:pPr>
    <w:rPr>
      <w:b/>
      <w:bCs/>
      <w:sz w:val="28"/>
      <w:szCs w:val="24"/>
    </w:rPr>
  </w:style>
  <w:style w:type="paragraph" w:styleId="Heading2">
    <w:name w:val="Heading 2"/>
    <w:basedOn w:val="Heading1"/>
    <w:next w:val="BodyText"/>
    <w:qFormat/>
    <w:pPr>
      <w:numPr>
        <w:ilvl w:val="1"/>
        <w:numId w:val="1"/>
      </w:numPr>
      <w:tabs>
        <w:tab w:val="left" w:pos="720" w:leader="none"/>
      </w:tabs>
      <w:spacing w:lineRule="atLeast" w:line="249" w:before="278" w:after="238"/>
      <w:ind w:hanging="431" w:start="431" w:end="0"/>
      <w:outlineLvl w:val="1"/>
    </w:pPr>
    <w:rPr>
      <w:rFonts w:ascii="Cambria" w:hAnsi="Cambria"/>
      <w:b/>
      <w:bCs/>
      <w:sz w:val="26"/>
      <w:szCs w:val="32"/>
    </w:rPr>
  </w:style>
  <w:style w:type="paragraph" w:styleId="Heading3">
    <w:name w:val="Heading 3"/>
    <w:basedOn w:val="Heading"/>
    <w:next w:val="BodyText"/>
    <w:qFormat/>
    <w:pPr>
      <w:numPr>
        <w:ilvl w:val="2"/>
        <w:numId w:val="1"/>
      </w:numPr>
      <w:spacing w:before="140" w:after="120"/>
      <w:outlineLvl w:val="2"/>
    </w:pPr>
    <w:rPr>
      <w:rFonts w:ascii="Cambria" w:hAnsi="Cambria"/>
      <w:b/>
      <w:bCs/>
      <w:sz w:val="24"/>
    </w:rPr>
  </w:style>
  <w:style w:type="paragraph" w:styleId="Heading4">
    <w:name w:val="Heading 4"/>
    <w:basedOn w:val="Heading"/>
    <w:next w:val="BodyText"/>
    <w:qFormat/>
    <w:pPr>
      <w:numPr>
        <w:ilvl w:val="3"/>
        <w:numId w:val="1"/>
      </w:numPr>
      <w:tabs>
        <w:tab w:val="clear" w:pos="720"/>
      </w:tabs>
      <w:spacing w:lineRule="atLeast" w:line="238" w:before="278" w:after="238"/>
      <w:ind w:hanging="1083" w:start="1083" w:end="0"/>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hanging="1440" w:start="1440" w:end="0"/>
      <w:outlineLvl w:val="5"/>
    </w:pPr>
    <w:rPr/>
  </w:style>
  <w:style w:type="paragraph" w:styleId="Heading7">
    <w:name w:val="Heading 7"/>
    <w:basedOn w:val="Normal"/>
    <w:next w:val="BodyText"/>
    <w:link w:val="Heading7Char"/>
    <w:qFormat/>
    <w:pPr>
      <w:keepNext w:val="true"/>
      <w:keepLines/>
      <w:numPr>
        <w:ilvl w:val="0"/>
        <w:numId w:val="0"/>
      </w:numPr>
      <w:tabs>
        <w:tab w:val="clear" w:pos="720"/>
      </w:tabs>
      <w:spacing w:lineRule="auto" w:line="240" w:before="200" w:after="0"/>
      <w:jc w:val="start"/>
      <w:outlineLvl w:val="6"/>
    </w:pPr>
    <w:rPr>
      <w:rFonts w:ascii="Calibri Light" w:hAnsi="Calibri Light" w:eastAsia="宋体" w:cs="Angsana New"/>
      <w:color w:val="5B9BD5"/>
      <w:sz w:val="24"/>
      <w:szCs w:val="24"/>
      <w:lang w:val="en-US"/>
    </w:rPr>
  </w:style>
  <w:style w:type="paragraph" w:styleId="Heading8">
    <w:name w:val="Heading 8"/>
    <w:basedOn w:val="Normal"/>
    <w:next w:val="BodyText"/>
    <w:link w:val="Heading8Char"/>
    <w:qFormat/>
    <w:pPr>
      <w:keepNext w:val="true"/>
      <w:keepLines/>
      <w:numPr>
        <w:ilvl w:val="0"/>
        <w:numId w:val="0"/>
      </w:numPr>
      <w:tabs>
        <w:tab w:val="clear" w:pos="720"/>
      </w:tabs>
      <w:spacing w:lineRule="auto" w:line="240" w:before="200" w:after="0"/>
      <w:jc w:val="start"/>
      <w:outlineLvl w:val="7"/>
    </w:pPr>
    <w:rPr>
      <w:rFonts w:ascii="Calibri Light" w:hAnsi="Calibri Light" w:eastAsia="宋体" w:cs="Angsana New"/>
      <w:color w:val="5B9BD5"/>
      <w:sz w:val="24"/>
      <w:szCs w:val="24"/>
      <w:lang w:val="en-US"/>
    </w:rPr>
  </w:style>
  <w:style w:type="paragraph" w:styleId="Heading9">
    <w:name w:val="Heading 9"/>
    <w:basedOn w:val="Normal"/>
    <w:next w:val="BodyText"/>
    <w:link w:val="Heading9Char"/>
    <w:qFormat/>
    <w:pPr>
      <w:keepNext w:val="true"/>
      <w:keepLines/>
      <w:numPr>
        <w:ilvl w:val="0"/>
        <w:numId w:val="0"/>
      </w:numPr>
      <w:tabs>
        <w:tab w:val="clear" w:pos="720"/>
      </w:tabs>
      <w:spacing w:lineRule="auto" w:line="240" w:before="200" w:after="0"/>
      <w:jc w:val="star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Hyper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1">
    <w:name w:val="Strong1"/>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FollowedHyperlink">
    <w:name w:val="FollowedHyperlink"/>
    <w:basedOn w:val="DefaultParagraphFont"/>
    <w:rPr>
      <w:color w:val="954F72"/>
      <w:u w:val="single"/>
    </w:rPr>
  </w:style>
  <w:style w:type="character" w:styleId="Strong">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Text"/>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1"/>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Text"/>
    <w:qFormat/>
    <w:rPr>
      <w:rFonts w:ascii="Arial" w:hAnsi="Arial" w:eastAsia="MS Mincho"/>
      <w:lang w:val="en-GB" w:eastAsia="ja-JP"/>
    </w:rPr>
  </w:style>
  <w:style w:type="character" w:styleId="ExtXref">
    <w:name w:val="ExtXref"/>
    <w:qFormat/>
    <w:rPr>
      <w:color w:val="auto"/>
      <w:lang w:val="fr-FR"/>
    </w:rPr>
  </w:style>
  <w:style w:type="character" w:styleId="linenumber1">
    <w:name w:val="line number1"/>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Mangal"/>
      <w:sz w:val="28"/>
      <w:szCs w:val="28"/>
    </w:rPr>
  </w:style>
  <w:style w:type="paragraph" w:styleId="BodyText">
    <w:name w:val="Body Text"/>
    <w:basedOn w:val="Normal"/>
    <w:link w:val="BodyTextChar"/>
    <w:pPr>
      <w:spacing w:lineRule="atLeast" w:line="238" w:before="0" w:after="238"/>
    </w:pPr>
    <w:rPr>
      <w:rFonts w:ascii="Cambria" w:hAnsi="Cambria"/>
      <w:sz w:val="22"/>
      <w:szCs w:val="24"/>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2"/>
    <w:basedOn w:val="Normal"/>
    <w:qFormat/>
    <w:pPr>
      <w:suppressLineNumbers/>
      <w:spacing w:before="120" w:after="120"/>
    </w:pPr>
    <w:rPr>
      <w:rFonts w:cs="Mangal"/>
      <w:i/>
      <w:iCs/>
      <w:sz w:val="24"/>
      <w:szCs w:val="24"/>
    </w:rPr>
  </w:style>
  <w:style w:type="paragraph" w:styleId="Title">
    <w:name w:val="Title"/>
    <w:basedOn w:val="Normal"/>
    <w:qFormat/>
    <w:pPr>
      <w:spacing w:before="90" w:after="0"/>
      <w:ind w:hanging="0" w:start="1194" w:end="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Calibri" w:hAnsi="Calibri" w:eastAsia="Times New Roman" w:cs="Times New Roman"/>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2">
    <w:name w:val="TOC 2"/>
    <w:basedOn w:val="Index"/>
    <w:pPr>
      <w:tabs>
        <w:tab w:val="clear" w:pos="720"/>
        <w:tab w:val="right" w:pos="8743" w:leader="dot"/>
      </w:tabs>
      <w:ind w:hanging="0" w:start="283" w:end="0"/>
    </w:pPr>
    <w:rPr/>
  </w:style>
  <w:style w:type="paragraph" w:styleId="TOC3">
    <w:name w:val="TOC 3"/>
    <w:basedOn w:val="Index"/>
    <w:pPr>
      <w:tabs>
        <w:tab w:val="clear" w:pos="720"/>
        <w:tab w:val="right" w:pos="8459" w:leader="dot"/>
      </w:tabs>
      <w:ind w:hanging="0" w:start="567" w:end="0"/>
    </w:pPr>
    <w:rPr/>
  </w:style>
  <w:style w:type="paragraph" w:styleId="TOC4">
    <w:name w:val="TOC 4"/>
    <w:basedOn w:val="Index"/>
    <w:pPr>
      <w:tabs>
        <w:tab w:val="clear" w:pos="720"/>
        <w:tab w:val="right" w:pos="8176" w:leader="dot"/>
      </w:tabs>
      <w:ind w:hanging="0" w:start="850" w:end="0"/>
    </w:pPr>
    <w:rPr/>
  </w:style>
  <w:style w:type="paragraph" w:styleId="TOC1">
    <w:name w:val="TOC 1"/>
    <w:basedOn w:val="Index"/>
    <w:pPr>
      <w:tabs>
        <w:tab w:val="clear" w:pos="720"/>
        <w:tab w:val="right" w:pos="9026" w:leader="dot"/>
      </w:tabs>
    </w:pPr>
    <w:rPr>
      <w:b/>
    </w:rPr>
  </w:style>
  <w:style w:type="paragraph" w:styleId="ListBullet3">
    <w:name w:val="List Bullet 3"/>
    <w:basedOn w:val="List"/>
    <w:pPr>
      <w:spacing w:before="0" w:after="120"/>
      <w:ind w:hanging="360" w:start="360" w:end="0"/>
    </w:pPr>
    <w:rPr/>
  </w:style>
  <w:style w:type="paragraph" w:styleId="BlockQuotation">
    <w:name w:val="Block Quotation"/>
    <w:basedOn w:val="Normal"/>
    <w:qFormat/>
    <w:pPr>
      <w:spacing w:before="0" w:after="283"/>
      <w:ind w:hanging="0" w:start="567" w:end="567"/>
    </w:pPr>
    <w:rPr/>
  </w:style>
  <w:style w:type="paragraph" w:styleId="FootnoteText">
    <w:name w:val="Footnote Text"/>
    <w:basedOn w:val="Normal"/>
    <w:pPr>
      <w:suppressLineNumbers/>
      <w:ind w:hanging="340" w:start="340" w:end="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star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star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star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star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star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start"/>
    </w:pPr>
    <w:rPr>
      <w:b/>
    </w:rPr>
  </w:style>
  <w:style w:type="paragraph" w:styleId="TermNum">
    <w:name w:val="TermNum"/>
    <w:basedOn w:val="Normal"/>
    <w:next w:val="Terms"/>
    <w:qFormat/>
    <w:pPr>
      <w:keepNext w:val="true"/>
      <w:spacing w:before="0" w:after="0"/>
      <w:jc w:val="start"/>
    </w:pPr>
    <w:rPr>
      <w:b/>
    </w:rPr>
  </w:style>
  <w:style w:type="paragraph" w:styleId="zzContents">
    <w:name w:val="zzContents"/>
    <w:basedOn w:val="Normal"/>
    <w:next w:val="TOC1"/>
    <w:qFormat/>
    <w:pPr>
      <w:keepNext w:val="true"/>
      <w:pageBreakBefore/>
      <w:suppressAutoHyphens w:val="true"/>
      <w:spacing w:lineRule="exact" w:line="310" w:before="960" w:after="310"/>
      <w:jc w:val="star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hanging="0" w:start="284" w:end="284"/>
    </w:pPr>
    <w:rPr>
      <w:color w:val="0000FF"/>
    </w:rPr>
  </w:style>
  <w:style w:type="paragraph" w:styleId="zzSTDTitle">
    <w:name w:val="zzSTDTitle"/>
    <w:basedOn w:val="Normal"/>
    <w:next w:val="Normal"/>
    <w:qFormat/>
    <w:pPr>
      <w:suppressAutoHyphens w:val="true"/>
      <w:spacing w:lineRule="exact" w:line="350" w:before="400" w:after="760"/>
      <w:jc w:val="start"/>
    </w:pPr>
    <w:rPr>
      <w:b/>
      <w:color w:val="0000FF"/>
      <w:sz w:val="32"/>
    </w:rPr>
  </w:style>
  <w:style w:type="paragraph" w:styleId="Code">
    <w:name w:val="Code"/>
    <w:basedOn w:val="Normal"/>
    <w:qFormat/>
    <w:pPr>
      <w:spacing w:lineRule="atLeast" w:line="200" w:before="0" w:after="0"/>
      <w:jc w:val="start"/>
    </w:pPr>
    <w:rPr>
      <w:rFonts w:ascii="Courier New" w:hAnsi="Courier New"/>
      <w:sz w:val="20"/>
    </w:rPr>
  </w:style>
  <w:style w:type="paragraph" w:styleId="Formula">
    <w:name w:val="Formula"/>
    <w:basedOn w:val="Normal"/>
    <w:qFormat/>
    <w:pPr>
      <w:tabs>
        <w:tab w:val="clear" w:pos="720"/>
        <w:tab w:val="right" w:pos="9749" w:leader="none"/>
      </w:tabs>
      <w:spacing w:before="0" w:after="220"/>
      <w:ind w:hanging="0" w:start="403" w:end="0"/>
      <w:jc w:val="start"/>
    </w:pPr>
    <w:rPr>
      <w:rFonts w:eastAsia="Times New Roman"/>
    </w:rPr>
  </w:style>
  <w:style w:type="paragraph" w:styleId="Tablebody">
    <w:name w:val="Table body"/>
    <w:basedOn w:val="Normal"/>
    <w:qFormat/>
    <w:pPr>
      <w:tabs>
        <w:tab w:val="clear" w:pos="720"/>
      </w:tabs>
      <w:spacing w:lineRule="atLeast" w:line="210" w:before="60" w:after="60"/>
      <w:jc w:val="star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BodyText"/>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start"/>
    </w:pPr>
    <w:rPr>
      <w:rFonts w:ascii="Calibri" w:hAnsi="Calibri" w:eastAsia="Calibri" w:cs="Cordia New"/>
      <w:sz w:val="24"/>
      <w:szCs w:val="24"/>
    </w:rPr>
  </w:style>
  <w:style w:type="paragraph" w:styleId="Compact">
    <w:name w:val="Compact"/>
    <w:basedOn w:val="BodyText"/>
    <w:qFormat/>
    <w:pPr>
      <w:spacing w:lineRule="auto" w:line="240" w:before="36" w:after="36"/>
      <w:jc w:val="start"/>
    </w:pPr>
    <w:rPr>
      <w:rFonts w:eastAsia="Calibri" w:cs="Cordia New"/>
      <w:szCs w:val="24"/>
    </w:rPr>
  </w:style>
  <w:style w:type="paragraph" w:styleId="BlockText">
    <w:name w:val="Block Text"/>
    <w:basedOn w:val="BodyText"/>
    <w:next w:val="BodyText"/>
    <w:qFormat/>
    <w:pPr>
      <w:spacing w:lineRule="auto" w:line="240" w:before="100" w:after="100"/>
      <w:ind w:hanging="0" w:start="480" w:end="480"/>
      <w:jc w:val="star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star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start"/>
    </w:pPr>
    <w:rPr>
      <w:rFonts w:ascii="Arial" w:hAnsi="Arial" w:eastAsia="Arial" w:cs="Arial"/>
      <w:sz w:val="20"/>
      <w:szCs w:val="20"/>
    </w:rPr>
  </w:style>
  <w:style w:type="paragraph" w:styleId="Subtitle">
    <w:name w:val="Subtitle"/>
    <w:basedOn w:val="Title"/>
    <w:next w:val="BodyText"/>
    <w:link w:val="SubtitleChar"/>
    <w:qFormat/>
    <w:pPr>
      <w:keepNext w:val="true"/>
      <w:keepLines/>
      <w:widowControl/>
      <w:spacing w:before="240" w:after="240"/>
      <w:ind w:hanging="0" w:start="0" w:end="0"/>
      <w:jc w:val="center"/>
    </w:pPr>
    <w:rPr>
      <w:rFonts w:ascii="Calibri Light" w:hAnsi="Calibri Light" w:eastAsia="宋体" w:cs="Angsana New"/>
      <w:color w:val="2C6EAB"/>
      <w:sz w:val="30"/>
      <w:szCs w:val="30"/>
      <w:u w:val="none"/>
      <w:lang w:val="en-US"/>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BodyText"/>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BodyText"/>
    <w:qFormat/>
    <w:pPr>
      <w:keepNext w:val="true"/>
      <w:keepLines/>
      <w:tabs>
        <w:tab w:val="clear" w:pos="720"/>
      </w:tabs>
      <w:spacing w:lineRule="auto" w:line="240" w:before="300" w:after="300"/>
      <w:jc w:val="star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star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star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star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star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hanging="403" w:start="403" w:end="0"/>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hanging="660" w:start="660" w:end="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1">
    <w:name w:val="Body Text Indent1"/>
    <w:basedOn w:val="BodyText"/>
    <w:link w:val="BodyTextFirstIndentChar"/>
    <w:qFormat/>
    <w:pPr>
      <w:spacing w:lineRule="atLeast" w:line="210"/>
      <w:ind w:firstLine="210" w:start="0" w:end="0"/>
    </w:pPr>
    <w:rPr>
      <w:rFonts w:ascii="Arial" w:hAnsi="Arial" w:eastAsia="MS Mincho"/>
      <w:sz w:val="18"/>
      <w:szCs w:val="20"/>
      <w:lang w:val="en-GB" w:eastAsia="ja-JP"/>
    </w:rPr>
  </w:style>
  <w:style w:type="paragraph" w:styleId="BodyTextIndent">
    <w:name w:val="Body Text Indent"/>
    <w:basedOn w:val="Normal"/>
    <w:link w:val="BodyTextIndentChar"/>
    <w:pPr>
      <w:tabs>
        <w:tab w:val="clear" w:pos="720"/>
      </w:tabs>
      <w:spacing w:lineRule="atLeast" w:line="230" w:before="0" w:after="120"/>
      <w:ind w:hanging="0" w:start="283" w:end="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firstLine="210" w:start="0" w:end="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hanging="0" w:start="283" w:end="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hanging="0" w:start="283" w:end="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hanging="0" w:start="4252" w:end="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hanging="400" w:start="800" w:end="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Text">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hanging="0" w:start="2835" w:end="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start"/>
    </w:pPr>
    <w:rPr>
      <w:rFonts w:ascii="Arial" w:hAnsi="Arial" w:eastAsia="MS Mincho"/>
      <w:b/>
      <w:sz w:val="28"/>
      <w:szCs w:val="20"/>
      <w:lang w:val="en-GB" w:eastAsia="ja-JP"/>
    </w:rPr>
  </w:style>
  <w:style w:type="paragraph" w:styleId="ListBullet2">
    <w:name w:val="List Bullet 2"/>
    <w:basedOn w:val="Normal"/>
    <w:pPr>
      <w:tabs>
        <w:tab w:val="clear" w:pos="720"/>
      </w:tabs>
      <w:spacing w:lineRule="atLeast" w:line="230"/>
      <w:ind w:hanging="283" w:start="566" w:end="0"/>
    </w:pPr>
    <w:rPr>
      <w:rFonts w:ascii="Arial" w:hAnsi="Arial" w:eastAsia="MS Mincho"/>
      <w:sz w:val="20"/>
      <w:szCs w:val="20"/>
      <w:lang w:val="en-GB" w:eastAsia="ja-JP"/>
    </w:rPr>
  </w:style>
  <w:style w:type="paragraph" w:styleId="ListBullet4">
    <w:name w:val="List Bullet 4"/>
    <w:basedOn w:val="Normal"/>
    <w:pPr>
      <w:tabs>
        <w:tab w:val="clear" w:pos="720"/>
      </w:tabs>
      <w:spacing w:lineRule="atLeast" w:line="230"/>
      <w:ind w:hanging="283" w:start="1132" w:end="0"/>
    </w:pPr>
    <w:rPr>
      <w:rFonts w:ascii="Arial" w:hAnsi="Arial" w:eastAsia="MS Mincho"/>
      <w:sz w:val="20"/>
      <w:szCs w:val="20"/>
      <w:lang w:val="en-GB" w:eastAsia="ja-JP"/>
    </w:rPr>
  </w:style>
  <w:style w:type="paragraph" w:styleId="ListBullet5">
    <w:name w:val="List Bullet 5"/>
    <w:basedOn w:val="Normal"/>
    <w:pPr>
      <w:tabs>
        <w:tab w:val="clear" w:pos="720"/>
      </w:tabs>
      <w:spacing w:lineRule="atLeast" w:line="230"/>
      <w:ind w:hanging="283" w:start="1415" w:end="0"/>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1">
    <w:name w:val="List Bullet 21"/>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1">
    <w:name w:val="List Bullet 31"/>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1">
    <w:name w:val="List Bullet 41"/>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1">
    <w:name w:val="List Bullet 51"/>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hanging="0" w:start="1415" w:end="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hanging="1134" w:start="1134" w:end="0"/>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hanging="0" w:start="708" w:end="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Salutation">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hanging="0" w:start="4252" w:end="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TOC5">
    <w:name w:val="TOC 5"/>
    <w:basedOn w:val="TOC4"/>
    <w:next w:val="Normal"/>
    <w:pPr/>
    <w:rPr/>
  </w:style>
  <w:style w:type="paragraph" w:styleId="TOC6">
    <w:name w:val="TOC 6"/>
    <w:basedOn w:val="TOC4"/>
    <w:next w:val="Normal"/>
    <w:pPr>
      <w:tabs>
        <w:tab w:val="clear" w:pos="8176"/>
        <w:tab w:val="left" w:pos="1440" w:leader="none"/>
        <w:tab w:val="right" w:pos="9752" w:leader="dot"/>
      </w:tabs>
      <w:ind w:hanging="1440" w:start="1440" w:end="500"/>
    </w:pPr>
    <w:rPr/>
  </w:style>
  <w:style w:type="paragraph" w:styleId="TOC7">
    <w:name w:val="TOC 7"/>
    <w:basedOn w:val="TOC4"/>
    <w:next w:val="Normal"/>
    <w:pPr>
      <w:tabs>
        <w:tab w:val="clear" w:pos="8176"/>
        <w:tab w:val="left" w:pos="1440" w:leader="none"/>
        <w:tab w:val="right" w:pos="9752" w:leader="dot"/>
      </w:tabs>
      <w:ind w:hanging="1440" w:start="1440" w:end="500"/>
    </w:pPr>
    <w:rPr/>
  </w:style>
  <w:style w:type="paragraph" w:styleId="TOC8">
    <w:name w:val="TOC 8"/>
    <w:basedOn w:val="TOC4"/>
    <w:next w:val="Normal"/>
    <w:pPr>
      <w:tabs>
        <w:tab w:val="clear" w:pos="8176"/>
        <w:tab w:val="left" w:pos="1440" w:leader="none"/>
        <w:tab w:val="right" w:pos="9752" w:leader="dot"/>
      </w:tabs>
      <w:ind w:hanging="1440" w:start="1440" w:end="500"/>
    </w:pPr>
    <w:rPr/>
  </w:style>
  <w:style w:type="paragraph" w:styleId="TOC9">
    <w:name w:val="TOC 9"/>
    <w:basedOn w:val="TOC1"/>
    <w:next w:val="Normal"/>
    <w:pPr>
      <w:tabs>
        <w:tab w:val="clear" w:pos="9026"/>
        <w:tab w:val="right" w:pos="9752" w:leader="dot"/>
      </w:tabs>
      <w:spacing w:lineRule="atLeast" w:line="230"/>
      <w:ind w:hanging="0" w:start="0" w:end="50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end"/>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1"/>
    <w:qFormat/>
    <w:pPr/>
    <w:rPr/>
  </w:style>
  <w:style w:type="paragraph" w:styleId="index1">
    <w:name w:val="index 1"/>
    <w:basedOn w:val="Normal"/>
    <w:qFormat/>
    <w:pPr>
      <w:tabs>
        <w:tab w:val="clear" w:pos="720"/>
      </w:tabs>
      <w:spacing w:lineRule="atLeast" w:line="210" w:before="0" w:after="0"/>
      <w:ind w:hanging="142" w:start="142" w:end="0"/>
      <w:jc w:val="star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hanging="0" w:start="0" w:end="960"/>
      <w:jc w:val="star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star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start"/>
    </w:pPr>
    <w:rPr>
      <w:rFonts w:ascii="Courier New" w:hAnsi="Courier New" w:eastAsia="MS Mincho" w:cs="Courier New"/>
      <w:sz w:val="20"/>
      <w:szCs w:val="20"/>
      <w:lang w:eastAsia="ja-JP"/>
    </w:rPr>
  </w:style>
  <w:style w:type="paragraph" w:styleId="Caption11">
    <w:name w:val="Caption11"/>
    <w:basedOn w:val="Normal"/>
    <w:link w:val="Caption1Char"/>
    <w:qFormat/>
    <w:pPr>
      <w:tabs>
        <w:tab w:val="clear" w:pos="720"/>
      </w:tabs>
      <w:spacing w:lineRule="auto" w:line="240" w:before="280" w:after="280"/>
      <w:jc w:val="star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start"/>
    </w:pPr>
    <w:rPr>
      <w:rFonts w:ascii="Franklin Gothic Heavy" w:hAnsi="Franklin Gothic Heavy" w:eastAsia="MS Mincho"/>
      <w:sz w:val="72"/>
      <w:szCs w:val="72"/>
      <w:lang w:eastAsia="ja-JP"/>
    </w:rPr>
  </w:style>
  <w:style w:type="paragraph" w:styleId="heading11">
    <w:name w:val="heading1"/>
    <w:basedOn w:val="Normal"/>
    <w:qFormat/>
    <w:pPr>
      <w:tabs>
        <w:tab w:val="clear" w:pos="720"/>
      </w:tabs>
      <w:spacing w:lineRule="auto" w:line="240" w:before="280" w:after="280"/>
      <w:jc w:val="star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star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hanging="0" w:start="480" w:end="0"/>
      <w:jc w:val="star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star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hanging="0" w:start="480" w:end="0"/>
      <w:jc w:val="star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star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star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star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star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star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star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hanging="0" w:start="48" w:end="24"/>
      <w:jc w:val="star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hanging="1680" w:start="1680" w:end="960"/>
    </w:pPr>
    <w:rPr/>
  </w:style>
  <w:style w:type="paragraph" w:styleId="tinfo">
    <w:name w:val="tinfo"/>
    <w:basedOn w:val="Normal"/>
    <w:qFormat/>
    <w:pPr>
      <w:tabs>
        <w:tab w:val="clear" w:pos="720"/>
        <w:tab w:val="left" w:pos="5160" w:leader="none"/>
      </w:tabs>
      <w:spacing w:lineRule="atLeast" w:line="280" w:before="0" w:after="0"/>
      <w:jc w:val="star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star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hanging="0" w:start="0" w:end="0"/>
    </w:pPr>
    <w:rPr/>
  </w:style>
  <w:style w:type="paragraph" w:styleId="List1">
    <w:name w:val="List1"/>
    <w:basedOn w:val="1text"/>
    <w:qFormat/>
    <w:pPr>
      <w:spacing w:before="80" w:after="0"/>
      <w:ind w:hanging="280" w:start="280" w:end="960"/>
    </w:pPr>
    <w:rPr/>
  </w:style>
  <w:style w:type="paragraph" w:styleId="note1">
    <w:name w:val="note1"/>
    <w:basedOn w:val="Normal"/>
    <w:next w:val="1text"/>
    <w:qFormat/>
    <w:pPr>
      <w:keepLines/>
      <w:tabs>
        <w:tab w:val="clear" w:pos="720"/>
        <w:tab w:val="left" w:pos="360" w:leader="none"/>
      </w:tabs>
      <w:spacing w:before="160" w:after="0"/>
      <w:ind w:hanging="0" w:start="0" w:end="960"/>
      <w:jc w:val="star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
    <w:name w:val="list2"/>
    <w:basedOn w:val="List1"/>
    <w:qFormat/>
    <w:pPr>
      <w:tabs>
        <w:tab w:val="clear" w:pos="720"/>
        <w:tab w:val="left" w:pos="1440" w:leader="none"/>
        <w:tab w:val="left" w:pos="1700" w:leader="none"/>
      </w:tabs>
      <w:ind w:hanging="280" w:start="580" w:end="96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1"/>
    <w:basedOn w:val="1text"/>
    <w:qFormat/>
    <w:pPr>
      <w:keepNext w:val="true"/>
      <w:spacing w:before="240" w:after="0"/>
    </w:pPr>
    <w:rPr>
      <w:rFonts w:eastAsia="Times New Roman"/>
      <w:i/>
      <w:iCs/>
      <w:sz w:val="20"/>
      <w:lang w:eastAsia="en-US"/>
    </w:rPr>
  </w:style>
  <w:style w:type="paragraph" w:styleId="note11">
    <w:name w:val="note1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hanging="0" w:start="0" w:end="960"/>
      <w:jc w:val="star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start"/>
    </w:pPr>
    <w:rPr>
      <w:rFonts w:ascii="Times New Roman" w:hAnsi="Times New Roman" w:eastAsia="MS Mincho"/>
      <w:sz w:val="20"/>
      <w:szCs w:val="20"/>
      <w:lang w:eastAsia="ja-JP"/>
    </w:rPr>
  </w:style>
  <w:style w:type="paragraph" w:styleId="list3">
    <w:name w:val="list3"/>
    <w:basedOn w:val="list2"/>
    <w:qFormat/>
    <w:pPr>
      <w:tabs>
        <w:tab w:val="clear" w:pos="1440"/>
        <w:tab w:val="clear" w:pos="1700"/>
        <w:tab w:val="left" w:pos="620" w:leader="none"/>
      </w:tabs>
      <w:overflowPunct w:val="true"/>
      <w:ind w:hanging="0" w:start="300" w:end="96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hanging="360" w:start="360" w:end="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hanging="720" w:start="720" w:end="0"/>
    </w:pPr>
    <w:rPr>
      <w:rFonts w:cs="Arial"/>
      <w:bCs/>
      <w:szCs w:val="32"/>
      <w:lang w:val="en-GB"/>
    </w:rPr>
  </w:style>
  <w:style w:type="paragraph" w:styleId="Style11">
    <w:name w:val="Style1"/>
    <w:basedOn w:val="Normal"/>
    <w:autoRedefine/>
    <w:qFormat/>
    <w:pPr>
      <w:tabs>
        <w:tab w:val="clear" w:pos="720"/>
      </w:tabs>
      <w:spacing w:lineRule="auto" w:line="240" w:before="0" w:after="0"/>
      <w:jc w:val="star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star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star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star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star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star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hanging="360" w:start="720" w:end="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star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2"/>
    <w:basedOn w:val="NormalWeb"/>
    <w:link w:val="NOTEChar"/>
    <w:qFormat/>
    <w:pPr>
      <w:ind w:hanging="900" w:start="900" w:end="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LibreOffice/24.2.5.2$Linux_X86_64 LibreOffice_project/420$Build-2</Application>
  <AppVersion>15.0000</AppVersion>
  <Pages>4</Pages>
  <Words>767</Words>
  <Characters>4469</Characters>
  <CharactersWithSpaces>5176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Liam Quin</cp:lastModifiedBy>
  <cp:lastPrinted>2024-10-30T17:43:45Z</cp:lastPrinted>
  <dcterms:modified xsi:type="dcterms:W3CDTF">2024-10-30T17:43:31Z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