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450"/>
        <w:gridCol w:w="1890"/>
      </w:tblGrid>
      <w:tr w:rsidR="004E1A37" w:rsidRPr="0023041B">
        <w:trPr>
          <w:cantSplit/>
          <w:trHeight w:val="1261"/>
        </w:trPr>
        <w:tc>
          <w:tcPr>
            <w:tcW w:w="7450" w:type="dxa"/>
          </w:tcPr>
          <w:p w:rsidR="004E1A37" w:rsidRPr="0023041B" w:rsidRDefault="004E1A37">
            <w:pPr>
              <w:pStyle w:val="Plattetekst"/>
              <w:spacing w:before="0"/>
              <w:jc w:val="center"/>
              <w:rPr>
                <w:caps/>
                <w:lang w:val="nl-BE"/>
              </w:rPr>
            </w:pPr>
          </w:p>
          <w:p w:rsidR="004E1A37" w:rsidRPr="0023041B" w:rsidRDefault="00C11327">
            <w:pPr>
              <w:pStyle w:val="Plattetekst"/>
              <w:spacing w:before="0"/>
              <w:jc w:val="center"/>
              <w:rPr>
                <w:rFonts w:ascii="Arial" w:hAnsi="Arial" w:cs="Arial"/>
                <w:caps/>
                <w:lang w:val="nl-BE"/>
              </w:rPr>
            </w:pPr>
            <w:r w:rsidRPr="0023041B">
              <w:rPr>
                <w:rFonts w:ascii="Arial" w:hAnsi="Arial" w:cs="Arial"/>
                <w:caps/>
                <w:lang w:val="nl-BE"/>
              </w:rPr>
              <w:t>RIJKSDIENST VOOR SOCIALE ZEKERHEID</w:t>
            </w:r>
          </w:p>
          <w:p w:rsidR="004E1A37" w:rsidRPr="0023041B" w:rsidRDefault="00C11327">
            <w:pPr>
              <w:pStyle w:val="Plattetekst"/>
              <w:spacing w:before="0"/>
              <w:jc w:val="center"/>
              <w:rPr>
                <w:rFonts w:ascii="Arial" w:hAnsi="Arial" w:cs="Arial"/>
                <w:lang w:val="nl-BE"/>
              </w:rPr>
            </w:pPr>
            <w:r w:rsidRPr="0023041B">
              <w:rPr>
                <w:rFonts w:ascii="Arial" w:hAnsi="Arial" w:cs="Arial"/>
                <w:lang w:val="nl-BE"/>
              </w:rPr>
              <w:t xml:space="preserve">Algemene </w:t>
            </w:r>
            <w:r w:rsidR="00A17CE8" w:rsidRPr="0023041B">
              <w:rPr>
                <w:rFonts w:ascii="Arial" w:hAnsi="Arial" w:cs="Arial"/>
                <w:lang w:val="nl-BE"/>
              </w:rPr>
              <w:t>Directi</w:t>
            </w:r>
            <w:r w:rsidRPr="0023041B">
              <w:rPr>
                <w:rFonts w:ascii="Arial" w:hAnsi="Arial" w:cs="Arial"/>
                <w:lang w:val="nl-BE"/>
              </w:rPr>
              <w:t>e van de Juridische Diensten</w:t>
            </w:r>
          </w:p>
          <w:p w:rsidR="004E1A37" w:rsidRPr="0023041B" w:rsidRDefault="00A17CE8" w:rsidP="00C11327">
            <w:pPr>
              <w:pStyle w:val="Plattetekst"/>
              <w:spacing w:before="0"/>
              <w:jc w:val="center"/>
              <w:rPr>
                <w:caps/>
                <w:lang w:val="nl-BE"/>
              </w:rPr>
            </w:pPr>
            <w:r w:rsidRPr="0023041B">
              <w:rPr>
                <w:rFonts w:ascii="Arial" w:hAnsi="Arial" w:cs="Arial"/>
                <w:b w:val="0"/>
                <w:lang w:val="nl-BE"/>
              </w:rPr>
              <w:t>Directi</w:t>
            </w:r>
            <w:r w:rsidR="00C11327" w:rsidRPr="0023041B">
              <w:rPr>
                <w:rFonts w:ascii="Arial" w:hAnsi="Arial" w:cs="Arial"/>
                <w:b w:val="0"/>
                <w:lang w:val="nl-BE"/>
              </w:rPr>
              <w:t>e Beleidsondersteuning</w:t>
            </w:r>
          </w:p>
        </w:tc>
        <w:tc>
          <w:tcPr>
            <w:tcW w:w="1890" w:type="dxa"/>
          </w:tcPr>
          <w:p w:rsidR="004E1A37" w:rsidRPr="0023041B" w:rsidRDefault="004E1A37">
            <w:pPr>
              <w:pStyle w:val="Plattetekst"/>
              <w:spacing w:before="0"/>
              <w:jc w:val="center"/>
              <w:rPr>
                <w:b w:val="0"/>
                <w:sz w:val="18"/>
                <w:lang w:val="nl-BE"/>
              </w:rPr>
            </w:pPr>
          </w:p>
          <w:p w:rsidR="004E1A37" w:rsidRPr="0023041B" w:rsidRDefault="00A17CE8">
            <w:pPr>
              <w:pStyle w:val="Plattetekst"/>
              <w:spacing w:before="0"/>
              <w:jc w:val="center"/>
              <w:rPr>
                <w:caps/>
                <w:lang w:val="nl-BE"/>
              </w:rPr>
            </w:pPr>
            <w:r w:rsidRPr="0023041B">
              <w:rPr>
                <w:b w:val="0"/>
                <w:noProof/>
                <w:lang w:val="nl-BE" w:eastAsia="nl-BE"/>
              </w:rPr>
              <w:drawing>
                <wp:inline distT="0" distB="0" distL="0" distR="0" wp14:anchorId="7E589F6F" wp14:editId="28E967C7">
                  <wp:extent cx="884555" cy="622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555" cy="622300"/>
                          </a:xfrm>
                          <a:prstGeom prst="rect">
                            <a:avLst/>
                          </a:prstGeom>
                          <a:noFill/>
                          <a:ln>
                            <a:noFill/>
                          </a:ln>
                        </pic:spPr>
                      </pic:pic>
                    </a:graphicData>
                  </a:graphic>
                </wp:inline>
              </w:drawing>
            </w:r>
          </w:p>
        </w:tc>
      </w:tr>
    </w:tbl>
    <w:p w:rsidR="004E1A37" w:rsidRPr="00034D92" w:rsidRDefault="004E1A37">
      <w:pPr>
        <w:pStyle w:val="Plattetekst"/>
        <w:spacing w:before="0"/>
        <w:jc w:val="center"/>
        <w:rPr>
          <w:rFonts w:asciiTheme="minorHAnsi" w:hAnsiTheme="minorHAnsi"/>
          <w:lang w:val="nl-BE"/>
        </w:rPr>
      </w:pPr>
    </w:p>
    <w:p w:rsidR="004E1A37" w:rsidRPr="00610E5E" w:rsidRDefault="00C11327" w:rsidP="00C11327">
      <w:pPr>
        <w:pStyle w:val="Plattetekst"/>
        <w:spacing w:before="0"/>
        <w:jc w:val="right"/>
        <w:rPr>
          <w:rFonts w:asciiTheme="minorHAnsi" w:hAnsiTheme="minorHAnsi" w:cs="Arial"/>
          <w:b w:val="0"/>
          <w:sz w:val="22"/>
          <w:szCs w:val="22"/>
          <w:lang w:val="nl-BE"/>
        </w:rPr>
      </w:pPr>
      <w:r w:rsidRPr="00610E5E">
        <w:rPr>
          <w:rFonts w:asciiTheme="minorHAnsi" w:hAnsiTheme="minorHAnsi" w:cs="Arial"/>
          <w:b w:val="0"/>
          <w:sz w:val="22"/>
          <w:szCs w:val="22"/>
          <w:lang w:val="nl-BE"/>
        </w:rPr>
        <w:t xml:space="preserve">Brussel, </w:t>
      </w:r>
      <w:r w:rsidR="00610E5E" w:rsidRPr="00610E5E">
        <w:rPr>
          <w:rFonts w:asciiTheme="minorHAnsi" w:hAnsiTheme="minorHAnsi" w:cs="Arial"/>
          <w:b w:val="0"/>
          <w:sz w:val="22"/>
          <w:szCs w:val="22"/>
          <w:lang w:val="nl-BE"/>
        </w:rPr>
        <w:t>18 juni 2020</w:t>
      </w:r>
    </w:p>
    <w:p w:rsidR="004E1A37" w:rsidRPr="00800BA3" w:rsidRDefault="004E1A37">
      <w:pPr>
        <w:rPr>
          <w:rFonts w:asciiTheme="minorHAnsi" w:hAnsiTheme="minorHAnsi" w:cs="Arial"/>
          <w:sz w:val="22"/>
          <w:szCs w:val="22"/>
          <w:lang w:val="nl-BE"/>
        </w:rPr>
      </w:pPr>
    </w:p>
    <w:p w:rsidR="004E1A37" w:rsidRPr="00800BA3" w:rsidRDefault="004E1A37">
      <w:pPr>
        <w:rPr>
          <w:rFonts w:asciiTheme="minorHAnsi" w:hAnsiTheme="minorHAnsi" w:cs="Arial"/>
          <w:sz w:val="22"/>
          <w:szCs w:val="22"/>
          <w:lang w:val="nl-BE"/>
        </w:rPr>
      </w:pPr>
    </w:p>
    <w:p w:rsidR="004E1A37" w:rsidRPr="00800BA3" w:rsidRDefault="00C11327">
      <w:pPr>
        <w:rPr>
          <w:rFonts w:asciiTheme="minorHAnsi" w:hAnsiTheme="minorHAnsi" w:cs="Arial"/>
          <w:sz w:val="22"/>
          <w:szCs w:val="22"/>
          <w:lang w:val="nl-BE"/>
        </w:rPr>
      </w:pPr>
      <w:r w:rsidRPr="00800BA3">
        <w:rPr>
          <w:rFonts w:asciiTheme="minorHAnsi" w:hAnsiTheme="minorHAnsi" w:cs="Arial"/>
          <w:sz w:val="22"/>
          <w:szCs w:val="22"/>
          <w:lang w:val="nl-BE"/>
        </w:rPr>
        <w:t>O. re</w:t>
      </w:r>
      <w:r w:rsidR="004E1A37" w:rsidRPr="00800BA3">
        <w:rPr>
          <w:rFonts w:asciiTheme="minorHAnsi" w:hAnsiTheme="minorHAnsi" w:cs="Arial"/>
          <w:sz w:val="22"/>
          <w:szCs w:val="22"/>
          <w:lang w:val="nl-BE"/>
        </w:rPr>
        <w:t>f.</w:t>
      </w:r>
      <w:r w:rsidR="00F351BE" w:rsidRPr="00800BA3">
        <w:rPr>
          <w:rFonts w:asciiTheme="minorHAnsi" w:hAnsiTheme="minorHAnsi" w:cs="Arial"/>
          <w:sz w:val="22"/>
          <w:szCs w:val="22"/>
          <w:lang w:val="nl-BE"/>
        </w:rPr>
        <w:t> </w:t>
      </w:r>
      <w:r w:rsidR="004E1A37" w:rsidRPr="00800BA3">
        <w:rPr>
          <w:rFonts w:asciiTheme="minorHAnsi" w:hAnsiTheme="minorHAnsi" w:cs="Arial"/>
          <w:sz w:val="22"/>
          <w:szCs w:val="22"/>
          <w:lang w:val="nl-BE"/>
        </w:rPr>
        <w:t xml:space="preserve">: </w:t>
      </w:r>
      <w:r w:rsidR="00A17CE8" w:rsidRPr="00800BA3">
        <w:rPr>
          <w:rFonts w:asciiTheme="minorHAnsi" w:hAnsiTheme="minorHAnsi" w:cs="Arial"/>
          <w:sz w:val="22"/>
          <w:szCs w:val="22"/>
          <w:lang w:val="nl-BE"/>
        </w:rPr>
        <w:t>DGIV</w:t>
      </w:r>
      <w:r w:rsidR="00A42A39" w:rsidRPr="00800BA3">
        <w:rPr>
          <w:rFonts w:asciiTheme="minorHAnsi" w:hAnsiTheme="minorHAnsi" w:cs="Arial"/>
          <w:sz w:val="22"/>
          <w:szCs w:val="22"/>
          <w:lang w:val="nl-BE"/>
        </w:rPr>
        <w:t>/4444</w:t>
      </w:r>
      <w:r w:rsidR="004E1A37" w:rsidRPr="00800BA3">
        <w:rPr>
          <w:rFonts w:asciiTheme="minorHAnsi" w:hAnsiTheme="minorHAnsi" w:cs="Arial"/>
          <w:sz w:val="22"/>
          <w:szCs w:val="22"/>
          <w:lang w:val="nl-BE"/>
        </w:rPr>
        <w:t>/</w:t>
      </w:r>
      <w:r w:rsidR="00764734" w:rsidRPr="00800BA3">
        <w:rPr>
          <w:rFonts w:asciiTheme="minorHAnsi" w:hAnsiTheme="minorHAnsi" w:cs="Arial"/>
          <w:sz w:val="22"/>
          <w:szCs w:val="22"/>
          <w:lang w:val="nl-BE"/>
        </w:rPr>
        <w:t>V0</w:t>
      </w:r>
      <w:r w:rsidR="00334AD5" w:rsidRPr="00800BA3">
        <w:rPr>
          <w:rFonts w:asciiTheme="minorHAnsi" w:hAnsiTheme="minorHAnsi" w:cs="Arial"/>
          <w:sz w:val="22"/>
          <w:szCs w:val="22"/>
          <w:lang w:val="nl-BE"/>
        </w:rPr>
        <w:t>792.</w:t>
      </w:r>
      <w:r w:rsidR="00193CCE" w:rsidRPr="00800BA3">
        <w:rPr>
          <w:rFonts w:asciiTheme="minorHAnsi" w:hAnsiTheme="minorHAnsi" w:cs="Arial"/>
          <w:sz w:val="22"/>
          <w:szCs w:val="22"/>
          <w:lang w:val="nl-BE"/>
        </w:rPr>
        <w:t>94.06</w:t>
      </w:r>
    </w:p>
    <w:p w:rsidR="004E1A37" w:rsidRPr="00034D92" w:rsidRDefault="0099053D">
      <w:pPr>
        <w:rPr>
          <w:rFonts w:asciiTheme="minorHAnsi" w:hAnsiTheme="minorHAnsi" w:cs="Arial"/>
          <w:sz w:val="22"/>
          <w:szCs w:val="22"/>
          <w:lang w:val="nl-BE"/>
        </w:rPr>
      </w:pPr>
      <w:r w:rsidRPr="00034D92">
        <w:rPr>
          <w:rFonts w:asciiTheme="minorHAnsi" w:hAnsiTheme="minorHAnsi" w:cs="Arial"/>
          <w:sz w:val="22"/>
          <w:szCs w:val="22"/>
          <w:lang w:val="nl-BE"/>
        </w:rPr>
        <w:t>Contactpersoon</w:t>
      </w:r>
      <w:r w:rsidR="004E1A37" w:rsidRPr="00034D92">
        <w:rPr>
          <w:rFonts w:asciiTheme="minorHAnsi" w:hAnsiTheme="minorHAnsi" w:cs="Arial"/>
          <w:sz w:val="22"/>
          <w:szCs w:val="22"/>
          <w:lang w:val="nl-BE"/>
        </w:rPr>
        <w:t xml:space="preserve"> : </w:t>
      </w:r>
      <w:r w:rsidR="00DB0567" w:rsidRPr="00034D92">
        <w:rPr>
          <w:rFonts w:asciiTheme="minorHAnsi" w:hAnsiTheme="minorHAnsi" w:cs="Arial"/>
          <w:sz w:val="22"/>
          <w:szCs w:val="22"/>
          <w:lang w:val="nl-BE"/>
        </w:rPr>
        <w:t>Hilde Delsupehe</w:t>
      </w:r>
    </w:p>
    <w:p w:rsidR="004E1A37" w:rsidRPr="00034D92" w:rsidRDefault="004E1A37">
      <w:pPr>
        <w:rPr>
          <w:rFonts w:asciiTheme="minorHAnsi" w:hAnsiTheme="minorHAnsi" w:cs="Arial"/>
          <w:sz w:val="22"/>
          <w:szCs w:val="22"/>
          <w:lang w:val="nl-BE"/>
        </w:rPr>
      </w:pPr>
    </w:p>
    <w:p w:rsidR="004E1A37" w:rsidRPr="0023041B" w:rsidRDefault="004E1A37">
      <w:pPr>
        <w:pStyle w:val="Plattetekst"/>
        <w:spacing w:before="0"/>
        <w:jc w:val="both"/>
        <w:rPr>
          <w:rFonts w:asciiTheme="minorHAnsi" w:hAnsiTheme="minorHAnsi" w:cs="Arial"/>
          <w:sz w:val="22"/>
          <w:szCs w:val="22"/>
          <w:lang w:val="nl-BE"/>
        </w:rPr>
      </w:pPr>
    </w:p>
    <w:tbl>
      <w:tblPr>
        <w:tblW w:w="0" w:type="auto"/>
        <w:tblInd w:w="160" w:type="dxa"/>
        <w:tblLayout w:type="fixed"/>
        <w:tblCellMar>
          <w:left w:w="70" w:type="dxa"/>
          <w:right w:w="70" w:type="dxa"/>
        </w:tblCellMar>
        <w:tblLook w:val="0000" w:firstRow="0" w:lastRow="0" w:firstColumn="0" w:lastColumn="0" w:noHBand="0" w:noVBand="0"/>
      </w:tblPr>
      <w:tblGrid>
        <w:gridCol w:w="1186"/>
        <w:gridCol w:w="284"/>
        <w:gridCol w:w="7350"/>
      </w:tblGrid>
      <w:tr w:rsidR="004E1A37" w:rsidRPr="0023041B" w:rsidTr="0099053D">
        <w:tc>
          <w:tcPr>
            <w:tcW w:w="1186" w:type="dxa"/>
          </w:tcPr>
          <w:p w:rsidR="004E1A37" w:rsidRPr="0023041B" w:rsidRDefault="0099053D">
            <w:pPr>
              <w:rPr>
                <w:rFonts w:asciiTheme="minorHAnsi" w:hAnsiTheme="minorHAnsi" w:cs="Arial"/>
                <w:b/>
                <w:sz w:val="22"/>
                <w:szCs w:val="22"/>
                <w:u w:val="single"/>
                <w:lang w:val="nl-BE"/>
              </w:rPr>
            </w:pPr>
            <w:r w:rsidRPr="0023041B">
              <w:rPr>
                <w:rFonts w:asciiTheme="minorHAnsi" w:hAnsiTheme="minorHAnsi" w:cs="Arial"/>
                <w:b/>
                <w:sz w:val="22"/>
                <w:szCs w:val="22"/>
                <w:u w:val="single"/>
                <w:lang w:val="nl-BE"/>
              </w:rPr>
              <w:t>Betreft</w:t>
            </w:r>
            <w:r w:rsidR="004E1A37" w:rsidRPr="0023041B">
              <w:rPr>
                <w:rFonts w:asciiTheme="minorHAnsi" w:hAnsiTheme="minorHAnsi" w:cs="Arial"/>
                <w:sz w:val="22"/>
                <w:szCs w:val="22"/>
                <w:lang w:val="nl-BE"/>
              </w:rPr>
              <w:t xml:space="preserve"> :</w:t>
            </w:r>
          </w:p>
        </w:tc>
        <w:tc>
          <w:tcPr>
            <w:tcW w:w="284" w:type="dxa"/>
          </w:tcPr>
          <w:p w:rsidR="004E1A37" w:rsidRPr="0023041B" w:rsidRDefault="004E1A37">
            <w:pPr>
              <w:rPr>
                <w:rFonts w:asciiTheme="minorHAnsi" w:hAnsiTheme="minorHAnsi" w:cs="Arial"/>
                <w:sz w:val="22"/>
                <w:szCs w:val="22"/>
                <w:lang w:val="nl-BE"/>
              </w:rPr>
            </w:pPr>
            <w:r w:rsidRPr="0023041B">
              <w:rPr>
                <w:rFonts w:asciiTheme="minorHAnsi" w:hAnsiTheme="minorHAnsi" w:cs="Arial"/>
                <w:sz w:val="22"/>
                <w:szCs w:val="22"/>
                <w:lang w:val="nl-BE"/>
              </w:rPr>
              <w:t>-</w:t>
            </w:r>
          </w:p>
        </w:tc>
        <w:tc>
          <w:tcPr>
            <w:tcW w:w="7350" w:type="dxa"/>
          </w:tcPr>
          <w:p w:rsidR="004E1A37" w:rsidRPr="0023041B" w:rsidRDefault="00193CCE" w:rsidP="00CE3C1D">
            <w:pPr>
              <w:jc w:val="both"/>
              <w:rPr>
                <w:rFonts w:asciiTheme="minorHAnsi" w:hAnsiTheme="minorHAnsi" w:cs="Arial"/>
                <w:sz w:val="22"/>
                <w:szCs w:val="22"/>
                <w:lang w:val="nl-BE"/>
              </w:rPr>
            </w:pPr>
            <w:r>
              <w:rPr>
                <w:rFonts w:asciiTheme="minorHAnsi" w:hAnsiTheme="minorHAnsi" w:cs="Arial"/>
                <w:sz w:val="22"/>
                <w:szCs w:val="22"/>
                <w:lang w:val="nl-BE"/>
              </w:rPr>
              <w:t>Taalwetgeving en e-Box</w:t>
            </w:r>
          </w:p>
        </w:tc>
      </w:tr>
    </w:tbl>
    <w:p w:rsidR="004E1A37" w:rsidRPr="0023041B" w:rsidRDefault="004E1A37" w:rsidP="00654C0B">
      <w:pPr>
        <w:jc w:val="both"/>
        <w:rPr>
          <w:rFonts w:asciiTheme="minorHAnsi" w:hAnsiTheme="minorHAnsi" w:cs="Arial"/>
          <w:sz w:val="22"/>
          <w:szCs w:val="22"/>
          <w:lang w:val="nl-BE"/>
        </w:rPr>
      </w:pPr>
    </w:p>
    <w:p w:rsidR="00FE5F0D" w:rsidRDefault="00FE5F0D">
      <w:pPr>
        <w:jc w:val="both"/>
        <w:rPr>
          <w:rFonts w:asciiTheme="minorHAnsi" w:hAnsiTheme="minorHAnsi" w:cs="Arial"/>
          <w:sz w:val="22"/>
          <w:szCs w:val="22"/>
          <w:lang w:val="nl-BE"/>
        </w:rPr>
      </w:pPr>
    </w:p>
    <w:p w:rsidR="00800BA3" w:rsidRPr="00800BA3" w:rsidRDefault="00800BA3" w:rsidP="00800BA3">
      <w:pPr>
        <w:jc w:val="both"/>
        <w:rPr>
          <w:rFonts w:asciiTheme="minorHAnsi" w:hAnsiTheme="minorHAnsi" w:cs="Arial"/>
          <w:sz w:val="22"/>
          <w:szCs w:val="22"/>
          <w:lang w:val="nl-BE"/>
        </w:rPr>
      </w:pPr>
      <w:r w:rsidRPr="00800BA3">
        <w:rPr>
          <w:rFonts w:asciiTheme="minorHAnsi" w:hAnsiTheme="minorHAnsi" w:cs="Arial"/>
          <w:b/>
          <w:i/>
          <w:sz w:val="22"/>
          <w:szCs w:val="22"/>
          <w:lang w:val="nl-BE"/>
        </w:rPr>
        <w:t>Algemeen opzet van de SWT</w:t>
      </w:r>
      <w:r w:rsidRPr="00800BA3">
        <w:rPr>
          <w:rStyle w:val="Voetnootmarkering"/>
          <w:rFonts w:asciiTheme="minorHAnsi" w:hAnsiTheme="minorHAnsi" w:cs="Arial"/>
          <w:i/>
          <w:sz w:val="22"/>
          <w:szCs w:val="22"/>
          <w:lang w:val="nl-BE"/>
        </w:rPr>
        <w:footnoteReference w:id="1"/>
      </w:r>
    </w:p>
    <w:p w:rsidR="00800BA3" w:rsidRDefault="00800BA3">
      <w:pPr>
        <w:jc w:val="both"/>
        <w:rPr>
          <w:rFonts w:asciiTheme="minorHAnsi" w:hAnsiTheme="minorHAnsi" w:cs="Arial"/>
          <w:sz w:val="22"/>
          <w:szCs w:val="22"/>
          <w:lang w:val="nl-BE"/>
        </w:rPr>
      </w:pPr>
    </w:p>
    <w:p w:rsidR="00800BA3" w:rsidRPr="00800BA3" w:rsidRDefault="00800BA3" w:rsidP="00800BA3">
      <w:pPr>
        <w:jc w:val="both"/>
        <w:rPr>
          <w:rFonts w:asciiTheme="minorHAnsi" w:hAnsiTheme="minorHAnsi" w:cs="Arial"/>
          <w:sz w:val="22"/>
          <w:szCs w:val="22"/>
          <w:lang w:val="nl-NL"/>
        </w:rPr>
      </w:pPr>
      <w:r w:rsidRPr="00800BA3">
        <w:rPr>
          <w:rFonts w:asciiTheme="minorHAnsi" w:hAnsiTheme="minorHAnsi" w:cs="Arial"/>
          <w:sz w:val="22"/>
          <w:szCs w:val="22"/>
          <w:lang w:val="nl-NL"/>
        </w:rPr>
        <w:t>De SWT willen enerzijds de homogeniteit van de eentalige gebieden verstevigen en anderzijds, in sommige gevallen, uitdrukkelijk faciliteiten toekennen aan de taalminderheden van sommige gemeenten.</w:t>
      </w:r>
      <w:r w:rsidRPr="00800BA3">
        <w:rPr>
          <w:rFonts w:asciiTheme="minorHAnsi" w:hAnsiTheme="minorHAnsi" w:cs="Arial"/>
          <w:sz w:val="22"/>
          <w:szCs w:val="22"/>
          <w:vertAlign w:val="superscript"/>
          <w:lang w:val="nl-NL"/>
        </w:rPr>
        <w:footnoteReference w:id="2"/>
      </w:r>
      <w:r w:rsidR="00ED7FA2">
        <w:rPr>
          <w:rFonts w:asciiTheme="minorHAnsi" w:hAnsiTheme="minorHAnsi" w:cs="Arial"/>
          <w:sz w:val="22"/>
          <w:szCs w:val="22"/>
          <w:lang w:val="nl-NL"/>
        </w:rPr>
        <w:t xml:space="preserve"> </w:t>
      </w:r>
      <w:r w:rsidR="00434336" w:rsidRPr="00434336">
        <w:rPr>
          <w:rFonts w:asciiTheme="minorHAnsi" w:hAnsiTheme="minorHAnsi" w:cs="Arial"/>
          <w:sz w:val="22"/>
          <w:szCs w:val="22"/>
          <w:lang w:val="nl-BE"/>
        </w:rPr>
        <w:t>Uit de voorbereidende werkzaamheden van de SWT blijkt duidelijk dat één van de bedoelingen van de wetgever van 1963 was om de taalhomogeniteit van de eentalige gebieden te behouden en zelfs te versterken.</w:t>
      </w:r>
      <w:r w:rsidR="00434336">
        <w:rPr>
          <w:rStyle w:val="Voetnootmarkering"/>
          <w:rFonts w:asciiTheme="minorHAnsi" w:hAnsiTheme="minorHAnsi" w:cs="Arial"/>
          <w:sz w:val="22"/>
          <w:szCs w:val="22"/>
          <w:lang w:val="nl-BE"/>
        </w:rPr>
        <w:footnoteReference w:id="3"/>
      </w:r>
    </w:p>
    <w:p w:rsidR="00800BA3" w:rsidRDefault="00800BA3">
      <w:pPr>
        <w:jc w:val="both"/>
        <w:rPr>
          <w:rFonts w:asciiTheme="minorHAnsi" w:hAnsiTheme="minorHAnsi" w:cs="Arial"/>
          <w:sz w:val="22"/>
          <w:szCs w:val="22"/>
          <w:lang w:val="nl-BE"/>
        </w:rPr>
      </w:pPr>
    </w:p>
    <w:p w:rsidR="00434336" w:rsidRPr="0023041B" w:rsidRDefault="00434336">
      <w:pPr>
        <w:jc w:val="both"/>
        <w:rPr>
          <w:rFonts w:asciiTheme="minorHAnsi" w:hAnsiTheme="minorHAnsi" w:cs="Arial"/>
          <w:sz w:val="22"/>
          <w:szCs w:val="22"/>
          <w:lang w:val="nl-BE"/>
        </w:rPr>
      </w:pPr>
    </w:p>
    <w:p w:rsidR="00334AD5" w:rsidRPr="00334AD5" w:rsidRDefault="00334AD5" w:rsidP="00334AD5">
      <w:pPr>
        <w:jc w:val="both"/>
        <w:rPr>
          <w:rFonts w:asciiTheme="minorHAnsi" w:hAnsiTheme="minorHAnsi" w:cs="Arial"/>
          <w:b/>
          <w:i/>
          <w:sz w:val="22"/>
          <w:szCs w:val="22"/>
          <w:lang w:val="nl-BE"/>
        </w:rPr>
      </w:pPr>
      <w:r w:rsidRPr="00334AD5">
        <w:rPr>
          <w:rFonts w:asciiTheme="minorHAnsi" w:hAnsiTheme="minorHAnsi" w:cs="Arial"/>
          <w:b/>
          <w:i/>
          <w:sz w:val="22"/>
          <w:szCs w:val="22"/>
          <w:lang w:val="nl-BE"/>
        </w:rPr>
        <w:t xml:space="preserve">De algemene regel </w:t>
      </w:r>
      <w:r w:rsidR="00800BA3">
        <w:rPr>
          <w:rFonts w:asciiTheme="minorHAnsi" w:hAnsiTheme="minorHAnsi" w:cs="Arial"/>
          <w:b/>
          <w:i/>
          <w:sz w:val="22"/>
          <w:szCs w:val="22"/>
          <w:lang w:val="nl-BE"/>
        </w:rPr>
        <w:t>voor de centrale diensten</w:t>
      </w:r>
      <w:r w:rsidR="00800BA3" w:rsidRPr="00800BA3">
        <w:rPr>
          <w:rStyle w:val="Voetnootmarkering"/>
          <w:rFonts w:asciiTheme="minorHAnsi" w:hAnsiTheme="minorHAnsi" w:cs="Arial"/>
          <w:i/>
          <w:sz w:val="22"/>
          <w:szCs w:val="22"/>
          <w:lang w:val="nl-BE"/>
        </w:rPr>
        <w:footnoteReference w:id="4"/>
      </w:r>
      <w:r w:rsidR="00800BA3">
        <w:rPr>
          <w:rFonts w:asciiTheme="minorHAnsi" w:hAnsiTheme="minorHAnsi" w:cs="Arial"/>
          <w:b/>
          <w:i/>
          <w:sz w:val="22"/>
          <w:szCs w:val="22"/>
          <w:lang w:val="nl-BE"/>
        </w:rPr>
        <w:t xml:space="preserve"> </w:t>
      </w:r>
      <w:r w:rsidRPr="00334AD5">
        <w:rPr>
          <w:rFonts w:asciiTheme="minorHAnsi" w:hAnsiTheme="minorHAnsi" w:cs="Arial"/>
          <w:b/>
          <w:i/>
          <w:sz w:val="22"/>
          <w:szCs w:val="22"/>
          <w:lang w:val="nl-BE"/>
        </w:rPr>
        <w:t>is:</w:t>
      </w:r>
    </w:p>
    <w:p w:rsidR="00334AD5" w:rsidRPr="00334AD5" w:rsidRDefault="00334AD5" w:rsidP="00334AD5">
      <w:pPr>
        <w:jc w:val="both"/>
        <w:rPr>
          <w:rFonts w:asciiTheme="minorHAnsi" w:hAnsiTheme="minorHAnsi" w:cs="Arial"/>
          <w:sz w:val="22"/>
          <w:szCs w:val="22"/>
          <w:lang w:val="nl-BE"/>
        </w:rPr>
      </w:pPr>
    </w:p>
    <w:p w:rsidR="00334AD5" w:rsidRPr="00334AD5" w:rsidRDefault="00334AD5" w:rsidP="00334AD5">
      <w:pPr>
        <w:jc w:val="both"/>
        <w:rPr>
          <w:rFonts w:asciiTheme="minorHAnsi" w:hAnsiTheme="minorHAnsi" w:cs="Arial"/>
          <w:sz w:val="22"/>
          <w:szCs w:val="22"/>
          <w:lang w:val="nl-BE"/>
        </w:rPr>
      </w:pPr>
      <w:r w:rsidRPr="00334AD5">
        <w:rPr>
          <w:rFonts w:asciiTheme="minorHAnsi" w:hAnsiTheme="minorHAnsi" w:cs="Arial"/>
          <w:sz w:val="22"/>
          <w:szCs w:val="22"/>
          <w:lang w:val="nl-BE"/>
        </w:rPr>
        <w:t>De centrale dienst maakt voor zijn betrekkingen</w:t>
      </w:r>
      <w:r w:rsidR="00B9303E">
        <w:rPr>
          <w:rStyle w:val="Voetnootmarkering"/>
          <w:rFonts w:asciiTheme="minorHAnsi" w:hAnsiTheme="minorHAnsi" w:cs="Arial"/>
          <w:sz w:val="22"/>
          <w:szCs w:val="22"/>
          <w:lang w:val="nl-BE"/>
        </w:rPr>
        <w:footnoteReference w:id="5"/>
      </w:r>
      <w:r w:rsidRPr="00334AD5">
        <w:rPr>
          <w:rFonts w:asciiTheme="minorHAnsi" w:hAnsiTheme="minorHAnsi" w:cs="Arial"/>
          <w:sz w:val="22"/>
          <w:szCs w:val="22"/>
          <w:lang w:val="nl-BE"/>
        </w:rPr>
        <w:t xml:space="preserve"> met particulieren</w:t>
      </w:r>
      <w:r w:rsidRPr="00334AD5">
        <w:rPr>
          <w:rFonts w:asciiTheme="minorHAnsi" w:hAnsiTheme="minorHAnsi" w:cs="Arial"/>
          <w:sz w:val="22"/>
          <w:szCs w:val="22"/>
          <w:vertAlign w:val="superscript"/>
          <w:lang w:val="nl-BE"/>
        </w:rPr>
        <w:footnoteReference w:id="6"/>
      </w:r>
      <w:r w:rsidRPr="00334AD5">
        <w:rPr>
          <w:rFonts w:asciiTheme="minorHAnsi" w:hAnsiTheme="minorHAnsi" w:cs="Arial"/>
          <w:sz w:val="22"/>
          <w:szCs w:val="22"/>
          <w:lang w:val="nl-BE"/>
        </w:rPr>
        <w:t xml:space="preserve"> gebruik van de landstaal gekozen door de betrokkene. Wanneer die taal niet bekend is, bestaat het weerlegbaar vermoeden</w:t>
      </w:r>
      <w:r w:rsidRPr="00334AD5">
        <w:rPr>
          <w:rFonts w:asciiTheme="minorHAnsi" w:hAnsiTheme="minorHAnsi" w:cs="Arial"/>
          <w:i/>
          <w:iCs/>
          <w:sz w:val="22"/>
          <w:szCs w:val="22"/>
          <w:lang w:val="nl-BE"/>
        </w:rPr>
        <w:t xml:space="preserve"> </w:t>
      </w:r>
      <w:r w:rsidRPr="00334AD5">
        <w:rPr>
          <w:rFonts w:asciiTheme="minorHAnsi" w:hAnsiTheme="minorHAnsi" w:cs="Arial"/>
          <w:sz w:val="22"/>
          <w:szCs w:val="22"/>
          <w:lang w:val="nl-BE"/>
        </w:rPr>
        <w:t>volgens hetwelk de gekozen taal deze is van het gebied waar de particulier gevestigd is.</w:t>
      </w:r>
      <w:r w:rsidR="00B9303E">
        <w:rPr>
          <w:rStyle w:val="Voetnootmarkering"/>
          <w:rFonts w:asciiTheme="minorHAnsi" w:hAnsiTheme="minorHAnsi" w:cs="Arial"/>
          <w:sz w:val="22"/>
          <w:szCs w:val="22"/>
          <w:lang w:val="nl-BE"/>
        </w:rPr>
        <w:footnoteReference w:id="7"/>
      </w:r>
    </w:p>
    <w:p w:rsidR="00BB34B1" w:rsidRDefault="00BB34B1" w:rsidP="00334AD5">
      <w:pPr>
        <w:jc w:val="both"/>
        <w:rPr>
          <w:rFonts w:asciiTheme="minorHAnsi" w:hAnsiTheme="minorHAnsi" w:cs="Arial"/>
          <w:sz w:val="22"/>
          <w:szCs w:val="22"/>
          <w:lang w:val="nl-BE"/>
        </w:rPr>
      </w:pPr>
    </w:p>
    <w:p w:rsidR="00434336" w:rsidRPr="00334AD5" w:rsidRDefault="00434336" w:rsidP="00334AD5">
      <w:pPr>
        <w:jc w:val="both"/>
        <w:rPr>
          <w:rFonts w:asciiTheme="minorHAnsi" w:hAnsiTheme="minorHAnsi" w:cs="Arial"/>
          <w:sz w:val="22"/>
          <w:szCs w:val="22"/>
          <w:lang w:val="nl-BE"/>
        </w:rPr>
      </w:pPr>
    </w:p>
    <w:p w:rsidR="00334AD5" w:rsidRPr="00334AD5" w:rsidRDefault="00334AD5" w:rsidP="00334AD5">
      <w:pPr>
        <w:jc w:val="both"/>
        <w:rPr>
          <w:rFonts w:asciiTheme="minorHAnsi" w:hAnsiTheme="minorHAnsi" w:cs="Arial"/>
          <w:b/>
          <w:i/>
          <w:sz w:val="22"/>
          <w:szCs w:val="22"/>
          <w:lang w:val="nl-BE"/>
        </w:rPr>
      </w:pPr>
      <w:r w:rsidRPr="00334AD5">
        <w:rPr>
          <w:rFonts w:asciiTheme="minorHAnsi" w:hAnsiTheme="minorHAnsi" w:cs="Arial"/>
          <w:b/>
          <w:i/>
          <w:sz w:val="22"/>
          <w:szCs w:val="22"/>
          <w:lang w:val="nl-BE"/>
        </w:rPr>
        <w:t xml:space="preserve">Voor de </w:t>
      </w:r>
      <w:r w:rsidRPr="00334AD5">
        <w:rPr>
          <w:rFonts w:asciiTheme="minorHAnsi" w:hAnsiTheme="minorHAnsi" w:cs="Arial"/>
          <w:b/>
          <w:i/>
          <w:sz w:val="22"/>
          <w:szCs w:val="22"/>
          <w:u w:val="single"/>
          <w:lang w:val="nl-BE"/>
        </w:rPr>
        <w:t>private bedrijven</w:t>
      </w:r>
      <w:r w:rsidR="00EA097B" w:rsidRPr="00800BA3">
        <w:rPr>
          <w:rFonts w:asciiTheme="minorHAnsi" w:hAnsiTheme="minorHAnsi" w:cs="Arial"/>
          <w:i/>
          <w:sz w:val="22"/>
          <w:szCs w:val="22"/>
          <w:vertAlign w:val="superscript"/>
          <w:lang w:val="nl-BE"/>
        </w:rPr>
        <w:footnoteReference w:id="8"/>
      </w:r>
      <w:r w:rsidRPr="00334AD5">
        <w:rPr>
          <w:rFonts w:asciiTheme="minorHAnsi" w:hAnsiTheme="minorHAnsi" w:cs="Arial"/>
          <w:b/>
          <w:i/>
          <w:sz w:val="22"/>
          <w:szCs w:val="22"/>
          <w:lang w:val="nl-BE"/>
        </w:rPr>
        <w:t xml:space="preserve"> die gevestigd zijn in een </w:t>
      </w:r>
      <w:r w:rsidRPr="00334AD5">
        <w:rPr>
          <w:rFonts w:asciiTheme="minorHAnsi" w:hAnsiTheme="minorHAnsi" w:cs="Arial"/>
          <w:b/>
          <w:i/>
          <w:sz w:val="22"/>
          <w:szCs w:val="22"/>
          <w:u w:val="single"/>
          <w:lang w:val="nl-BE"/>
        </w:rPr>
        <w:t>homogeen taalgebied</w:t>
      </w:r>
      <w:r w:rsidRPr="00334AD5">
        <w:rPr>
          <w:rFonts w:asciiTheme="minorHAnsi" w:hAnsiTheme="minorHAnsi" w:cs="Arial"/>
          <w:b/>
          <w:i/>
          <w:sz w:val="22"/>
          <w:szCs w:val="22"/>
          <w:lang w:val="nl-BE"/>
        </w:rPr>
        <w:t>, geldt echter de volgende regeling:</w:t>
      </w:r>
    </w:p>
    <w:p w:rsidR="00334AD5" w:rsidRPr="00334AD5" w:rsidRDefault="00334AD5" w:rsidP="00334AD5">
      <w:pPr>
        <w:jc w:val="both"/>
        <w:rPr>
          <w:rFonts w:asciiTheme="minorHAnsi" w:hAnsiTheme="minorHAnsi" w:cs="Arial"/>
          <w:sz w:val="22"/>
          <w:szCs w:val="22"/>
          <w:lang w:val="nl-BE"/>
        </w:rPr>
      </w:pPr>
    </w:p>
    <w:p w:rsidR="00334AD5" w:rsidRPr="00334AD5" w:rsidRDefault="00334AD5" w:rsidP="00334AD5">
      <w:pPr>
        <w:jc w:val="both"/>
        <w:rPr>
          <w:rFonts w:asciiTheme="minorHAnsi" w:hAnsiTheme="minorHAnsi" w:cs="Arial"/>
          <w:sz w:val="22"/>
          <w:szCs w:val="22"/>
          <w:lang w:val="nl-BE"/>
        </w:rPr>
      </w:pPr>
      <w:r w:rsidRPr="00334AD5">
        <w:rPr>
          <w:rFonts w:asciiTheme="minorHAnsi" w:hAnsiTheme="minorHAnsi" w:cs="Arial"/>
          <w:sz w:val="22"/>
          <w:szCs w:val="22"/>
          <w:lang w:val="nl-BE"/>
        </w:rPr>
        <w:t xml:space="preserve">De </w:t>
      </w:r>
      <w:r w:rsidR="00BB34B1">
        <w:rPr>
          <w:rFonts w:asciiTheme="minorHAnsi" w:hAnsiTheme="minorHAnsi" w:cs="Arial"/>
          <w:sz w:val="22"/>
          <w:szCs w:val="22"/>
          <w:lang w:val="nl-BE"/>
        </w:rPr>
        <w:t>betrekkingen</w:t>
      </w:r>
      <w:r w:rsidR="00B9303E">
        <w:rPr>
          <w:rFonts w:asciiTheme="minorHAnsi" w:hAnsiTheme="minorHAnsi" w:cs="Arial"/>
          <w:sz w:val="22"/>
          <w:szCs w:val="22"/>
          <w:vertAlign w:val="superscript"/>
          <w:lang w:val="nl-BE"/>
        </w:rPr>
        <w:t>1</w:t>
      </w:r>
      <w:r w:rsidRPr="00334AD5">
        <w:rPr>
          <w:rFonts w:asciiTheme="minorHAnsi" w:hAnsiTheme="minorHAnsi" w:cs="Arial"/>
          <w:sz w:val="22"/>
          <w:szCs w:val="22"/>
          <w:lang w:val="nl-BE"/>
        </w:rPr>
        <w:t xml:space="preserve"> tussen de centrale diensten en de private bedrijven</w:t>
      </w:r>
      <w:r w:rsidR="00EA097B">
        <w:rPr>
          <w:rFonts w:asciiTheme="minorHAnsi" w:hAnsiTheme="minorHAnsi" w:cs="Arial"/>
          <w:sz w:val="22"/>
          <w:szCs w:val="22"/>
          <w:vertAlign w:val="superscript"/>
          <w:lang w:val="nl-BE"/>
        </w:rPr>
        <w:t>4</w:t>
      </w:r>
      <w:r w:rsidRPr="00334AD5">
        <w:rPr>
          <w:rFonts w:asciiTheme="minorHAnsi" w:hAnsiTheme="minorHAnsi" w:cs="Arial"/>
          <w:sz w:val="22"/>
          <w:szCs w:val="22"/>
          <w:lang w:val="nl-BE"/>
        </w:rPr>
        <w:t>, die gevestigd zijn in een gemeente zonder speciale regeling</w:t>
      </w:r>
      <w:r w:rsidRPr="00334AD5">
        <w:rPr>
          <w:rFonts w:asciiTheme="minorHAnsi" w:hAnsiTheme="minorHAnsi" w:cs="Arial"/>
          <w:sz w:val="22"/>
          <w:szCs w:val="22"/>
          <w:vertAlign w:val="superscript"/>
          <w:lang w:val="nl-BE"/>
        </w:rPr>
        <w:footnoteReference w:id="9"/>
      </w:r>
      <w:r w:rsidRPr="00334AD5">
        <w:rPr>
          <w:rFonts w:asciiTheme="minorHAnsi" w:hAnsiTheme="minorHAnsi" w:cs="Arial"/>
          <w:sz w:val="22"/>
          <w:szCs w:val="22"/>
          <w:lang w:val="nl-BE"/>
        </w:rPr>
        <w:t xml:space="preserve"> uit het Nederlandse of uit het Franse taalgebied, gebeurt in de taal van dit gebied.</w:t>
      </w:r>
      <w:r w:rsidRPr="00334AD5">
        <w:rPr>
          <w:rFonts w:asciiTheme="minorHAnsi" w:hAnsiTheme="minorHAnsi" w:cs="Arial"/>
          <w:sz w:val="22"/>
          <w:szCs w:val="22"/>
          <w:vertAlign w:val="superscript"/>
          <w:lang w:val="nl-BE"/>
        </w:rPr>
        <w:footnoteReference w:id="10"/>
      </w:r>
    </w:p>
    <w:p w:rsidR="00334AD5" w:rsidRPr="00334AD5" w:rsidRDefault="00334AD5" w:rsidP="00334AD5">
      <w:pPr>
        <w:jc w:val="both"/>
        <w:rPr>
          <w:rFonts w:asciiTheme="minorHAnsi" w:hAnsiTheme="minorHAnsi" w:cs="Arial"/>
          <w:sz w:val="22"/>
          <w:szCs w:val="22"/>
          <w:lang w:val="nl-BE"/>
        </w:rPr>
      </w:pPr>
    </w:p>
    <w:p w:rsidR="00334AD5" w:rsidRPr="00334AD5" w:rsidRDefault="00334AD5" w:rsidP="00334AD5">
      <w:pPr>
        <w:jc w:val="both"/>
        <w:rPr>
          <w:rFonts w:asciiTheme="minorHAnsi" w:hAnsiTheme="minorHAnsi" w:cs="Arial"/>
          <w:sz w:val="22"/>
          <w:szCs w:val="22"/>
          <w:lang w:val="nl-BE"/>
        </w:rPr>
      </w:pPr>
    </w:p>
    <w:p w:rsidR="00334AD5" w:rsidRPr="00334AD5" w:rsidRDefault="00334AD5" w:rsidP="00334AD5">
      <w:pPr>
        <w:jc w:val="both"/>
        <w:rPr>
          <w:rFonts w:asciiTheme="minorHAnsi" w:hAnsiTheme="minorHAnsi" w:cs="Arial"/>
          <w:b/>
          <w:i/>
          <w:sz w:val="22"/>
          <w:szCs w:val="22"/>
          <w:lang w:val="nl-BE"/>
        </w:rPr>
      </w:pPr>
      <w:r w:rsidRPr="00334AD5">
        <w:rPr>
          <w:rFonts w:asciiTheme="minorHAnsi" w:hAnsiTheme="minorHAnsi" w:cs="Arial"/>
          <w:b/>
          <w:i/>
          <w:sz w:val="22"/>
          <w:szCs w:val="22"/>
          <w:lang w:val="nl-BE"/>
        </w:rPr>
        <w:t>Voor iedereen in het hele land geldt daarnaast de volgende regel:</w:t>
      </w:r>
    </w:p>
    <w:p w:rsidR="00334AD5" w:rsidRPr="00334AD5" w:rsidRDefault="00334AD5" w:rsidP="00334AD5">
      <w:pPr>
        <w:jc w:val="both"/>
        <w:rPr>
          <w:rFonts w:asciiTheme="minorHAnsi" w:hAnsiTheme="minorHAnsi" w:cs="Arial"/>
          <w:sz w:val="22"/>
          <w:szCs w:val="22"/>
          <w:lang w:val="nl-BE"/>
        </w:rPr>
      </w:pPr>
    </w:p>
    <w:p w:rsidR="00334AD5" w:rsidRPr="00334AD5" w:rsidRDefault="00334AD5" w:rsidP="00334AD5">
      <w:pPr>
        <w:jc w:val="both"/>
        <w:rPr>
          <w:rFonts w:asciiTheme="minorHAnsi" w:hAnsiTheme="minorHAnsi" w:cs="Arial"/>
          <w:sz w:val="22"/>
          <w:szCs w:val="22"/>
          <w:lang w:val="nl-BE"/>
        </w:rPr>
      </w:pPr>
      <w:r w:rsidRPr="00334AD5">
        <w:rPr>
          <w:rFonts w:asciiTheme="minorHAnsi" w:hAnsiTheme="minorHAnsi" w:cs="Arial"/>
          <w:sz w:val="22"/>
          <w:szCs w:val="22"/>
          <w:lang w:val="nl-BE"/>
        </w:rPr>
        <w:t>De akten, getuigschriften, verklaringen, machtigingen en vergunningen die uitgaan van de centrale diensten, worden in het Nederlands, Frans of Duits gesteld, volgens de wens van de belanghebbende.</w:t>
      </w:r>
      <w:r w:rsidR="00BB34B1">
        <w:rPr>
          <w:rStyle w:val="Voetnootmarkering"/>
          <w:rFonts w:asciiTheme="minorHAnsi" w:hAnsiTheme="minorHAnsi" w:cs="Arial"/>
          <w:sz w:val="22"/>
          <w:szCs w:val="22"/>
          <w:lang w:val="nl-BE"/>
        </w:rPr>
        <w:footnoteReference w:id="11"/>
      </w:r>
    </w:p>
    <w:p w:rsidR="004E1A37" w:rsidRPr="0023041B" w:rsidRDefault="004E1A37">
      <w:pPr>
        <w:jc w:val="both"/>
        <w:rPr>
          <w:rFonts w:asciiTheme="minorHAnsi" w:hAnsiTheme="minorHAnsi" w:cs="Arial"/>
          <w:sz w:val="22"/>
          <w:szCs w:val="22"/>
          <w:lang w:val="nl-BE"/>
        </w:rPr>
      </w:pPr>
    </w:p>
    <w:p w:rsidR="004E1A37" w:rsidRPr="0023041B" w:rsidRDefault="004E1A37">
      <w:pPr>
        <w:jc w:val="both"/>
        <w:rPr>
          <w:rFonts w:asciiTheme="minorHAnsi" w:hAnsiTheme="minorHAnsi" w:cs="Arial"/>
          <w:sz w:val="22"/>
          <w:szCs w:val="22"/>
          <w:lang w:val="nl-BE"/>
        </w:rPr>
      </w:pPr>
    </w:p>
    <w:p w:rsidR="004E1A37" w:rsidRPr="0023041B" w:rsidRDefault="004E1A37">
      <w:pPr>
        <w:jc w:val="both"/>
        <w:rPr>
          <w:rFonts w:asciiTheme="minorHAnsi" w:hAnsiTheme="minorHAnsi" w:cs="Arial"/>
          <w:sz w:val="22"/>
          <w:szCs w:val="22"/>
          <w:lang w:val="nl-BE"/>
        </w:rPr>
      </w:pPr>
    </w:p>
    <w:p w:rsidR="004E1A37" w:rsidRPr="0023041B" w:rsidRDefault="004E1A37">
      <w:pPr>
        <w:ind w:left="6048"/>
        <w:rPr>
          <w:rFonts w:asciiTheme="minorHAnsi" w:hAnsiTheme="minorHAnsi" w:cs="Arial"/>
          <w:b/>
          <w:sz w:val="22"/>
          <w:szCs w:val="22"/>
          <w:lang w:val="nl-BE"/>
        </w:rPr>
      </w:pPr>
      <w:r w:rsidRPr="0023041B">
        <w:rPr>
          <w:rFonts w:asciiTheme="minorHAnsi" w:hAnsiTheme="minorHAnsi" w:cs="Arial"/>
          <w:b/>
          <w:sz w:val="22"/>
          <w:szCs w:val="22"/>
          <w:lang w:val="nl-BE"/>
        </w:rPr>
        <w:t>B. VAN BRAEKEL</w:t>
      </w:r>
    </w:p>
    <w:sectPr w:rsidR="004E1A37" w:rsidRPr="0023041B">
      <w:pgSz w:w="11906" w:h="16838"/>
      <w:pgMar w:top="1296" w:right="1440" w:bottom="1296" w:left="158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AD5" w:rsidRDefault="00334AD5" w:rsidP="00334AD5">
      <w:r>
        <w:separator/>
      </w:r>
    </w:p>
  </w:endnote>
  <w:endnote w:type="continuationSeparator" w:id="0">
    <w:p w:rsidR="00334AD5" w:rsidRDefault="00334AD5" w:rsidP="00334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AD5" w:rsidRDefault="00334AD5" w:rsidP="00334AD5">
      <w:r>
        <w:separator/>
      </w:r>
    </w:p>
  </w:footnote>
  <w:footnote w:type="continuationSeparator" w:id="0">
    <w:p w:rsidR="00334AD5" w:rsidRDefault="00334AD5" w:rsidP="00334AD5">
      <w:r>
        <w:continuationSeparator/>
      </w:r>
    </w:p>
  </w:footnote>
  <w:footnote w:id="1">
    <w:p w:rsidR="00800BA3" w:rsidRDefault="00800BA3">
      <w:pPr>
        <w:pStyle w:val="Voetnoottekst"/>
      </w:pPr>
      <w:r>
        <w:rPr>
          <w:rStyle w:val="Voetnootmarkering"/>
        </w:rPr>
        <w:footnoteRef/>
      </w:r>
      <w:r>
        <w:t xml:space="preserve"> </w:t>
      </w:r>
      <w:r w:rsidRPr="00800BA3">
        <w:rPr>
          <w:b/>
        </w:rPr>
        <w:t>S</w:t>
      </w:r>
      <w:r>
        <w:t xml:space="preserve">amengeordende </w:t>
      </w:r>
      <w:r w:rsidRPr="00800BA3">
        <w:rPr>
          <w:b/>
        </w:rPr>
        <w:t>W</w:t>
      </w:r>
      <w:r>
        <w:t xml:space="preserve">etten op het gebruik van de </w:t>
      </w:r>
      <w:r w:rsidRPr="00800BA3">
        <w:rPr>
          <w:b/>
        </w:rPr>
        <w:t>T</w:t>
      </w:r>
      <w:r>
        <w:t>alen in bestuurszaken van 18 juli 1966.</w:t>
      </w:r>
    </w:p>
  </w:footnote>
  <w:footnote w:id="2">
    <w:p w:rsidR="00800BA3" w:rsidRDefault="00800BA3" w:rsidP="00800BA3">
      <w:pPr>
        <w:pStyle w:val="Voetnoottekst"/>
      </w:pPr>
      <w:r>
        <w:rPr>
          <w:rStyle w:val="Voetnootmarkering"/>
        </w:rPr>
        <w:footnoteRef/>
      </w:r>
      <w:r w:rsidR="00ED7FA2">
        <w:t xml:space="preserve"> RW</w:t>
      </w:r>
      <w:r>
        <w:t>, 14 december 1969, 33</w:t>
      </w:r>
      <w:r w:rsidRPr="00E65A5B">
        <w:rPr>
          <w:vertAlign w:val="superscript"/>
        </w:rPr>
        <w:t>e</w:t>
      </w:r>
      <w:r>
        <w:t xml:space="preserve"> jaargang, nr. 15, k. 703</w:t>
      </w:r>
      <w:bookmarkStart w:id="0" w:name="_GoBack"/>
      <w:bookmarkEnd w:id="0"/>
    </w:p>
  </w:footnote>
  <w:footnote w:id="3">
    <w:p w:rsidR="00434336" w:rsidRPr="00434336" w:rsidRDefault="00434336">
      <w:pPr>
        <w:pStyle w:val="Voetnoottekst"/>
      </w:pPr>
      <w:r>
        <w:rPr>
          <w:rStyle w:val="Voetnootmarkering"/>
        </w:rPr>
        <w:footnoteRef/>
      </w:r>
      <w:r>
        <w:t xml:space="preserve"> </w:t>
      </w:r>
      <w:r w:rsidRPr="00434336">
        <w:t>Syllabus Vaste commissie voor taaltoezicht, 2016, p.</w:t>
      </w:r>
      <w:r>
        <w:t xml:space="preserve"> 41</w:t>
      </w:r>
    </w:p>
  </w:footnote>
  <w:footnote w:id="4">
    <w:p w:rsidR="00800BA3" w:rsidRPr="00800BA3" w:rsidRDefault="00800BA3">
      <w:pPr>
        <w:pStyle w:val="Voetnoottekst"/>
      </w:pPr>
      <w:r>
        <w:rPr>
          <w:rStyle w:val="Voetnootmarkering"/>
        </w:rPr>
        <w:footnoteRef/>
      </w:r>
      <w:r>
        <w:t xml:space="preserve"> D</w:t>
      </w:r>
      <w:r w:rsidRPr="00800BA3">
        <w:t>iensten waarvan de werkkring het gehele land bestrijkt</w:t>
      </w:r>
      <w:r>
        <w:t>.</w:t>
      </w:r>
    </w:p>
  </w:footnote>
  <w:footnote w:id="5">
    <w:p w:rsidR="00B9303E" w:rsidRPr="00BB34B1" w:rsidRDefault="00B9303E" w:rsidP="00B9303E">
      <w:pPr>
        <w:pStyle w:val="Voetnoottekst"/>
      </w:pPr>
      <w:r>
        <w:rPr>
          <w:rStyle w:val="Voetnootmarkering"/>
        </w:rPr>
        <w:footnoteRef/>
      </w:r>
      <w:r>
        <w:t xml:space="preserve"> </w:t>
      </w:r>
      <w:r w:rsidRPr="00BB34B1">
        <w:t>Onder "betrekkingen" worden begrepen alle mondelinge en schriftelijke contacten met bedrijven.</w:t>
      </w:r>
    </w:p>
  </w:footnote>
  <w:footnote w:id="6">
    <w:p w:rsidR="00334AD5" w:rsidRDefault="00334AD5" w:rsidP="00334AD5">
      <w:pPr>
        <w:pStyle w:val="Voetnoottekst"/>
        <w:jc w:val="both"/>
      </w:pPr>
      <w:r>
        <w:rPr>
          <w:rStyle w:val="Voetnootmarkering"/>
        </w:rPr>
        <w:footnoteRef/>
      </w:r>
      <w:r>
        <w:t xml:space="preserve"> Particulieren zijn zowel private bedrijven als particulieren (natuurlijke personen) in de strikte zin van het woord, behalve in de gemeenten zonder speciale taalregeling, waar de wet voor de private bedrijven, uitdrukkelijk in een regeling voorziet die afwijkt van de regel die op de particulieren van toepassing is (zie </w:t>
      </w:r>
      <w:r w:rsidRPr="000C6FEC">
        <w:rPr>
          <w:lang w:val="nl-NL"/>
        </w:rPr>
        <w:t>advies VCT 21.195 van 21 december 1989</w:t>
      </w:r>
      <w:r>
        <w:rPr>
          <w:lang w:val="nl-NL"/>
        </w:rPr>
        <w:t>)</w:t>
      </w:r>
      <w:r>
        <w:t xml:space="preserve">. </w:t>
      </w:r>
    </w:p>
  </w:footnote>
  <w:footnote w:id="7">
    <w:p w:rsidR="00B9303E" w:rsidRDefault="00B9303E">
      <w:pPr>
        <w:pStyle w:val="Voetnoottekst"/>
      </w:pPr>
      <w:r>
        <w:rPr>
          <w:rStyle w:val="Voetnootmarkering"/>
        </w:rPr>
        <w:footnoteRef/>
      </w:r>
      <w:r>
        <w:t xml:space="preserve"> Syllabus Vaste commissie voor taaltoezicht, 2016, p. 42, punt E</w:t>
      </w:r>
    </w:p>
  </w:footnote>
  <w:footnote w:id="8">
    <w:p w:rsidR="00EA097B" w:rsidRDefault="00EA097B" w:rsidP="00EA097B">
      <w:pPr>
        <w:pStyle w:val="Voetnoottekst"/>
        <w:jc w:val="both"/>
      </w:pPr>
      <w:r>
        <w:rPr>
          <w:rStyle w:val="Voetnootmarkering"/>
        </w:rPr>
        <w:footnoteRef/>
      </w:r>
      <w:r>
        <w:t xml:space="preserve"> Private bedrijven omsluiten een winstuitkeringsoogmerk en zijn derhalve economisch gericht. </w:t>
      </w:r>
      <w:r w:rsidRPr="00CA1C2E">
        <w:t xml:space="preserve">In dit perspectief meent de VCT dat de handelaren, de landbouwers en de vaklui private </w:t>
      </w:r>
      <w:r>
        <w:t>bedrijven</w:t>
      </w:r>
      <w:r w:rsidRPr="00CA1C2E">
        <w:t xml:space="preserve"> zijn</w:t>
      </w:r>
      <w:r>
        <w:t xml:space="preserve">. </w:t>
      </w:r>
    </w:p>
  </w:footnote>
  <w:footnote w:id="9">
    <w:p w:rsidR="00334AD5" w:rsidRDefault="00334AD5" w:rsidP="00334AD5">
      <w:pPr>
        <w:pStyle w:val="Voetnoottekst"/>
        <w:jc w:val="both"/>
      </w:pPr>
      <w:r>
        <w:rPr>
          <w:rStyle w:val="Voetnootmarkering"/>
        </w:rPr>
        <w:footnoteRef/>
      </w:r>
      <w:r>
        <w:t xml:space="preserve"> Gemeenten met een speciale regeling zijn de “randgemeenten” (art. 7 SWT) en de “taalgrensgemeenten” (art. 8, 3° tot 10° SWT).</w:t>
      </w:r>
    </w:p>
  </w:footnote>
  <w:footnote w:id="10">
    <w:p w:rsidR="00334AD5" w:rsidRDefault="00334AD5" w:rsidP="00334AD5">
      <w:pPr>
        <w:pStyle w:val="Voetnoottekst"/>
        <w:jc w:val="both"/>
      </w:pPr>
      <w:r>
        <w:rPr>
          <w:rStyle w:val="Voetnootmarkering"/>
        </w:rPr>
        <w:footnoteRef/>
      </w:r>
      <w:r>
        <w:t xml:space="preserve"> Art. 41, § 2 SWT. </w:t>
      </w:r>
    </w:p>
  </w:footnote>
  <w:footnote w:id="11">
    <w:p w:rsidR="00BB34B1" w:rsidRDefault="00BB34B1">
      <w:pPr>
        <w:pStyle w:val="Voetnoottekst"/>
      </w:pPr>
      <w:r>
        <w:rPr>
          <w:rStyle w:val="Voetnootmarkering"/>
        </w:rPr>
        <w:footnoteRef/>
      </w:r>
      <w:r>
        <w:t xml:space="preserve"> </w:t>
      </w:r>
      <w:r>
        <w:rPr>
          <w:lang w:val="fr-BE"/>
        </w:rPr>
        <w:t>Art. 4</w:t>
      </w:r>
      <w:r w:rsidRPr="00BB34B1">
        <w:rPr>
          <w:lang w:val="fr-BE"/>
        </w:rPr>
        <w:t>2 SWT.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D4C"/>
    <w:rsid w:val="00034D92"/>
    <w:rsid w:val="00193CCE"/>
    <w:rsid w:val="001C63D5"/>
    <w:rsid w:val="0023041B"/>
    <w:rsid w:val="00234084"/>
    <w:rsid w:val="00334AD5"/>
    <w:rsid w:val="00391766"/>
    <w:rsid w:val="00434336"/>
    <w:rsid w:val="00465604"/>
    <w:rsid w:val="004E1A37"/>
    <w:rsid w:val="00546AB3"/>
    <w:rsid w:val="00610E5E"/>
    <w:rsid w:val="00654C0B"/>
    <w:rsid w:val="00764734"/>
    <w:rsid w:val="00800BA3"/>
    <w:rsid w:val="0099053D"/>
    <w:rsid w:val="00A17CE8"/>
    <w:rsid w:val="00A42A39"/>
    <w:rsid w:val="00A43D4C"/>
    <w:rsid w:val="00B9303E"/>
    <w:rsid w:val="00BB34B1"/>
    <w:rsid w:val="00C11327"/>
    <w:rsid w:val="00CE28DA"/>
    <w:rsid w:val="00CE3C1D"/>
    <w:rsid w:val="00DB0567"/>
    <w:rsid w:val="00E46F2E"/>
    <w:rsid w:val="00E72B5D"/>
    <w:rsid w:val="00EA097B"/>
    <w:rsid w:val="00ED7FA2"/>
    <w:rsid w:val="00F351BE"/>
    <w:rsid w:val="00FE5F0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spacing w:before="120"/>
    </w:pPr>
    <w:rPr>
      <w:b/>
    </w:rPr>
  </w:style>
  <w:style w:type="paragraph" w:styleId="Ballontekst">
    <w:name w:val="Balloon Text"/>
    <w:basedOn w:val="Standaard"/>
    <w:link w:val="BallontekstChar"/>
    <w:uiPriority w:val="99"/>
    <w:semiHidden/>
    <w:unhideWhenUsed/>
    <w:rsid w:val="001C63D5"/>
    <w:rPr>
      <w:rFonts w:ascii="Tahoma" w:hAnsi="Tahoma" w:cs="Tahoma"/>
      <w:sz w:val="16"/>
      <w:szCs w:val="16"/>
    </w:rPr>
  </w:style>
  <w:style w:type="character" w:customStyle="1" w:styleId="BallontekstChar">
    <w:name w:val="Ballontekst Char"/>
    <w:basedOn w:val="Standaardalinea-lettertype"/>
    <w:link w:val="Ballontekst"/>
    <w:uiPriority w:val="99"/>
    <w:semiHidden/>
    <w:rsid w:val="001C63D5"/>
    <w:rPr>
      <w:rFonts w:ascii="Tahoma" w:hAnsi="Tahoma" w:cs="Tahoma"/>
      <w:sz w:val="16"/>
      <w:szCs w:val="16"/>
    </w:rPr>
  </w:style>
  <w:style w:type="paragraph" w:styleId="Voetnoottekst">
    <w:name w:val="footnote text"/>
    <w:basedOn w:val="Standaard"/>
    <w:link w:val="VoetnoottekstChar"/>
    <w:uiPriority w:val="99"/>
    <w:semiHidden/>
    <w:unhideWhenUsed/>
    <w:rsid w:val="00334AD5"/>
    <w:rPr>
      <w:rFonts w:asciiTheme="minorHAnsi" w:eastAsiaTheme="minorHAnsi" w:hAnsiTheme="minorHAnsi" w:cstheme="minorBidi"/>
      <w:sz w:val="20"/>
      <w:lang w:val="nl-BE" w:eastAsia="en-US"/>
    </w:rPr>
  </w:style>
  <w:style w:type="character" w:customStyle="1" w:styleId="VoetnoottekstChar">
    <w:name w:val="Voetnoottekst Char"/>
    <w:basedOn w:val="Standaardalinea-lettertype"/>
    <w:link w:val="Voetnoottekst"/>
    <w:uiPriority w:val="99"/>
    <w:semiHidden/>
    <w:rsid w:val="00334AD5"/>
    <w:rPr>
      <w:rFonts w:asciiTheme="minorHAnsi" w:eastAsiaTheme="minorHAnsi" w:hAnsiTheme="minorHAnsi" w:cstheme="minorBidi"/>
      <w:lang w:val="nl-BE" w:eastAsia="en-US"/>
    </w:rPr>
  </w:style>
  <w:style w:type="character" w:styleId="Voetnootmarkering">
    <w:name w:val="footnote reference"/>
    <w:basedOn w:val="Standaardalinea-lettertype"/>
    <w:uiPriority w:val="99"/>
    <w:semiHidden/>
    <w:unhideWhenUsed/>
    <w:rsid w:val="00334AD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spacing w:before="120"/>
    </w:pPr>
    <w:rPr>
      <w:b/>
    </w:rPr>
  </w:style>
  <w:style w:type="paragraph" w:styleId="Ballontekst">
    <w:name w:val="Balloon Text"/>
    <w:basedOn w:val="Standaard"/>
    <w:link w:val="BallontekstChar"/>
    <w:uiPriority w:val="99"/>
    <w:semiHidden/>
    <w:unhideWhenUsed/>
    <w:rsid w:val="001C63D5"/>
    <w:rPr>
      <w:rFonts w:ascii="Tahoma" w:hAnsi="Tahoma" w:cs="Tahoma"/>
      <w:sz w:val="16"/>
      <w:szCs w:val="16"/>
    </w:rPr>
  </w:style>
  <w:style w:type="character" w:customStyle="1" w:styleId="BallontekstChar">
    <w:name w:val="Ballontekst Char"/>
    <w:basedOn w:val="Standaardalinea-lettertype"/>
    <w:link w:val="Ballontekst"/>
    <w:uiPriority w:val="99"/>
    <w:semiHidden/>
    <w:rsid w:val="001C63D5"/>
    <w:rPr>
      <w:rFonts w:ascii="Tahoma" w:hAnsi="Tahoma" w:cs="Tahoma"/>
      <w:sz w:val="16"/>
      <w:szCs w:val="16"/>
    </w:rPr>
  </w:style>
  <w:style w:type="paragraph" w:styleId="Voetnoottekst">
    <w:name w:val="footnote text"/>
    <w:basedOn w:val="Standaard"/>
    <w:link w:val="VoetnoottekstChar"/>
    <w:uiPriority w:val="99"/>
    <w:semiHidden/>
    <w:unhideWhenUsed/>
    <w:rsid w:val="00334AD5"/>
    <w:rPr>
      <w:rFonts w:asciiTheme="minorHAnsi" w:eastAsiaTheme="minorHAnsi" w:hAnsiTheme="minorHAnsi" w:cstheme="minorBidi"/>
      <w:sz w:val="20"/>
      <w:lang w:val="nl-BE" w:eastAsia="en-US"/>
    </w:rPr>
  </w:style>
  <w:style w:type="character" w:customStyle="1" w:styleId="VoetnoottekstChar">
    <w:name w:val="Voetnoottekst Char"/>
    <w:basedOn w:val="Standaardalinea-lettertype"/>
    <w:link w:val="Voetnoottekst"/>
    <w:uiPriority w:val="99"/>
    <w:semiHidden/>
    <w:rsid w:val="00334AD5"/>
    <w:rPr>
      <w:rFonts w:asciiTheme="minorHAnsi" w:eastAsiaTheme="minorHAnsi" w:hAnsiTheme="minorHAnsi" w:cstheme="minorBidi"/>
      <w:lang w:val="nl-BE" w:eastAsia="en-US"/>
    </w:rPr>
  </w:style>
  <w:style w:type="character" w:styleId="Voetnootmarkering">
    <w:name w:val="footnote reference"/>
    <w:basedOn w:val="Standaardalinea-lettertype"/>
    <w:uiPriority w:val="99"/>
    <w:semiHidden/>
    <w:unhideWhenUsed/>
    <w:rsid w:val="00334A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ffice\2017%20Note%20directio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85DB-376E-4716-8648-9032BFD4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2017 Note direction.dotx</Template>
  <TotalTime>52</TotalTime>
  <Pages>2</Pages>
  <Words>234</Words>
  <Characters>1388</Characters>
  <Application>Microsoft Office Word</Application>
  <DocSecurity>0</DocSecurity>
  <Lines>11</Lines>
  <Paragraphs>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Interne nota RSZ</vt:lpstr>
      <vt:lpstr>Note interne à l'ONSS</vt:lpstr>
    </vt:vector>
  </TitlesOfParts>
  <Company>RSZ-ONSS-LSS</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 nota RSZ</dc:title>
  <dc:creator>hilde.delsupehe@onssrszlss.fgov.be</dc:creator>
  <cp:lastModifiedBy>Delsupehe Hilde</cp:lastModifiedBy>
  <cp:revision>9</cp:revision>
  <cp:lastPrinted>2002-09-18T06:23:00Z</cp:lastPrinted>
  <dcterms:created xsi:type="dcterms:W3CDTF">2020-06-18T07:13:00Z</dcterms:created>
  <dcterms:modified xsi:type="dcterms:W3CDTF">2020-06-18T09:04:00Z</dcterms:modified>
</cp:coreProperties>
</file>