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/>
        <w:jc w:val="center"/>
        <w:textAlignment w:val="auto"/>
        <w:outlineLvl w:val="9"/>
        <w:rPr>
          <w:sz w:val="21"/>
          <w:szCs w:val="22"/>
        </w:rPr>
      </w:pPr>
      <w:bookmarkStart w:id="0" w:name="_GoBack"/>
      <w:bookmarkEnd w:id="0"/>
      <w:r>
        <w:rPr>
          <w:rFonts w:ascii="Times New Roman" w:hAnsi="Times New Roman" w:eastAsia="Times New Roman"/>
          <w:color w:val="000000"/>
          <w:sz w:val="21"/>
          <w:szCs w:val="22"/>
        </w:rPr>
        <w:t>mDISCERN coding rules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1"/>
        <w:gridCol w:w="4451"/>
      </w:tblGrid>
      <w:tr>
        <w:trPr>
          <w:jc w:val="center"/>
        </w:trPr>
        <w:tc>
          <w:tcPr>
            <w:tcW w:w="20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Item</w:t>
            </w: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Rule for a score of 1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1 Clear aims</w:t>
            </w: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color w:val="000000"/>
                <w:sz w:val="18"/>
              </w:rPr>
              <w:t>The purpose of the video is identifiable and the main content substantively fulfil</w:t>
            </w:r>
            <w:r>
              <w:rPr>
                <w:rFonts w:hint="eastAsia" w:eastAsia="宋体"/>
                <w:color w:val="000000"/>
                <w:sz w:val="18"/>
                <w:lang w:val="en-US" w:eastAsia="zh-CN"/>
              </w:rPr>
              <w:t>l</w:t>
            </w:r>
            <w:r>
              <w:rPr>
                <w:rFonts w:ascii="Times New Roman" w:hAnsi="Times New Roman" w:eastAsia="Times New Roman"/>
                <w:color w:val="000000"/>
                <w:sz w:val="18"/>
              </w:rPr>
              <w:t>s that purpose.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 Reliable sources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color w:val="000000"/>
                <w:sz w:val="18"/>
              </w:rPr>
              <w:t>The description or transcript explicitly identifies a relevant physician,</w:t>
            </w:r>
            <w:r>
              <w:rPr>
                <w:rFonts w:hint="default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18"/>
              </w:rPr>
              <w:t>doctorate holder, medical institution, government/professional organisation, or clearly cites credible evidence such as research, guidelines, or journals. The platform Health Source label does not itself earn a point.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 Balanced and unbiased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color w:val="000000"/>
                <w:sz w:val="18"/>
              </w:rPr>
              <w:t xml:space="preserve">The information contains no material one-sided, inflammatory, or commercial bias affecting the health advice. </w:t>
            </w:r>
            <w:r>
              <w:rPr>
                <w:rFonts w:hint="eastAsia" w:ascii="Times New Roman" w:hAnsi="Times New Roman" w:eastAsia="Times New Roman"/>
                <w:color w:val="000000"/>
                <w:sz w:val="18"/>
              </w:rPr>
              <w:t xml:space="preserve">Commercial promotion results in a score of 0 when it is related to the health recommendation presented in the video, such as the promotion of health supplements, treatments, or paid </w:t>
            </w:r>
            <w:r>
              <w:rPr>
                <w:rFonts w:hint="default"/>
                <w:color w:val="000000"/>
                <w:sz w:val="18"/>
                <w:lang w:val="en-US"/>
              </w:rPr>
              <w:t>mem</w:t>
            </w:r>
            <w:r>
              <w:rPr>
                <w:rFonts w:hint="eastAsia" w:eastAsia="宋体"/>
                <w:color w:val="000000"/>
                <w:sz w:val="18"/>
                <w:lang w:val="en-US" w:eastAsia="zh-CN"/>
              </w:rPr>
              <w:t>bership</w:t>
            </w:r>
            <w:r>
              <w:rPr>
                <w:rFonts w:hint="eastAsia" w:ascii="Times New Roman" w:hAnsi="Times New Roman" w:eastAsia="Times New Roman"/>
                <w:color w:val="000000"/>
                <w:sz w:val="18"/>
              </w:rPr>
              <w:t>. Unrelated advertising</w:t>
            </w:r>
            <w:r>
              <w:rPr>
                <w:rFonts w:hint="default"/>
                <w:color w:val="000000"/>
                <w:sz w:val="18"/>
                <w:lang w:val="en-US"/>
              </w:rPr>
              <w:t xml:space="preserve"> </w:t>
            </w:r>
            <w:r>
              <w:rPr>
                <w:rFonts w:hint="eastAsia" w:ascii="Times New Roman" w:hAnsi="Times New Roman" w:eastAsia="Times New Roman"/>
                <w:color w:val="000000"/>
                <w:sz w:val="18"/>
              </w:rPr>
              <w:t>or other monetisation does not automatically result in a score of 0.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4 Provides further sources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color w:val="000000"/>
                <w:sz w:val="18"/>
              </w:rPr>
              <w:t>Provides meaningful further health information or reference resources; ordinary social links, subscriptions, merchandise, and memberships do not count.</w:t>
            </w:r>
          </w:p>
        </w:tc>
      </w:tr>
      <w:tr>
        <w:trPr>
          <w:jc w:val="center"/>
        </w:trPr>
        <w:tc>
          <w:tcPr>
            <w:tcW w:w="204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5 Acknowledges uncertainty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color w:val="000000"/>
                <w:sz w:val="18"/>
              </w:rPr>
              <w:t>Explicitly discusses evidential limitations, controversy, limits to generalisation, treatment uncertainty, or meaningful individual differences.</w:t>
            </w:r>
          </w:p>
        </w:tc>
      </w:tr>
    </w:tbl>
    <w:p>
      <w:pPr>
        <w:spacing w:before="60" w:after="160"/>
        <w:rPr>
          <w:sz w:val="21"/>
          <w:szCs w:val="22"/>
        </w:rPr>
      </w:pPr>
      <w:r>
        <w:rPr>
          <w:rFonts w:ascii="Times New Roman" w:hAnsi="Times New Roman" w:eastAsia="Times New Roman"/>
          <w:color w:val="000000"/>
          <w:sz w:val="21"/>
          <w:szCs w:val="22"/>
        </w:rPr>
        <w:t xml:space="preserve">Note: </w:t>
      </w:r>
      <w:r>
        <w:rPr>
          <w:rFonts w:hint="eastAsia" w:ascii="Times New Roman" w:hAnsi="Times New Roman" w:eastAsia="Times New Roman"/>
          <w:color w:val="000000"/>
          <w:sz w:val="21"/>
          <w:szCs w:val="22"/>
        </w:rPr>
        <w:t>The five domains were adapted from previous applications of mDISCERN (Ozduran and Büyükçoban, 2022; Jammula et al., 2025). The detailed decision rules were developed for the present study and fixed before the comparison between Health Source and non-Health Source videos</w:t>
      </w:r>
      <w:r>
        <w:rPr>
          <w:rFonts w:ascii="Times New Roman" w:hAnsi="Times New Roman" w:eastAsia="Times New Roman"/>
          <w:color w:val="000000"/>
          <w:sz w:val="21"/>
          <w:szCs w:val="22"/>
        </w:rPr>
        <w:t xml:space="preserve">. mDISCERN evaluates the </w:t>
      </w:r>
      <w:r>
        <w:rPr>
          <w:rFonts w:hint="eastAsia" w:eastAsia="宋体"/>
          <w:color w:val="000000"/>
          <w:sz w:val="21"/>
          <w:szCs w:val="22"/>
          <w:lang w:val="en-US" w:eastAsia="zh-CN"/>
        </w:rPr>
        <w:t>quality</w:t>
      </w:r>
      <w:r>
        <w:rPr>
          <w:rFonts w:ascii="Times New Roman" w:hAnsi="Times New Roman" w:eastAsia="Times New Roman"/>
          <w:color w:val="000000"/>
          <w:sz w:val="21"/>
          <w:szCs w:val="22"/>
        </w:rPr>
        <w:t xml:space="preserve"> of information presentation and is not equivalent to fact-checking every medical claim.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9FC483"/>
    <w:rsid w:val="AB9FC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jc w:val="both"/>
    </w:pPr>
    <w:rPr>
      <w:rFonts w:ascii="Times New Roman" w:hAnsi="Times New Roman" w:eastAsia="Times New Roman" w:cstheme="minorBidi"/>
      <w:color w:val="000000"/>
      <w:sz w:val="21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2026-09-12T23:59:00Z</dcterms:created>
  <dc:creator>刘心怡</dc:creator>
  <cp:lastModifiedBy>刘心怡</cp:lastModifiedBy>
  <dcterms:modified xsi:type="dcterms:W3CDTF">2026-09-13T00:00:35Z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2F0BBA300687AD78FC76A56A59520FE3_41</vt:lpwstr>
  </property>
</Properties>
</file>