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Supporting materials--outputs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RQ1-mDISCERN results comparison</w:t>
      </w:r>
    </w:p>
    <w:tbl>
      <w:tblPr>
        <w:tblW w:w="944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885"/>
        <w:gridCol w:w="922"/>
        <w:gridCol w:w="909"/>
        <w:gridCol w:w="946"/>
        <w:gridCol w:w="2543"/>
        <w:gridCol w:w="1000"/>
        <w:gridCol w:w="997"/>
      </w:tblGrid>
      <w:tr>
        <w:trPr>
          <w:trHeight w:val="680" w:hRule="atLeast"/>
        </w:trPr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Group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Mean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SD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Median</w:t>
            </w:r>
          </w:p>
        </w:tc>
        <w:tc>
          <w:tcPr>
            <w:tcW w:w="26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Mann_Whitney_U</w:t>
            </w:r>
          </w:p>
        </w:tc>
        <w:tc>
          <w:tcPr>
            <w:tcW w:w="10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MW_p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5"/>
                <w:b w:val="0"/>
                <w:bdr w:val="none" w:color="auto" w:sz="0" w:space="0"/>
                <w:lang w:val="en-US" w:eastAsia="zh-CN" w:bidi="ar"/>
              </w:rPr>
              <w:t>Welch_p</w:t>
            </w:r>
          </w:p>
        </w:tc>
      </w:tr>
      <w:tr>
        <w:trPr>
          <w:trHeight w:val="680" w:hRule="atLeast"/>
        </w:trPr>
        <w:tc>
          <w:tcPr>
            <w:tcW w:w="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6"/>
                <w:b w:val="0"/>
                <w:bdr w:val="none" w:color="auto" w:sz="0" w:space="0"/>
                <w:lang w:val="en-US" w:eastAsia="zh-CN" w:bidi="ar"/>
              </w:rPr>
              <w:t>Health Source</w:t>
            </w: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3.22</w:t>
            </w: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0.55</w:t>
            </w: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6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193.5</w:t>
            </w:r>
          </w:p>
        </w:tc>
        <w:tc>
          <w:tcPr>
            <w:tcW w:w="10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0.905</w:t>
            </w:r>
          </w:p>
        </w:tc>
        <w:tc>
          <w:tcPr>
            <w:tcW w:w="9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0.793</w:t>
            </w:r>
          </w:p>
        </w:tc>
      </w:tr>
      <w:tr>
        <w:trPr>
          <w:trHeight w:val="1020" w:hRule="atLeast"/>
        </w:trPr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6"/>
                <w:b w:val="0"/>
                <w:bdr w:val="none" w:color="auto" w:sz="0" w:space="0"/>
                <w:lang w:val="en-US" w:eastAsia="zh-CN" w:bidi="ar"/>
              </w:rPr>
              <w:t>non-Health Source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3.14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1.24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6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193.5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0.905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0.793</w:t>
            </w:r>
          </w:p>
        </w:tc>
      </w:tr>
    </w:tbl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RQ2-DiD results</w:t>
      </w:r>
    </w:p>
    <w:tbl>
      <w:tblPr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"/>
        <w:gridCol w:w="834"/>
        <w:gridCol w:w="756"/>
        <w:gridCol w:w="1086"/>
        <w:gridCol w:w="1066"/>
        <w:gridCol w:w="737"/>
        <w:gridCol w:w="749"/>
        <w:gridCol w:w="751"/>
        <w:gridCol w:w="806"/>
        <w:gridCol w:w="749"/>
      </w:tblGrid>
      <w:tr>
        <w:trPr>
          <w:trHeight w:val="680" w:hRule="atLeast"/>
        </w:trPr>
        <w:tc>
          <w:tcPr>
            <w:tcW w:w="50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Outcome</w:t>
            </w:r>
          </w:p>
        </w:tc>
        <w:tc>
          <w:tcPr>
            <w:tcW w:w="5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Control Before</w:t>
            </w:r>
          </w:p>
        </w:tc>
        <w:tc>
          <w:tcPr>
            <w:tcW w:w="45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Control After</w:t>
            </w:r>
          </w:p>
        </w:tc>
        <w:tc>
          <w:tcPr>
            <w:tcW w:w="6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Treatment Before</w:t>
            </w:r>
          </w:p>
        </w:tc>
        <w:tc>
          <w:tcPr>
            <w:tcW w:w="63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Treatment After</w:t>
            </w:r>
          </w:p>
        </w:tc>
        <w:tc>
          <w:tcPr>
            <w:tcW w:w="4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DiD (pp)</w:t>
            </w:r>
          </w:p>
        </w:tc>
        <w:tc>
          <w:tcPr>
            <w:tcW w:w="4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β</w:t>
            </w:r>
          </w:p>
        </w:tc>
        <w:tc>
          <w:tcPr>
            <w:tcW w:w="4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Cluster SE</w:t>
            </w:r>
          </w:p>
        </w:tc>
        <w:tc>
          <w:tcPr>
            <w:tcW w:w="45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95% CI</w:t>
            </w:r>
          </w:p>
        </w:tc>
        <w:tc>
          <w:tcPr>
            <w:tcW w:w="45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p</w:t>
            </w:r>
          </w:p>
        </w:tc>
      </w:tr>
      <w:tr>
        <w:trPr>
          <w:trHeight w:val="680" w:hRule="atLeast"/>
        </w:trPr>
        <w:tc>
          <w:tcPr>
            <w:tcW w:w="50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MCD</w:t>
            </w:r>
          </w:p>
        </w:tc>
        <w:tc>
          <w:tcPr>
            <w:tcW w:w="5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6.96%</w:t>
            </w:r>
          </w:p>
        </w:tc>
        <w:tc>
          <w:tcPr>
            <w:tcW w:w="45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5.86%</w:t>
            </w:r>
          </w:p>
        </w:tc>
        <w:tc>
          <w:tcPr>
            <w:tcW w:w="64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17.82%</w:t>
            </w:r>
          </w:p>
        </w:tc>
        <w:tc>
          <w:tcPr>
            <w:tcW w:w="63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8.43%</w:t>
            </w:r>
          </w:p>
        </w:tc>
        <w:tc>
          <w:tcPr>
            <w:tcW w:w="44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−8.29</w:t>
            </w:r>
          </w:p>
        </w:tc>
        <w:tc>
          <w:tcPr>
            <w:tcW w:w="4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−0.0829</w:t>
            </w:r>
          </w:p>
        </w:tc>
        <w:tc>
          <w:tcPr>
            <w:tcW w:w="4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0.0224</w:t>
            </w:r>
          </w:p>
        </w:tc>
        <w:tc>
          <w:tcPr>
            <w:tcW w:w="45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[−0.1268, −0.0390]</w:t>
            </w:r>
          </w:p>
        </w:tc>
        <w:tc>
          <w:tcPr>
            <w:tcW w:w="45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</w:tr>
      <w:tr>
        <w:trPr>
          <w:trHeight w:val="680" w:hRule="atLeast"/>
        </w:trPr>
        <w:tc>
          <w:tcPr>
            <w:tcW w:w="50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Agreement</w:t>
            </w:r>
          </w:p>
        </w:tc>
        <w:tc>
          <w:tcPr>
            <w:tcW w:w="5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37.17%</w:t>
            </w:r>
          </w:p>
        </w:tc>
        <w:tc>
          <w:tcPr>
            <w:tcW w:w="45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21.59%</w:t>
            </w:r>
          </w:p>
        </w:tc>
        <w:tc>
          <w:tcPr>
            <w:tcW w:w="6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16.72%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11.63%</w:t>
            </w:r>
          </w:p>
        </w:tc>
        <w:tc>
          <w:tcPr>
            <w:tcW w:w="44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10.49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0.1049</w:t>
            </w:r>
          </w:p>
        </w:tc>
        <w:tc>
          <w:tcPr>
            <w:tcW w:w="4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0.0232</w:t>
            </w:r>
          </w:p>
        </w:tc>
        <w:tc>
          <w:tcPr>
            <w:tcW w:w="45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[0.0594, 0.1505]</w:t>
            </w:r>
          </w:p>
        </w:tc>
        <w:tc>
          <w:tcPr>
            <w:tcW w:w="45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</w:tr>
    </w:tbl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579745" cy="2231390"/>
            <wp:effectExtent l="0" t="0" r="825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/>
        <w:jc w:val="center"/>
        <w:rPr>
          <w:rFonts w:hint="default"/>
          <w:lang w:val="en-US"/>
        </w:rPr>
      </w:pPr>
      <w:r>
        <w:t>Figure</w:t>
      </w:r>
      <w:r>
        <w:rPr>
          <w:lang w:val="en-US"/>
        </w:rPr>
        <w:t>. Main DiD interaction coefficients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3479"/>
    <w:rsid w:val="7F7F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000000"/>
      <w:sz w:val="18"/>
      <w:szCs w:val="18"/>
    </w:rPr>
  </w:style>
  <w:style w:type="character" w:customStyle="1" w:styleId="5">
    <w:name w:val="font11"/>
    <w:basedOn w:val="4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6">
    <w:name w:val="font0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2026-09-13T20:22:00Z</dcterms:created>
  <dc:creator>刘心怡</dc:creator>
  <cp:lastModifiedBy>刘心怡</cp:lastModifiedBy>
  <dcterms:modified xsi:type="dcterms:W3CDTF">2026-09-13T20:33:39Z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B7AE5156121C399E7395A66ABEFBC3B9_41</vt:lpwstr>
  </property>
</Properties>
</file>