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A4" w:rsidRPr="004922A4" w:rsidRDefault="004922A4" w:rsidP="00492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22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Разница между режимами MPI </w:t>
      </w:r>
      <w:proofErr w:type="spellStart"/>
      <w:r w:rsidRPr="004922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send</w:t>
      </w:r>
      <w:proofErr w:type="spellEnd"/>
    </w:p>
    <w:p w:rsidR="004922A4" w:rsidRPr="004922A4" w:rsidRDefault="004922A4" w:rsidP="00492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2A4">
        <w:rPr>
          <w:rFonts w:ascii="Times New Roman" w:eastAsia="Times New Roman" w:hAnsi="Times New Roman" w:cs="Times New Roman"/>
          <w:sz w:val="24"/>
          <w:szCs w:val="24"/>
          <w:lang w:eastAsia="ru-RU"/>
        </w:rPr>
        <w:t>09 ноя 2020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Введение</w:t>
      </w:r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Существуют различные режимы </w:t>
      </w:r>
      <w:r w:rsidRPr="004922A4">
        <w:rPr>
          <w:rFonts w:ascii="Candara" w:eastAsia="Times New Roman" w:hAnsi="Candara" w:cs="Times New Roman"/>
          <w:i/>
          <w:iCs/>
          <w:color w:val="000000"/>
          <w:sz w:val="29"/>
          <w:szCs w:val="29"/>
          <w:lang w:eastAsia="ru-RU"/>
        </w:rPr>
        <w:t>MPI посыла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: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MPI_Isend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MPI_Bsend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 и так далее. Они могут быть локальными или нелокальными, блокирующими или неблокирующими, синхронными или асинхронными. Их определение и различия подробно описаны здесь.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стандартный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режим. Когда он вызывается, (1) сообщение может быть напрямую передано в буфер приема, (2) данные буферизируются (во временной памяти в реализации MPI) или (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3) 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функция ожидает появления принимающего процесса. См. Картинку ниже. Следовательно, он может быстро вернуться (1) (2) или заблокировать процесс на некоторое время (3). MPI решает, какой сценарий лучше всего с точки зрения производительности, памяти и так далее. В любом случае данные можно безопасно изменить после возврата из функции.</w:t>
      </w:r>
    </w:p>
    <w:p w:rsidR="004922A4" w:rsidRPr="004922A4" w:rsidRDefault="004922A4" w:rsidP="004922A4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5295265" cy="3828415"/>
            <wp:effectExtent l="0" t="0" r="635" b="635"/>
            <wp:docPr id="6" name="Рисунок 6" descr="https://iamsorush.com/images/mpi_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amsorush.com/images/mpi_s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lastRenderedPageBreak/>
        <w:t>MPI_Ssend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синхронизированная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функция блокировки. Когда эта функция возвращается, адресат начал получать сообщение. В тот момент, когда пункт назначения начинает получать, он отправляет сигнал </w:t>
      </w:r>
      <w:r w:rsidRPr="004922A4">
        <w:rPr>
          <w:rFonts w:ascii="Candara" w:eastAsia="Times New Roman" w:hAnsi="Candara" w:cs="Times New Roman"/>
          <w:i/>
          <w:iCs/>
          <w:color w:val="000000"/>
          <w:sz w:val="29"/>
          <w:szCs w:val="29"/>
          <w:lang w:eastAsia="ru-RU"/>
        </w:rPr>
        <w:t>ACK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источнику.</w:t>
      </w:r>
    </w:p>
    <w:p w:rsidR="004922A4" w:rsidRPr="004922A4" w:rsidRDefault="004922A4" w:rsidP="004922A4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5329555" cy="3848735"/>
            <wp:effectExtent l="0" t="0" r="4445" b="0"/>
            <wp:docPr id="5" name="Рисунок 5" descr="https://iamsorush.com/images/mpi_s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amsorush.com/images/mpi_ss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Обратите внимание, что сигнал о получении сообщения - это разница между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MPI_Ssend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и</w:t>
      </w:r>
      <w:proofErr w:type="spellEnd"/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MPI_Bsend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 локальная блокирующая отправка. При вызове этой функции программист определяет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локальный буфер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.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Если подходящего приема нет, процесс блокируется до тех пор, пока сообщение не будет скопировано в буфер. Следовательно, программист может сразу изменить исходные данные после возврата из функции.</w:t>
      </w:r>
    </w:p>
    <w:p w:rsidR="004922A4" w:rsidRPr="004922A4" w:rsidRDefault="004922A4" w:rsidP="004922A4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5608955" cy="3712210"/>
            <wp:effectExtent l="0" t="0" r="0" b="2540"/>
            <wp:docPr id="4" name="Рисунок 4" descr="https://iamsorush.com/images/mpi_b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amsorush.com/images/mpi_bs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Обратите внимание: когда функция возвращает сообщение, вероятно, еще не отправленное, это произойдет одновременно в фоновом режиме процесса, когда будет найдено согласованное получение.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MPI_Rsend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 функция блокировки, такая же, как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 но она ожидает, что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адресат готов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к приему сообщения. Это может повысить производительность MPI, если программист уверен, что этого ожидает функция приема. Если ранее не было получено сообщение о получении, оно ошибочно.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MPI_Isend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 неблокирующая версия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. Когда эта функция вызывается, функция немедленно возвращается, но выполняет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</w:t>
      </w:r>
      <w:proofErr w:type="gram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Send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действия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в фоновом режиме процесса. Таким образом, после завершения функции, данные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должны не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быть изменены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,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если </w:t>
      </w:r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MPI_Test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и </w:t>
      </w:r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MPI_Wait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подтверждения </w:t>
      </w:r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MPI_Isend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завершения. После завершения данные можно использовать повторно, поскольку они либо помещаются в буфер в MPI, либо отправляются по назначению.</w:t>
      </w:r>
    </w:p>
    <w:p w:rsidR="004922A4" w:rsidRPr="004922A4" w:rsidRDefault="004922A4" w:rsidP="004922A4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5984240" cy="4278630"/>
            <wp:effectExtent l="0" t="0" r="0" b="7620"/>
            <wp:docPr id="3" name="Рисунок 3" descr="https://iamsorush.com/images/mpi_i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amsorush.com/images/mpi_is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MPI_Issend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 неблокирующая версия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. Он возвращается немедленно, но выполняет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</w:t>
      </w:r>
      <w:proofErr w:type="gram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Ssend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действия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в фоновом режиме.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MPI_Test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или</w:t>
      </w:r>
      <w:proofErr w:type="spellEnd"/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MPI_Wait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должен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использоваться, чтобы оценить, выполняется ли функция в фоновом режиме. В этот момент не только сообщение было отправлено, но и пункт назначения начал получать сообщение.</w:t>
      </w:r>
    </w:p>
    <w:p w:rsidR="004922A4" w:rsidRPr="004922A4" w:rsidRDefault="004922A4" w:rsidP="004922A4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5772785" cy="4380865"/>
            <wp:effectExtent l="0" t="0" r="0" b="635"/>
            <wp:docPr id="2" name="Рисунок 2" descr="https://iamsorush.com/images/mpi_is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amsorush.com/images/mpi_iss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MPI_Ibsend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Это местная неблокирующая отправка. Он блокирует ни копирование сообщения в буфер, ни отправку сообщения. После положительного результата теста или ожидания мы можем изменить исходные данные, потому что, если они не отправлены, они локально копируются в выделенный буфер.</w:t>
      </w:r>
    </w:p>
    <w:p w:rsidR="004922A4" w:rsidRPr="004922A4" w:rsidRDefault="004922A4" w:rsidP="004922A4">
      <w:pPr>
        <w:spacing w:after="0" w:line="240" w:lineRule="auto"/>
        <w:jc w:val="center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5725160" cy="3957955"/>
            <wp:effectExtent l="0" t="0" r="8890" b="4445"/>
            <wp:docPr id="1" name="Рисунок 1" descr="https://iamsorush.com/images/mpi_ib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amsorush.com/images/mpi_ibs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MPI_Irsend</w:t>
      </w:r>
      <w:proofErr w:type="spellEnd"/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То же, что и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MPI_Rsend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 но без блокировки.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t>Список приоритетов</w:t>
      </w:r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Трудно дать рецепт всех проблем. Однако некоторые моменты могут помочь выбрать правильный режим:</w:t>
      </w:r>
    </w:p>
    <w:p w:rsidR="004922A4" w:rsidRPr="004922A4" w:rsidRDefault="004922A4" w:rsidP="00492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Когда возникает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тупик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,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может помочь неблокирующая связь.</w:t>
      </w:r>
    </w:p>
    <w:p w:rsidR="004922A4" w:rsidRPr="004922A4" w:rsidRDefault="004922A4" w:rsidP="00492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Когда возникает состояние </w:t>
      </w:r>
      <w:hyperlink r:id="rId12" w:history="1">
        <w:r w:rsidRPr="004922A4">
          <w:rPr>
            <w:rFonts w:ascii="Candara" w:eastAsia="Times New Roman" w:hAnsi="Candara" w:cs="Times New Roman"/>
            <w:b/>
            <w:bCs/>
            <w:color w:val="000000"/>
            <w:sz w:val="29"/>
            <w:szCs w:val="29"/>
            <w:lang w:eastAsia="ru-RU"/>
          </w:rPr>
          <w:t>гонки</w:t>
        </w:r>
      </w:hyperlink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,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может помочь блокировка связи.</w:t>
      </w:r>
    </w:p>
    <w:p w:rsidR="004922A4" w:rsidRPr="004922A4" w:rsidRDefault="004922A4" w:rsidP="00492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Когда есть задача,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требующая больших вычислительных ресурсов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,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неблокирующее сообщение, размещенное перед задачей, может улучшить производительность.</w:t>
      </w:r>
    </w:p>
    <w:p w:rsidR="004922A4" w:rsidRPr="004922A4" w:rsidRDefault="004922A4" w:rsidP="00492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MPI_Send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и</w:t>
      </w:r>
      <w:proofErr w:type="spellEnd"/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MPI_Isend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занимают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первое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место в списке приоритетов, поскольку MPI решает, что лучше.</w:t>
      </w:r>
    </w:p>
    <w:p w:rsidR="004922A4" w:rsidRPr="004922A4" w:rsidRDefault="004922A4" w:rsidP="00492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MPI_Ssend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и</w:t>
      </w:r>
      <w:proofErr w:type="spellEnd"/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MPI_Issend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 когда отправителю необходимо знать,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когда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сообщение получено, и избежать локальной буферизации.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</w:t>
      </w:r>
      <w:proofErr w:type="gram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Ssend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может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быть полезно для отладки.</w:t>
      </w:r>
    </w:p>
    <w:p w:rsidR="004922A4" w:rsidRPr="004922A4" w:rsidRDefault="004922A4" w:rsidP="00492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MPI_Bsend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MPI_Ibsend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MPI_Rsend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, </w:t>
      </w:r>
      <w:proofErr w:type="spell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MPI_</w:t>
      </w:r>
      <w:proofErr w:type="gramStart"/>
      <w:r w:rsidRPr="004922A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DFDC88"/>
          <w:lang w:eastAsia="ru-RU"/>
        </w:rPr>
        <w:t>Irsend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Предназначены</w:t>
      </w:r>
      <w:proofErr w:type="spell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для </w:t>
      </w:r>
      <w:r w:rsidRPr="004922A4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eastAsia="ru-RU"/>
        </w:rPr>
        <w:t>тонкой настройки</w:t>
      </w: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на производительность.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</w:pPr>
      <w:r w:rsidRPr="004922A4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eastAsia="ru-RU"/>
        </w:rPr>
        <w:lastRenderedPageBreak/>
        <w:t>использованная литература</w:t>
      </w:r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Я получил идеи и коды с </w:t>
      </w:r>
      <w:proofErr w:type="gramStart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указанных</w:t>
      </w:r>
      <w:proofErr w:type="gramEnd"/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 xml:space="preserve"> ниже веб-сайтов.</w:t>
      </w:r>
    </w:p>
    <w:p w:rsidR="004922A4" w:rsidRPr="004922A4" w:rsidRDefault="004922A4" w:rsidP="004922A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3" w:history="1"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Отчет MPI 3.1 - разделы 3.4, 3.7</w:t>
        </w:r>
      </w:hyperlink>
    </w:p>
    <w:p w:rsidR="004922A4" w:rsidRPr="004922A4" w:rsidRDefault="004922A4" w:rsidP="004922A4">
      <w:pPr>
        <w:spacing w:before="720" w:after="0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pict>
          <v:rect id="_x0000_i1025" style="width:25.5pt;height:1.5pt" o:hrpct="0" o:hrstd="t" o:hr="t" fillcolor="#a0a0a0" stroked="f"/>
        </w:pic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</w:pPr>
      <w:r w:rsidRPr="004922A4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>Связанные теги</w:t>
      </w:r>
    </w:p>
    <w:p w:rsidR="004922A4" w:rsidRPr="004922A4" w:rsidRDefault="004922A4" w:rsidP="004922A4">
      <w:pPr>
        <w:spacing w:after="0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4" w:history="1"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MPI</w:t>
        </w:r>
      </w:hyperlink>
    </w:p>
    <w:p w:rsidR="004922A4" w:rsidRPr="004922A4" w:rsidRDefault="004922A4" w:rsidP="004922A4">
      <w:pPr>
        <w:spacing w:before="720" w:after="0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 w:rsidRPr="004922A4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pict>
          <v:rect id="_x0000_i1026" style="width:25.5pt;height:1.5pt" o:hrpct="0" o:hrstd="t" o:hr="t" fillcolor="#a0a0a0" stroked="f"/>
        </w:pict>
      </w:r>
    </w:p>
    <w:p w:rsidR="004922A4" w:rsidRPr="004922A4" w:rsidRDefault="004922A4" w:rsidP="004922A4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</w:pPr>
      <w:r w:rsidRPr="004922A4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>Последние посты</w:t>
      </w:r>
    </w:p>
    <w:p w:rsidR="004922A4" w:rsidRPr="004922A4" w:rsidRDefault="004922A4" w:rsidP="00492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5" w:history="1"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Span</w:t>
        </w:r>
        <w:proofErr w:type="spellEnd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 - новая норма в кодах C ++</w:t>
        </w:r>
      </w:hyperlink>
    </w:p>
    <w:p w:rsidR="004922A4" w:rsidRPr="004922A4" w:rsidRDefault="004922A4" w:rsidP="00492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6" w:history="1"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Основной шрифт и расширения VS </w:t>
        </w:r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Code</w:t>
        </w:r>
        <w:proofErr w:type="spellEnd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 для C ++</w:t>
        </w:r>
      </w:hyperlink>
    </w:p>
    <w:p w:rsidR="004922A4" w:rsidRPr="004922A4" w:rsidRDefault="004922A4" w:rsidP="00492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7" w:history="1"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Обзор C ++ </w:t>
        </w:r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perfect</w:t>
        </w:r>
        <w:proofErr w:type="spellEnd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 </w:t>
        </w:r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forwarding</w:t>
        </w:r>
        <w:proofErr w:type="spellEnd"/>
      </w:hyperlink>
    </w:p>
    <w:p w:rsidR="004922A4" w:rsidRPr="004922A4" w:rsidRDefault="004922A4" w:rsidP="00492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8" w:history="1"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Полезен ли статический полиморфизм C ++?</w:t>
        </w:r>
      </w:hyperlink>
    </w:p>
    <w:p w:rsidR="004922A4" w:rsidRPr="004922A4" w:rsidRDefault="004922A4" w:rsidP="00492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19" w:history="1"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Из </w:t>
        </w:r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lvalue</w:t>
        </w:r>
        <w:proofErr w:type="spellEnd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, </w:t>
        </w:r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prvalue</w:t>
        </w:r>
        <w:proofErr w:type="spellEnd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 и </w:t>
        </w:r>
        <w:proofErr w:type="spellStart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xvalue</w:t>
        </w:r>
        <w:proofErr w:type="spellEnd"/>
        <w:r w:rsidRPr="004922A4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 xml:space="preserve"> для перемещения семантики в C ++</w:t>
        </w:r>
      </w:hyperlink>
    </w:p>
    <w:p w:rsidR="00D23F37" w:rsidRDefault="00D23F37">
      <w:bookmarkStart w:id="0" w:name="_GoBack"/>
      <w:bookmarkEnd w:id="0"/>
    </w:p>
    <w:sectPr w:rsidR="00D2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553E"/>
    <w:multiLevelType w:val="multilevel"/>
    <w:tmpl w:val="0A1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6B3"/>
    <w:multiLevelType w:val="multilevel"/>
    <w:tmpl w:val="F0D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DB"/>
    <w:rsid w:val="004922A4"/>
    <w:rsid w:val="00D23F37"/>
    <w:rsid w:val="00E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2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2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2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2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2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22A4"/>
    <w:rPr>
      <w:i/>
      <w:iCs/>
    </w:rPr>
  </w:style>
  <w:style w:type="character" w:styleId="HTML">
    <w:name w:val="HTML Code"/>
    <w:basedOn w:val="a0"/>
    <w:uiPriority w:val="99"/>
    <w:semiHidden/>
    <w:unhideWhenUsed/>
    <w:rsid w:val="004922A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922A4"/>
    <w:rPr>
      <w:b/>
      <w:bCs/>
    </w:rPr>
  </w:style>
  <w:style w:type="character" w:styleId="a6">
    <w:name w:val="Hyperlink"/>
    <w:basedOn w:val="a0"/>
    <w:uiPriority w:val="99"/>
    <w:semiHidden/>
    <w:unhideWhenUsed/>
    <w:rsid w:val="004922A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9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2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2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2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2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2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22A4"/>
    <w:rPr>
      <w:i/>
      <w:iCs/>
    </w:rPr>
  </w:style>
  <w:style w:type="character" w:styleId="HTML">
    <w:name w:val="HTML Code"/>
    <w:basedOn w:val="a0"/>
    <w:uiPriority w:val="99"/>
    <w:semiHidden/>
    <w:unhideWhenUsed/>
    <w:rsid w:val="004922A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922A4"/>
    <w:rPr>
      <w:b/>
      <w:bCs/>
    </w:rPr>
  </w:style>
  <w:style w:type="character" w:styleId="a6">
    <w:name w:val="Hyperlink"/>
    <w:basedOn w:val="a0"/>
    <w:uiPriority w:val="99"/>
    <w:semiHidden/>
    <w:unhideWhenUsed/>
    <w:rsid w:val="004922A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9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pi-forum.org/docs/mpi-3.1/mpi31-report.pdf" TargetMode="External"/><Relationship Id="rId18" Type="http://schemas.openxmlformats.org/officeDocument/2006/relationships/hyperlink" Target="https://iamsorush.com/posts/static-polymorphism-cpp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iamsorush.com/posts/mpi-race-condition/" TargetMode="External"/><Relationship Id="rId17" Type="http://schemas.openxmlformats.org/officeDocument/2006/relationships/hyperlink" Target="https://iamsorush.com/posts/perfect-forwarding-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amsorush.com/posts/vs-code-extension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iamsorush.com/posts/cpp-spa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iamsorush.com/posts/move-semantics-c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amsorush.com/tags/m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Можжухина Арина Валерьевна</dc:creator>
  <cp:keywords/>
  <dc:description/>
  <cp:lastModifiedBy>Можжухина Арина Валерьевна</cp:lastModifiedBy>
  <cp:revision>2</cp:revision>
  <dcterms:created xsi:type="dcterms:W3CDTF">2021-04-02T07:58:00Z</dcterms:created>
  <dcterms:modified xsi:type="dcterms:W3CDTF">2021-04-02T07:59:00Z</dcterms:modified>
</cp:coreProperties>
</file>