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83195" w14:textId="3C84503F" w:rsidR="00C22FDD" w:rsidRDefault="00C22FDD" w:rsidP="00C22FD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Summary </w:t>
      </w:r>
    </w:p>
    <w:p w14:paraId="3B075196" w14:textId="2923187F" w:rsidR="00C22FDD" w:rsidRDefault="00C22FDD" w:rsidP="00C22FDD">
      <w:pPr>
        <w:pStyle w:val="Default"/>
        <w:rPr>
          <w:b/>
          <w:bCs/>
          <w:sz w:val="23"/>
          <w:szCs w:val="23"/>
        </w:rPr>
      </w:pPr>
    </w:p>
    <w:p w14:paraId="1AC70041" w14:textId="77777777" w:rsidR="00E459F1" w:rsidRDefault="00E459F1" w:rsidP="00C22FDD">
      <w:pPr>
        <w:rPr>
          <w:sz w:val="22"/>
          <w:szCs w:val="22"/>
        </w:rPr>
      </w:pPr>
    </w:p>
    <w:p w14:paraId="29C23A3C" w14:textId="4AD89174" w:rsidR="00017B16" w:rsidRPr="00DF09F1" w:rsidRDefault="008B017B" w:rsidP="00DF09F1">
      <w:pPr>
        <w:spacing w:line="276" w:lineRule="auto"/>
        <w:jc w:val="both"/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Many important pathogens circulate within multi-host communities. Equally, many hosts can be infected with multiple pathogens at any given time.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In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amphibian populations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,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the two pathogens of </w:t>
      </w:r>
      <w:r w:rsidR="00DF09F1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most </w:t>
      </w:r>
      <w:r w:rsidR="00456AA0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global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conservation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concern, Ranavirus and </w:t>
      </w:r>
      <w:r w:rsidR="00E459F1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 xml:space="preserve">Batrachochytrium dendrobatidis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(</w:t>
      </w:r>
      <w:r w:rsidR="00E459F1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>Bd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), </w:t>
      </w:r>
      <w:r w:rsidR="00CA454A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have </w:t>
      </w:r>
      <w:r w:rsidR="00456AA0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recently </w:t>
      </w:r>
      <w:r w:rsidR="00CA454A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>been indicated to</w:t>
      </w:r>
      <w:r w:rsidR="00E459F1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occur as co-infections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yet our understanding of </w:t>
      </w:r>
      <w:r w:rsidR="00095C55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these complex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host-pathogen interactions</w:t>
      </w:r>
      <w:r w:rsidR="00CA454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remains limited. </w:t>
      </w:r>
    </w:p>
    <w:p w14:paraId="6A1091F0" w14:textId="53FDC017" w:rsidR="0047245F" w:rsidRPr="00DF09F1" w:rsidRDefault="009725C6" w:rsidP="00DF09F1">
      <w:pPr>
        <w:pStyle w:val="Default"/>
        <w:spacing w:line="276" w:lineRule="auto"/>
        <w:jc w:val="both"/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We </w:t>
      </w:r>
      <w:r w:rsidR="00095C55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empirically </w:t>
      </w: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tested how susceptibility, infectiousness and burden of disease changed with infection scenario (single vs coinfection) 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across a panel of host </w:t>
      </w:r>
      <w:r w:rsidR="00017B16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lang w:val="en-GB"/>
        </w:rPr>
        <w:t>species</w:t>
      </w:r>
      <w:r w:rsidR="00237C3A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lang w:val="en-GB"/>
        </w:rPr>
        <w:t xml:space="preserve"> (</w:t>
      </w:r>
      <w:r w:rsidR="00237C3A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lang w:val="en-GB"/>
        </w:rPr>
        <w:t>Bufo bufo, Rana temporaria and Alytes muletensis)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 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GB"/>
        </w:rPr>
        <w:t xml:space="preserve">that range in their reported susceptibility. 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We measured the contributions of each host, at an individual level, to the environmental pool of infectious particles, by quantifying Bd zoospores and ranavirus virion outputs </w:t>
      </w:r>
      <w:r w:rsid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at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five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time points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post exposure, using a water filtration system.</w:t>
      </w:r>
    </w:p>
    <w:p w14:paraId="0A53AA5C" w14:textId="46F36BEE" w:rsidR="00F6391A" w:rsidRPr="00B006B7" w:rsidRDefault="00CA454A" w:rsidP="00B006B7">
      <w:pPr>
        <w:spacing w:before="120" w:after="120" w:line="276" w:lineRule="auto"/>
        <w:jc w:val="both"/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We demonstrated that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disease prevalence</w:t>
      </w:r>
      <w:r w:rsid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and infection burden,</w:t>
      </w:r>
      <w:r w:rsidR="00BF361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is context dependent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with ranaviral infection significantly higher in co-infection scenarios (</w:t>
      </w:r>
      <w:r w:rsidR="00EF2E4E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) though the </w:t>
      </w:r>
      <w:r w:rsidR="00EF2E4E"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direction of these effects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differed with the sequence of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co-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n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(</w:t>
      </w:r>
      <w:r w:rsidR="00EF2E4E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stat2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5C4F03" w:rsidRPr="00B006B7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and host species 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(</w:t>
      </w:r>
      <w:r w:rsidR="005C4F03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</w:t>
      </w:r>
      <w:r w:rsidR="005C4F03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3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. 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We detected a significant effect of exposure sequence on 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host infectiousness</w:t>
      </w:r>
      <w:r w:rsidR="00BF361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with </w:t>
      </w:r>
      <w:r w:rsidR="00BF361E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654FB8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>infection</w:t>
      </w:r>
      <w:r w:rsidR="00BF361E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scenario</w:t>
      </w:r>
      <w:r w:rsidR="00654FB8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F361E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influencing pathogen shedding rate and viability </w:t>
      </w:r>
      <w:r w:rsidR="00654FB8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of one or both </w:t>
      </w:r>
      <w:r w:rsidR="00FE41C8">
        <w:rPr>
          <w:rFonts w:asciiTheme="majorHAnsi" w:hAnsiTheme="majorHAnsi" w:cstheme="majorHAnsi"/>
          <w:color w:val="000000" w:themeColor="text1"/>
          <w:sz w:val="22"/>
          <w:szCs w:val="22"/>
        </w:rPr>
        <w:t>pathogens</w:t>
      </w:r>
      <w:r w:rsidR="004B48D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="004B48D1" w:rsidRPr="003F5015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stat4</w:t>
      </w:r>
      <w:r w:rsidR="004B48D1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654FB8" w:rsidRPr="00DF09F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 </w:t>
      </w:r>
    </w:p>
    <w:p w14:paraId="3EA006AE" w14:textId="40F3F37D" w:rsidR="00F6391A" w:rsidRPr="00DF09F1" w:rsidRDefault="00F21BE2" w:rsidP="00DF09F1">
      <w:pPr>
        <w:spacing w:line="276" w:lineRule="auto"/>
        <w:jc w:val="both"/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Our study provides </w:t>
      </w:r>
      <w:r w:rsidRPr="00DF09F1">
        <w:rPr>
          <w:rFonts w:asciiTheme="majorHAnsi" w:hAnsiTheme="majorHAnsi" w:cstheme="majorHAnsi"/>
          <w:noProof/>
          <w:color w:val="FF0000"/>
          <w:sz w:val="22"/>
          <w:szCs w:val="22"/>
        </w:rPr>
        <w:t xml:space="preserve">previously lacking </w:t>
      </w: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emperical </w:t>
      </w:r>
      <w:r w:rsidR="009A6EE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evidence</w:t>
      </w: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of </w:t>
      </w:r>
      <w:r w:rsidR="0014146C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within-host and between-host </w:t>
      </w:r>
      <w:r w:rsidR="00BF361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dynamics under different </w:t>
      </w:r>
      <w:r w:rsidR="0014146C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infection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scenario</w:t>
      </w:r>
      <w:r w:rsidR="00BF361E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s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(single vs </w:t>
      </w:r>
      <w:r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co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-</w:t>
      </w:r>
      <w:r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infection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a</w:t>
      </w:r>
      <w:r w:rsidR="009A6EE6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n</w:t>
      </w:r>
      <w:r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d highlights the importance of 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understanding host contributions to </w:t>
      </w:r>
      <w:r w:rsidR="00B006B7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enviromental r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eservoirs</w:t>
      </w:r>
      <w:r w:rsidR="00B006B7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of disease. </w:t>
      </w:r>
      <w:r w:rsidR="00F6391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Building an understanding of the transmission process between an infectious host and a susceptible individual, across different host species, allows us to predict how host specie</w:t>
      </w:r>
      <w:bookmarkStart w:id="0" w:name="_GoBack"/>
      <w:bookmarkEnd w:id="0"/>
      <w:r w:rsidR="00F6391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s community composition influences the establishment and persistence of both pathogens, singularly and as coinfections, at the community level. </w:t>
      </w:r>
      <w:commentRangeStart w:id="1"/>
      <w:commentRangeEnd w:id="1"/>
    </w:p>
    <w:p w14:paraId="4DE3EF1B" w14:textId="77777777" w:rsidR="009725C6" w:rsidRDefault="009725C6" w:rsidP="009725C6">
      <w:pPr>
        <w:rPr>
          <w:b/>
          <w:bCs/>
          <w:sz w:val="23"/>
          <w:szCs w:val="23"/>
        </w:rPr>
      </w:pPr>
    </w:p>
    <w:p w14:paraId="3C58AE29" w14:textId="1087561E" w:rsidR="009725C6" w:rsidRDefault="009725C6" w:rsidP="009725C6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>
        <w:rPr>
          <w:b/>
          <w:bCs/>
          <w:sz w:val="23"/>
          <w:szCs w:val="23"/>
        </w:rPr>
        <w:t>Key-words:</w:t>
      </w:r>
      <w:r>
        <w:rPr>
          <w:i/>
          <w:iCs/>
          <w:sz w:val="22"/>
          <w:szCs w:val="22"/>
        </w:rPr>
        <w:t xml:space="preserve"> </w:t>
      </w:r>
      <w:r w:rsidRPr="006C2D4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>Batrachochytrium dendrobatidis</w:t>
      </w:r>
      <w:r>
        <w:rPr>
          <w:sz w:val="22"/>
          <w:szCs w:val="22"/>
        </w:rPr>
        <w:t xml:space="preserve">, </w:t>
      </w:r>
      <w:r w:rsidRPr="006C2D4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Ranavirus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coinfection, multi-host, within-host interactions, 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between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-host interactions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host-pathogen interaction, amphibian, chytridmycosis   </w:t>
      </w:r>
      <w:r w:rsidRPr="009B119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﻿</w:t>
      </w:r>
    </w:p>
    <w:p w14:paraId="03211649" w14:textId="2760AB23" w:rsidR="009725C6" w:rsidRDefault="009725C6" w:rsidP="009725C6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</w:p>
    <w:p w14:paraId="1F11AF81" w14:textId="04869B1E" w:rsidR="00997A4E" w:rsidRDefault="00997A4E" w:rsidP="009725C6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</w:p>
    <w:p w14:paraId="09FAAD52" w14:textId="70D7D3F0" w:rsidR="00F6391A" w:rsidRDefault="00F6391A" w:rsidP="00920FCB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</w:p>
    <w:p w14:paraId="22EAA463" w14:textId="77777777" w:rsidR="00F6391A" w:rsidRDefault="00F6391A" w:rsidP="00920FCB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</w:p>
    <w:p w14:paraId="624278A8" w14:textId="297320AB" w:rsidR="008F009F" w:rsidRPr="00E459F1" w:rsidRDefault="008F009F" w:rsidP="009E4915"/>
    <w:sectPr w:rsidR="008F009F" w:rsidRPr="00E459F1" w:rsidSect="00304A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ED9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1B9F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81379"/>
    <w:multiLevelType w:val="hybridMultilevel"/>
    <w:tmpl w:val="EA8A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05A9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DD"/>
    <w:rsid w:val="000132C5"/>
    <w:rsid w:val="00017B16"/>
    <w:rsid w:val="00095C55"/>
    <w:rsid w:val="000A231E"/>
    <w:rsid w:val="000C7F17"/>
    <w:rsid w:val="0011056A"/>
    <w:rsid w:val="0014146C"/>
    <w:rsid w:val="002008F8"/>
    <w:rsid w:val="00217F29"/>
    <w:rsid w:val="002205FD"/>
    <w:rsid w:val="00237C3A"/>
    <w:rsid w:val="002673BF"/>
    <w:rsid w:val="00304A3F"/>
    <w:rsid w:val="00321D49"/>
    <w:rsid w:val="00352FFC"/>
    <w:rsid w:val="00377C58"/>
    <w:rsid w:val="003F5015"/>
    <w:rsid w:val="00401F67"/>
    <w:rsid w:val="00456AA0"/>
    <w:rsid w:val="0047245F"/>
    <w:rsid w:val="004B48D1"/>
    <w:rsid w:val="004E067A"/>
    <w:rsid w:val="005C4F03"/>
    <w:rsid w:val="00654FB8"/>
    <w:rsid w:val="006875E9"/>
    <w:rsid w:val="00777034"/>
    <w:rsid w:val="00815AD5"/>
    <w:rsid w:val="0088041B"/>
    <w:rsid w:val="008B017B"/>
    <w:rsid w:val="008F009F"/>
    <w:rsid w:val="00920FCB"/>
    <w:rsid w:val="009725C6"/>
    <w:rsid w:val="00997A4E"/>
    <w:rsid w:val="00997BE6"/>
    <w:rsid w:val="009A6EE6"/>
    <w:rsid w:val="009B1195"/>
    <w:rsid w:val="009E4915"/>
    <w:rsid w:val="00AA5704"/>
    <w:rsid w:val="00B006B7"/>
    <w:rsid w:val="00B2536C"/>
    <w:rsid w:val="00B5127A"/>
    <w:rsid w:val="00BB006F"/>
    <w:rsid w:val="00BF361E"/>
    <w:rsid w:val="00C22FDD"/>
    <w:rsid w:val="00CA454A"/>
    <w:rsid w:val="00D33055"/>
    <w:rsid w:val="00DF09F1"/>
    <w:rsid w:val="00E459F1"/>
    <w:rsid w:val="00E906F4"/>
    <w:rsid w:val="00EA6293"/>
    <w:rsid w:val="00EF2E4E"/>
    <w:rsid w:val="00F21BE2"/>
    <w:rsid w:val="00F6391A"/>
    <w:rsid w:val="00FA50C2"/>
    <w:rsid w:val="00FD1646"/>
    <w:rsid w:val="00FD68DF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77903"/>
  <w14:defaultImageDpi w14:val="32767"/>
  <w15:chartTrackingRefBased/>
  <w15:docId w15:val="{75F9AA3A-8F2D-AE46-96C1-87BF7BA0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FD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E459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C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Allen</dc:creator>
  <cp:keywords/>
  <dc:description/>
  <cp:lastModifiedBy>Bryony Allen</cp:lastModifiedBy>
  <cp:revision>2</cp:revision>
  <dcterms:created xsi:type="dcterms:W3CDTF">2019-03-01T09:47:00Z</dcterms:created>
  <dcterms:modified xsi:type="dcterms:W3CDTF">2019-03-01T09:47:00Z</dcterms:modified>
</cp:coreProperties>
</file>