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1D18" w14:textId="77777777" w:rsidR="009F4D6D" w:rsidRDefault="00000000">
      <w:pPr>
        <w:pStyle w:val="Heading1"/>
      </w:pPr>
      <w:bookmarkStart w:id="0" w:name="abstract"/>
      <w:r>
        <w:t>Abstract</w:t>
      </w:r>
    </w:p>
    <w:p w14:paraId="4C069FC6" w14:textId="77777777" w:rsidR="001F236E" w:rsidRDefault="00000000" w:rsidP="001F236E">
      <w:pPr>
        <w:pStyle w:val="Compact"/>
      </w:pPr>
      <w:r>
        <w:rPr>
          <w:b/>
          <w:bCs/>
        </w:rPr>
        <w:t>Rationale:</w:t>
      </w:r>
      <w:r>
        <w:t xml:space="preserve"> The claim that fungal endophytes are ubiquitous is frequently repeated but lacks a rigorous global synthesis. We argue that understanding the geographic and taxonomic distribution of research effort is essential to evaluate this claim and the reliability of our ecological generalizations. </w:t>
      </w:r>
    </w:p>
    <w:p w14:paraId="35FDF504" w14:textId="77777777" w:rsidR="001F236E" w:rsidRDefault="00000000" w:rsidP="001F236E">
      <w:pPr>
        <w:pStyle w:val="Compact"/>
      </w:pPr>
      <w:r>
        <w:rPr>
          <w:b/>
          <w:bCs/>
        </w:rPr>
        <w:t>Methods:</w:t>
      </w:r>
      <w:r>
        <w:t xml:space="preserve"> We conducted an abstract-led field audit of 18,750 publications. We harmonized host and fungal taxonomy against the Global Biodiversity Information Facility (GBIF) backbone and modeled the relationship between research effort, geography, and national Gross Domestic Product (GDP). </w:t>
      </w:r>
    </w:p>
    <w:p w14:paraId="6073D7EE" w14:textId="77777777" w:rsidR="001F236E" w:rsidRDefault="00000000" w:rsidP="001F236E">
      <w:pPr>
        <w:pStyle w:val="Compact"/>
      </w:pPr>
      <w:r>
        <w:rPr>
          <w:b/>
          <w:bCs/>
        </w:rPr>
        <w:t>Key Results:</w:t>
      </w:r>
      <w:r>
        <w:t xml:space="preserve"> We found that the ubiquity claim appears in 2.7% of abstracts. Research is heavily concentrated in high-GDP, temperate nations. Significant taxonomic gaps exist, particularly for early-diverging plant lineages such as </w:t>
      </w:r>
      <w:r>
        <w:rPr>
          <w:i/>
          <w:iCs/>
        </w:rPr>
        <w:t>Charophyta</w:t>
      </w:r>
      <w:r>
        <w:t xml:space="preserve"> and </w:t>
      </w:r>
      <w:r>
        <w:rPr>
          <w:i/>
          <w:iCs/>
        </w:rPr>
        <w:t>Bryophyta</w:t>
      </w:r>
      <w:r>
        <w:t xml:space="preserve">. A country’s GDP was the strongest predictor of its study count. </w:t>
      </w:r>
    </w:p>
    <w:p w14:paraId="25561D19" w14:textId="67E1E750" w:rsidR="009F4D6D" w:rsidRDefault="00000000" w:rsidP="001F236E">
      <w:pPr>
        <w:pStyle w:val="Compact"/>
      </w:pPr>
      <w:r>
        <w:rPr>
          <w:b/>
          <w:bCs/>
        </w:rPr>
        <w:t>Main Conclusion:</w:t>
      </w:r>
      <w:r>
        <w:t xml:space="preserve"> The current evidence base for endophyte ecology is systematically biased, limiting the scope of global ecological generalizations. We provide a priority roadmap of under-sampled regions and taxa to guide future research toward a more representative and robust global understanding.</w:t>
      </w:r>
    </w:p>
    <w:p w14:paraId="25561D1A" w14:textId="77777777" w:rsidR="009F4D6D" w:rsidRDefault="00000000">
      <w:pPr>
        <w:pStyle w:val="Heading1"/>
      </w:pPr>
      <w:bookmarkStart w:id="1" w:name="introduction"/>
      <w:bookmarkEnd w:id="0"/>
      <w:r>
        <w:t>Introduction</w:t>
      </w:r>
    </w:p>
    <w:p w14:paraId="25561D1B" w14:textId="6601784A" w:rsidR="009F4D6D" w:rsidRDefault="00000000">
      <w:pPr>
        <w:pStyle w:val="FirstParagraph"/>
      </w:pPr>
      <w:r>
        <w:t xml:space="preserve">Fungal endophytes, microorganisms that reside within plant tissues for at least a portion of their lifecycle without causing apparent disease, represent a critical component of terrestrial ecosystems </w:t>
      </w:r>
      <w:r w:rsidR="008D49B8">
        <w:fldChar w:fldCharType="begin"/>
      </w:r>
      <w:r w:rsidR="008D49B8">
        <w:instrText xml:space="preserve"> ADDIN ZOTERO_ITEM CSL_CITATION {"citationID":"hYWwgJAD","properties":{"unsorted":false,"formattedCitation":"(Petrini, 1991; Stone et al., 2000; WILSON, 1995)","plainCitation":"(Petrini, 1991; Stone et al., 2000; WILSON, 1995)","noteIndex":0},"citationItems":[{"id":2318,"uris":["http://zotero.org/users/6275788/items/GGBH9GKU"],"itemData":{"id":2318,"type":"chapter","container-title":"Microbial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INQUILINES","volume":"103","author":[{"family":"WILSON","given":"D"}],"issued":{"date-parts":[["1995",8]]}}}],"schema":"https://github.com/citation-style-language/schema/raw/master/csl-citation.json"} </w:instrText>
      </w:r>
      <w:r w:rsidR="008D49B8">
        <w:fldChar w:fldCharType="separate"/>
      </w:r>
      <w:r w:rsidR="008D49B8" w:rsidRPr="008D49B8">
        <w:rPr>
          <w:rFonts w:ascii="Aptos" w:hAnsi="Aptos"/>
        </w:rPr>
        <w:t>(Petrini, 1991; Stone et al., 2000; WILSON, 1995)</w:t>
      </w:r>
      <w:r w:rsidR="008D49B8">
        <w:fldChar w:fldCharType="end"/>
      </w:r>
      <w:r>
        <w:t>. Their ecological significance is increasingly recognized, from shaping plant community dynamics to producing a vast arsenal of secondary metabolites with significant potential for medicine and agriculture</w:t>
      </w:r>
      <w:r w:rsidR="00D270A4">
        <w:t xml:space="preserve"> </w:t>
      </w:r>
      <w:r w:rsidR="00D270A4">
        <w:fldChar w:fldCharType="begin"/>
      </w:r>
      <w:r w:rsidR="00D270A4">
        <w:instrText xml:space="preserve"> ADDIN ZOTERO_ITEM CSL_CITATION {"citationID":"KBnuNPBT","properties":{"unsorted":false,"formattedCitation":"(Kusari et al., 2012; Rodriguez et al., 2009; Strobel, 2003)","plainCitation":"(Kusari et al., 2012; Rodriguez et al., 2009; Strobel, 2003)","noteIndex":0},"citationItems":[{"id":45205,"uris":["http://zotero.org/users/6275788/items/5UYAJBDG"],"itemData":{"id":45205,"type":"article-journal","container-title":"Chemistry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D270A4" w:rsidRPr="00D270A4">
        <w:rPr>
          <w:rFonts w:ascii="Aptos" w:hAnsi="Aptos"/>
        </w:rPr>
        <w:t>(</w:t>
      </w:r>
      <w:proofErr w:type="spellStart"/>
      <w:r w:rsidR="00D270A4" w:rsidRPr="00D270A4">
        <w:rPr>
          <w:rFonts w:ascii="Aptos" w:hAnsi="Aptos"/>
        </w:rPr>
        <w:t>Kusari</w:t>
      </w:r>
      <w:proofErr w:type="spellEnd"/>
      <w:r w:rsidR="00D270A4" w:rsidRPr="00D270A4">
        <w:rPr>
          <w:rFonts w:ascii="Aptos" w:hAnsi="Aptos"/>
        </w:rPr>
        <w:t xml:space="preserve"> et al., 2012; Rodriguez et al., 2009; Strobel, 2003)</w:t>
      </w:r>
      <w:r w:rsidR="00D270A4">
        <w:fldChar w:fldCharType="end"/>
      </w:r>
      <w:r>
        <w:t>. A foundational assumption often repeated in the literature is that these fungi are ubiquitous, inhabiting virtually all plants in every biome on Earth</w:t>
      </w:r>
      <w:r w:rsidR="00431816">
        <w:t xml:space="preserve"> </w:t>
      </w:r>
      <w:r w:rsidR="00431816">
        <w:fldChar w:fldCharType="begin"/>
      </w:r>
      <w:r w:rsidR="00A06509">
        <w:instrText xml:space="preserve"> ADDIN ZOTERO_ITEM CSL_CITATION {"citationID":"GhfTndk0","properties":{"unsorted":false,"formattedCitation":"(Arnold &amp; Lutzoni, 2007; Rodriguez et al., 2009; Stone et al., 2000; Strobel, 2003)","plainCitation":"(Arnold &amp; Lutzoni, 2007; Rodriguez et al., 2009; Stone et al., 2000; Strobel, 2003)","noteIndex":0},"citationItems":[{"id":4682,"uris":["http://zotero.org/users/6275788/items/3MFDT5LZ"],"itemData":{"id":4682,"type":"article-journal","abstract":"Fungal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9A42FA" w:rsidRPr="009A42FA">
        <w:rPr>
          <w:rFonts w:ascii="Aptos" w:hAnsi="Aptos"/>
        </w:rPr>
        <w:t xml:space="preserve">(Arnold &amp; </w:t>
      </w:r>
      <w:proofErr w:type="spellStart"/>
      <w:r w:rsidR="009A42FA" w:rsidRPr="009A42FA">
        <w:rPr>
          <w:rFonts w:ascii="Aptos" w:hAnsi="Aptos"/>
        </w:rPr>
        <w:t>Lutzoni</w:t>
      </w:r>
      <w:proofErr w:type="spellEnd"/>
      <w:r w:rsidR="009A42FA" w:rsidRPr="009A42FA">
        <w:rPr>
          <w:rFonts w:ascii="Aptos" w:hAnsi="Aptos"/>
        </w:rPr>
        <w:t>, 2007; Rodriguez et al., 2009; Stone et al., 2000; Strobel, 2003)</w:t>
      </w:r>
      <w:r w:rsidR="00431816">
        <w:fldChar w:fldCharType="end"/>
      </w:r>
      <w:r>
        <w:t xml:space="preserve">. While this claim is appealing in its </w:t>
      </w:r>
      <w:commentRangeStart w:id="2"/>
      <w:r>
        <w:t>simplicity</w:t>
      </w:r>
      <w:commentRangeEnd w:id="2"/>
      <w:r w:rsidR="003066E5">
        <w:rPr>
          <w:rStyle w:val="CommentReference"/>
        </w:rPr>
        <w:commentReference w:id="2"/>
      </w:r>
      <w:r>
        <w:t>, it has been propagated without a rigorous, global-scale evidence synthesis. Our analysis of over 18,000 publications reveals that this ubiquity claim is frequently asserted, appearing in approximately 2.7% of abstracts, which underscores the necessity of testing this assumption against the geographic and taxonomic distribution of actual research efforts.</w:t>
      </w:r>
    </w:p>
    <w:p w14:paraId="25561D1C" w14:textId="231AFC43" w:rsidR="009F4D6D" w:rsidRDefault="00000000">
      <w:pPr>
        <w:pStyle w:val="BodyText"/>
      </w:pPr>
      <w:r>
        <w:t>The conclusions of any ecological study are fundamentally constrained by the distribution of its sampling</w:t>
      </w:r>
      <w:r w:rsidR="00F57C36">
        <w:t xml:space="preserve"> </w:t>
      </w:r>
      <w:r w:rsidR="005F7AC2">
        <w:fldChar w:fldCharType="begin"/>
      </w:r>
      <w:r w:rsidR="005F7AC2">
        <w:instrText xml:space="preserve"> ADDIN ZOTERO_ITEM CSL_CITATION {"citationID":"tpKNKAGa","properties":{"unsorted":false,"formattedCitation":"(M\\uc0\\u246{}rsdorf et al., 2015; Soberon &amp; Peterson, 2005)","plainCitation":"(Mörsdorf et al., 2015; Soberon &amp; Peterson, 2005)","noteIndex":0},"citationItems":[{"id":46548,"uris":["http://zotero.org/users/6275788/items/D8F4II89"],"itemData":{"id":46548,"type":"article-journal","abstract":"In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5F7AC2" w:rsidRPr="005F7AC2">
        <w:rPr>
          <w:rFonts w:ascii="Aptos" w:hAnsi="Aptos" w:cs="Times New Roman"/>
        </w:rPr>
        <w:t>(</w:t>
      </w:r>
      <w:proofErr w:type="spellStart"/>
      <w:r w:rsidR="005F7AC2" w:rsidRPr="005F7AC2">
        <w:rPr>
          <w:rFonts w:ascii="Aptos" w:hAnsi="Aptos" w:cs="Times New Roman"/>
        </w:rPr>
        <w:t>Mörsdorf</w:t>
      </w:r>
      <w:proofErr w:type="spellEnd"/>
      <w:r w:rsidR="005F7AC2" w:rsidRPr="005F7AC2">
        <w:rPr>
          <w:rFonts w:ascii="Aptos" w:hAnsi="Aptos" w:cs="Times New Roman"/>
        </w:rPr>
        <w:t xml:space="preserve"> et al., 2015; Soberon &amp; Peterson, 2005)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3B0DC2">
        <w:instrText xml:space="preserve"> ADDIN ZOTERO_ITEM CSL_CITATION {"citationID":"bm03Bzaa","properties":{"unsorted":false,"formattedCitation":"(Christie et al., 2021; Hughes et al., 2020; Py\\uc0\\u353{}ek et al., 2008)","plainCitation":"(Christie et al., 2021; Hughes et al., 2020; Pyšek et al., 2008)","noteIndex":0},"citationItems":[{"id":46555,"uris":["http://zotero.org/users/6275788/items/ULK95JQK"],"itemData":{"id":46555,"type":"article-journal","abstract":"Efforts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3B0DC2" w:rsidRPr="003B0DC2">
        <w:rPr>
          <w:rFonts w:ascii="Aptos" w:hAnsi="Aptos" w:cs="Times New Roman"/>
        </w:rPr>
        <w:t xml:space="preserve">(Christie et al., 2021; Hughes et al., 2020; </w:t>
      </w:r>
      <w:proofErr w:type="spellStart"/>
      <w:r w:rsidR="003B0DC2" w:rsidRPr="003B0DC2">
        <w:rPr>
          <w:rFonts w:ascii="Aptos" w:hAnsi="Aptos" w:cs="Times New Roman"/>
        </w:rPr>
        <w:t>Pyšek</w:t>
      </w:r>
      <w:proofErr w:type="spellEnd"/>
      <w:r w:rsidR="003B0DC2" w:rsidRPr="003B0DC2">
        <w:rPr>
          <w:rFonts w:ascii="Aptos" w:hAnsi="Aptos" w:cs="Times New Roman"/>
        </w:rPr>
        <w:t xml:space="preserve"> et al., 2008)</w:t>
      </w:r>
      <w:r w:rsidR="003B0DC2">
        <w:fldChar w:fldCharType="end"/>
      </w:r>
      <w:r>
        <w:t>. Ecological generalizations about endophyte diversity, host specificity, and biome-level adaptation are vulnerable to such sampling bias</w:t>
      </w:r>
      <w:r w:rsidR="00A06509">
        <w:t xml:space="preserve"> </w:t>
      </w:r>
      <w:r w:rsidR="00A06509">
        <w:fldChar w:fldCharType="begin"/>
      </w:r>
      <w:r w:rsidR="00A06509">
        <w:instrText xml:space="preserve"> ADDIN ZOTERO_ITEM CSL_CITATION {"citationID":"I5CF3Cjf","properties":{"unsorted":false,"formattedCitation":"(Arnold &amp; Lutzoni, 2007; Davis &amp; Shaw, 2008; U\\uc0\\u8217{}Ren 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A06509">
        <w:rPr>
          <w:rFonts w:ascii="Cambria Math" w:hAnsi="Cambria Math" w:cs="Cambria Math"/>
        </w:rPr>
        <w:instrText>‐</w:instrText>
      </w:r>
      <w:r w:rsidR="00A06509">
        <w:instrText>based and molecular methods. Of the major lineages of filamentous ascomycetes recovered, 53</w:instrText>
      </w:r>
      <w:r w:rsidR="00A06509">
        <w:rPr>
          <w:rFonts w:ascii="Aptos" w:hAnsi="Aptos" w:cs="Aptos"/>
        </w:rPr>
        <w:instrText>–</w:instrText>
      </w:r>
      <w:r w:rsidR="00A06509">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A06509">
        <w:rPr>
          <w:rFonts w:ascii="Cambria Math" w:hAnsi="Cambria Math" w:cs="Cambria Math"/>
        </w:rPr>
        <w:instrText>‐</w:instrText>
      </w:r>
      <w:r w:rsidR="00A06509">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A06509">
        <w:rPr>
          <w:rFonts w:ascii="Cambria Math" w:hAnsi="Cambria Math" w:cs="Cambria Math"/>
        </w:rPr>
        <w:instrText>‐</w:instrText>
      </w:r>
      <w:r w:rsidR="00A06509">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A06509">
        <w:fldChar w:fldCharType="separate"/>
      </w:r>
      <w:r w:rsidR="00A06509" w:rsidRPr="00A06509">
        <w:rPr>
          <w:rFonts w:ascii="Aptos" w:hAnsi="Aptos" w:cs="Times New Roman"/>
        </w:rPr>
        <w:t xml:space="preserve">(Arnold &amp; </w:t>
      </w:r>
      <w:proofErr w:type="spellStart"/>
      <w:r w:rsidR="00A06509" w:rsidRPr="00A06509">
        <w:rPr>
          <w:rFonts w:ascii="Aptos" w:hAnsi="Aptos" w:cs="Times New Roman"/>
        </w:rPr>
        <w:t>Lutzoni</w:t>
      </w:r>
      <w:proofErr w:type="spellEnd"/>
      <w:r w:rsidR="00A06509" w:rsidRPr="00A06509">
        <w:rPr>
          <w:rFonts w:ascii="Aptos" w:hAnsi="Aptos" w:cs="Times New Roman"/>
        </w:rPr>
        <w:t>, 2007; Davis &amp; Shaw, 2008; U’Ren et al., 2012)</w:t>
      </w:r>
      <w:r w:rsidR="00A06509">
        <w:fldChar w:fldCharType="end"/>
      </w:r>
      <w:r>
        <w:t xml:space="preserve">. Prior syntheses have provided valuable, but spatially or </w:t>
      </w:r>
      <w:r>
        <w:lastRenderedPageBreak/>
        <w:t xml:space="preserve">taxonomically limited, snapshots of endophyte distribution </w:t>
      </w:r>
      <w:r w:rsidR="00DE0585">
        <w:fldChar w:fldCharType="begin"/>
      </w:r>
      <w:r w:rsidR="00D5159D">
        <w:instrText xml:space="preserve"> ADDIN ZOTERO_ITEM CSL_CITATION {"citationID":"ll3K6C3h","properties":{"unsorted":false,"formattedCitation":"(Arnold &amp; Lutzoni, 2007; Cosner et al., 2025; Harrison &amp; Griffin, 2020; Schulz &amp; Boyle, 2005; Stone et al., 2000; U\\uc0\\u8217{}Ren et al., 2012)","plainCitation":"(Arnold &amp; Lutzoni, 2007; Cosner et al., 2025; Harrison &amp; Griffin, 2020; Schulz &amp; Boyle, 2005; Stone et al., 2000;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D5159D" w:rsidRPr="00D5159D">
        <w:rPr>
          <w:rFonts w:ascii="Aptos" w:hAnsi="Aptos" w:cs="Times New Roman"/>
        </w:rPr>
        <w:t xml:space="preserve">(Arnold &amp; </w:t>
      </w:r>
      <w:proofErr w:type="spellStart"/>
      <w:r w:rsidR="00D5159D" w:rsidRPr="00D5159D">
        <w:rPr>
          <w:rFonts w:ascii="Aptos" w:hAnsi="Aptos" w:cs="Times New Roman"/>
        </w:rPr>
        <w:t>Lutzoni</w:t>
      </w:r>
      <w:proofErr w:type="spellEnd"/>
      <w:r w:rsidR="00D5159D" w:rsidRPr="00D5159D">
        <w:rPr>
          <w:rFonts w:ascii="Aptos" w:hAnsi="Aptos" w:cs="Times New Roman"/>
        </w:rPr>
        <w:t>, 2007; Cosner et al., 2025; Harrison &amp; Griffin, 2020; Schulz &amp; Boyle, 2005; Stone et al., 2000; U’Ren et al., 2012)</w:t>
      </w:r>
      <w:r w:rsidR="00DE0585">
        <w:fldChar w:fldCharType="end"/>
      </w:r>
      <w:r>
        <w:t xml:space="preserve">. However, a comprehensive global analysis that integrates geographic, host, and economic factors has been missing. This gap is particularly critical because </w:t>
      </w:r>
      <w:r w:rsidR="002B2905">
        <w:t xml:space="preserve">we find that </w:t>
      </w:r>
      <w:r>
        <w:t xml:space="preserve">over 80% of the primary literature on endophytes remains behind paywalls, making large-scale synthesis </w:t>
      </w:r>
      <w:r w:rsidR="002B2905">
        <w:t xml:space="preserve">largely </w:t>
      </w:r>
      <w:r>
        <w:t>dependent on abstract-level data mining</w:t>
      </w:r>
      <w:r w:rsidR="001B5728">
        <w:t xml:space="preserve"> </w:t>
      </w:r>
      <w:r w:rsidR="001B5728">
        <w:fldChar w:fldCharType="begin"/>
      </w:r>
      <w:r w:rsidR="001B5728">
        <w:instrText xml:space="preserve"> ADDIN ZOTERO_ITEM CSL_CITATION {"citationID":"ZgmYHbLy","properties":{"unsorted":false,"formattedCitation":"(Orlando et al., 2018)","plainCitation":"(Orlando et al., 2018)","noteIndex":0},"citationItems":[{"id":46561,"uris":["http://zotero.org/users/6275788/items/P2LULE2Y"],"itemData":{"id":46561,"type":"article-journal","abstract":"Reading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1B5728">
        <w:fldChar w:fldCharType="separate"/>
      </w:r>
      <w:r w:rsidR="001B5728" w:rsidRPr="001B5728">
        <w:rPr>
          <w:rFonts w:ascii="Aptos" w:hAnsi="Aptos"/>
        </w:rPr>
        <w:t>(Orlando et al., 2018)</w:t>
      </w:r>
      <w:r w:rsidR="001B5728">
        <w:fldChar w:fldCharType="end"/>
      </w:r>
      <w:r>
        <w:t xml:space="preserve">. </w:t>
      </w:r>
      <w:r w:rsidR="00AA633E" w:rsidRPr="00AA633E">
        <w:t>Because the abstract record is itself a biased sample of the literature, a well-studied region or host group is more likely to appear repeatedly there; by the same logic, absence from abstracts is suggestive of limited attention, but not proof of ecological absence</w:t>
      </w:r>
      <w:r w:rsidR="00AA633E">
        <w:t>.</w:t>
      </w:r>
    </w:p>
    <w:p w14:paraId="25561D1D" w14:textId="77777777" w:rsidR="009F4D6D" w:rsidRDefault="00000000">
      <w:pPr>
        <w:pStyle w:val="BodyText"/>
      </w:pPr>
      <w:r>
        <w:t>This study provides the first integrated, global-scale audit of the fungal endophyte literature, directly evaluating the evidence for the field’s ubiquity claim. We systematically quantify the distribution of research effort to map where our ecological inferences are robust and where they are speculative. Our objectives are to: (1) map the geographic concentration of endophyte studies; (2) assess the distribution of sampling effort across biomes and host plant lineages; (3) determine the relationship between research intensity and national economic capacity (GDP); and (4) produce an actionable roadmap of understudied regions and taxa to guide future research.</w:t>
      </w:r>
    </w:p>
    <w:p w14:paraId="183F0F1C" w14:textId="77777777" w:rsidR="004E16A9" w:rsidRDefault="00000000">
      <w:pPr>
        <w:pStyle w:val="BodyText"/>
      </w:pPr>
      <w:r>
        <w:t xml:space="preserve">Based on these objectives, we predict that: </w:t>
      </w:r>
    </w:p>
    <w:p w14:paraId="6E2BAE1B" w14:textId="0F16B794" w:rsidR="004E16A9" w:rsidRDefault="00000000" w:rsidP="004E16A9">
      <w:pPr>
        <w:pStyle w:val="BodyText"/>
        <w:numPr>
          <w:ilvl w:val="0"/>
          <w:numId w:val="3"/>
        </w:numPr>
      </w:pPr>
      <w:r>
        <w:t xml:space="preserve"> (Prediction U) The current, globally aggregated evidence base is insufficient to support an unqualified claim of endophyte ubiquity. </w:t>
      </w:r>
    </w:p>
    <w:p w14:paraId="5C9D271B" w14:textId="1ED08E5E" w:rsidR="004E16A9" w:rsidRDefault="00000000" w:rsidP="004E16A9">
      <w:pPr>
        <w:pStyle w:val="BodyText"/>
        <w:numPr>
          <w:ilvl w:val="0"/>
          <w:numId w:val="3"/>
        </w:numPr>
      </w:pPr>
      <w:r>
        <w:t xml:space="preserve">(Prediction A) Research effort is highly clustered geographically, with significant gaps in major regions of the world. </w:t>
      </w:r>
    </w:p>
    <w:p w14:paraId="08688151" w14:textId="715799F3" w:rsidR="004E16A9" w:rsidRDefault="00000000" w:rsidP="004E16A9">
      <w:pPr>
        <w:pStyle w:val="BodyText"/>
        <w:numPr>
          <w:ilvl w:val="0"/>
          <w:numId w:val="3"/>
        </w:numPr>
      </w:pPr>
      <w:r>
        <w:t xml:space="preserve">(Prediction B) Sampling is non-randomly distributed across biomes and host lineages, favoring certain well-studied groups. </w:t>
      </w:r>
    </w:p>
    <w:p w14:paraId="25561D1E" w14:textId="19CA7EA0" w:rsidR="009F4D6D" w:rsidRDefault="00000000" w:rsidP="004E16A9">
      <w:pPr>
        <w:pStyle w:val="BodyText"/>
        <w:numPr>
          <w:ilvl w:val="0"/>
          <w:numId w:val="3"/>
        </w:numPr>
      </w:pPr>
      <w:r>
        <w:t>(Prediction C) The intensity of endophyte research is positively correlated with a country’s GDP, reflecting economic rather than purely biological drivers of sampling.</w:t>
      </w:r>
    </w:p>
    <w:p w14:paraId="25561D1F" w14:textId="77777777" w:rsidR="009F4D6D" w:rsidRDefault="00000000">
      <w:pPr>
        <w:pStyle w:val="BodyText"/>
      </w:pPr>
      <w:r>
        <w:t xml:space="preserve">By testing these predictions, we aim to reframe the conversation from asking </w:t>
      </w:r>
      <w:r>
        <w:rPr>
          <w:i/>
          <w:iCs/>
        </w:rPr>
        <w:t>if</w:t>
      </w:r>
      <w:r>
        <w:t xml:space="preserve"> endophytes are ubiquitous to asking </w:t>
      </w:r>
      <w:r>
        <w:rPr>
          <w:i/>
          <w:iCs/>
        </w:rPr>
        <w:t>where</w:t>
      </w:r>
      <w:r>
        <w:t xml:space="preserve"> we have sufficient evidence to test ecological and evolutionary hypotheses, thereby providing a data-driven foundation for the next generation of global endophyte research.</w:t>
      </w:r>
    </w:p>
    <w:p w14:paraId="25561D20" w14:textId="77777777" w:rsidR="009F4D6D" w:rsidRDefault="00000000">
      <w:pPr>
        <w:pStyle w:val="Heading2"/>
      </w:pPr>
      <w:bookmarkStart w:id="3" w:name="methods"/>
      <w:r>
        <w:t>Methods</w:t>
      </w:r>
    </w:p>
    <w:p w14:paraId="25561D21" w14:textId="77777777" w:rsidR="009F4D6D" w:rsidRDefault="00000000">
      <w:pPr>
        <w:pStyle w:val="Heading3"/>
      </w:pPr>
      <w:bookmarkStart w:id="4" w:name="main-methods"/>
      <w:r>
        <w:t>Main Methods</w:t>
      </w:r>
    </w:p>
    <w:p w14:paraId="25561D22" w14:textId="77777777" w:rsidR="009F4D6D" w:rsidRDefault="00000000">
      <w:pPr>
        <w:pStyle w:val="Heading4"/>
      </w:pPr>
      <w:bookmarkStart w:id="5" w:name="corpus-assembly-and-scope"/>
      <w:r>
        <w:t>Corpus Assembly and Scope</w:t>
      </w:r>
    </w:p>
    <w:p w14:paraId="25561D23" w14:textId="7DD631C7" w:rsidR="009F4D6D" w:rsidRDefault="00000000">
      <w:pPr>
        <w:pStyle w:val="FirstParagraph"/>
      </w:pPr>
      <w:r>
        <w:t xml:space="preserve">To construct our evidence base, we consolidated publication records from Web of Science, Scopus, and PubMed using a standardized set of search terms related to fungal </w:t>
      </w:r>
      <w:r>
        <w:lastRenderedPageBreak/>
        <w:t xml:space="preserve">endophytes. This workflow utilized two distinct data scales. First, an initial screening corpus of 21,891 unique records was assembled for the purpose of auditing the prevalence of the endophyte ubiquity claim. This broader set was intentionally maintained prior to final relevance filtering to ensure that we captured the propagation of the claim across the wider ecological literature, including studies that may mention endophytes as background context without being primary endophyte research. Second, after applying strict relevance </w:t>
      </w:r>
      <w:r w:rsidR="000525C8">
        <w:t xml:space="preserve">and deduplication </w:t>
      </w:r>
      <w:r>
        <w:t>filters, we established a final analysis corpus of 18,750 unique publications for the detailed mapping of geographic, taxonomic, and economic biases.</w:t>
      </w:r>
    </w:p>
    <w:p w14:paraId="25561D24" w14:textId="4C9760C1" w:rsidR="009F4D6D" w:rsidRDefault="00000000">
      <w:pPr>
        <w:pStyle w:val="BodyText"/>
      </w:pPr>
      <w:r>
        <w:t>A critical barrier to global synthesis in this field remains the accessibility of primary literature</w:t>
      </w:r>
      <w:r w:rsidR="00CC5305">
        <w:t xml:space="preserve"> </w:t>
      </w:r>
      <w:r w:rsidR="00CC5305">
        <w:fldChar w:fldCharType="begin"/>
      </w:r>
      <w:r w:rsidR="00CC5305">
        <w:instrText xml:space="preserve"> ADDIN ZOTERO_ITEM CSL_CITATION {"citationID":"tIwb28qL","properties":{"unsorted":false,"formattedCitation":"(Cvitanovic et al., 2014; Nu\\uc0\\u241{}ez et al., 2021; Orlando et al., 2018)","plainCitation":"(Cvitanovic et al., 2014; Nuñez et al., 2021; Orlando et al., 2018)","noteIndex":0},"citationItems":[{"id":46566,"uris":["http://zotero.org/users/6275788/items/AVLHURTH"],"itemData":{"id":46566,"type":"article-journal","abstract":"The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CC5305" w:rsidRPr="00CC5305">
        <w:rPr>
          <w:rFonts w:ascii="Aptos" w:hAnsi="Aptos" w:cs="Times New Roman"/>
        </w:rPr>
        <w:t>(</w:t>
      </w:r>
      <w:proofErr w:type="spellStart"/>
      <w:r w:rsidR="00CC5305" w:rsidRPr="00CC5305">
        <w:rPr>
          <w:rFonts w:ascii="Aptos" w:hAnsi="Aptos" w:cs="Times New Roman"/>
        </w:rPr>
        <w:t>Cvitanovic</w:t>
      </w:r>
      <w:proofErr w:type="spellEnd"/>
      <w:r w:rsidR="00CC5305" w:rsidRPr="00CC5305">
        <w:rPr>
          <w:rFonts w:ascii="Aptos" w:hAnsi="Aptos" w:cs="Times New Roman"/>
        </w:rPr>
        <w:t xml:space="preserve"> et al., 2014; Nuñez et al., 2021; Orlando et al., 2018)</w:t>
      </w:r>
      <w:r w:rsidR="00CC5305">
        <w:fldChar w:fldCharType="end"/>
      </w:r>
      <w:r>
        <w:t>. Our retrieval process secured open-access full texts for 3,068 records (16.4</w:t>
      </w:r>
      <w:r w:rsidR="00880002">
        <w:t>%)</w:t>
      </w:r>
      <w:r>
        <w:t xml:space="preserve"> within the final corpus, leaving the majority (n = 15,682) accessible only at the abstract level. </w:t>
      </w:r>
      <w:r w:rsidR="00D7643C" w:rsidRPr="00D7643C">
        <w:t>We therefore explicitly framed this study as an abstract-led field audit. This approach provides a conservative screen for global research trends, because abstracts, titles, and keywords do not capture the full literature uniformly</w:t>
      </w:r>
      <w:r w:rsidR="00ED3AF0">
        <w:t xml:space="preserve"> </w:t>
      </w:r>
      <w:r w:rsidR="00ED3AF0">
        <w:fldChar w:fldCharType="begin"/>
      </w:r>
      <w:r w:rsidR="00ED3AF0">
        <w:instrText xml:space="preserve"> ADDIN ZOTERO_ITEM CSL_CITATION {"citationID":"ABxOdb9L","properties":{"unsorted":false,"formattedCitation":"(Scherer 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ED3AF0">
        <w:fldChar w:fldCharType="separate"/>
      </w:r>
      <w:r w:rsidR="00ED3AF0" w:rsidRPr="00ED3AF0">
        <w:rPr>
          <w:rFonts w:ascii="Aptos" w:hAnsi="Aptos"/>
        </w:rPr>
        <w:t>(Scherer et al., 2018)</w:t>
      </w:r>
      <w:r w:rsidR="00ED3AF0">
        <w:fldChar w:fldCharType="end"/>
      </w:r>
      <w:r w:rsidR="00D7643C" w:rsidRPr="00D7643C">
        <w:t>. Major gaps detected in the abstract record therefore suggest underexplored themes in the published literature</w:t>
      </w:r>
      <w:r w:rsidR="007C3696">
        <w:t>.</w:t>
      </w:r>
    </w:p>
    <w:p w14:paraId="25561D25" w14:textId="77777777" w:rsidR="009F4D6D" w:rsidRDefault="00000000">
      <w:pPr>
        <w:pStyle w:val="Heading4"/>
      </w:pPr>
      <w:bookmarkStart w:id="6" w:name="X9443da96b3163475a14e7de943d8e91b80ec72a"/>
      <w:bookmarkEnd w:id="5"/>
      <w:r>
        <w:t>Taxonomic Resolution and Synonym Handling</w:t>
      </w:r>
    </w:p>
    <w:p w14:paraId="25561D26" w14:textId="50C7D4CE" w:rsidR="009F4D6D" w:rsidRDefault="00000000">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7C3696" w:rsidRPr="007C3696">
        <w:rPr>
          <w:rFonts w:ascii="Aptos" w:hAnsi="Aptos"/>
        </w:rPr>
        <w:t>(GBIF Secretariat, 2023)</w:t>
      </w:r>
      <w:r w:rsidR="007C3696">
        <w:fldChar w:fldCharType="end"/>
      </w:r>
      <w:r>
        <w:t xml:space="preserve">. Our custom scripts algorithmically mapped and resolved obsolete or changing nomenclature to their currently accepted valid taxonomies. This process reconciled historical taxonomic shifts, such as changes in fungal phyla, ensuring that our analysis of biological coverage was based on a consistent and contemporary taxonomic framework. </w:t>
      </w:r>
    </w:p>
    <w:p w14:paraId="25561D27" w14:textId="77777777" w:rsidR="009F4D6D" w:rsidRDefault="00000000">
      <w:pPr>
        <w:pStyle w:val="Heading4"/>
      </w:pPr>
      <w:bookmarkStart w:id="7" w:name="core-analyses"/>
      <w:bookmarkEnd w:id="6"/>
      <w:r>
        <w:t>Core Analyses</w:t>
      </w:r>
    </w:p>
    <w:p w14:paraId="25561D28" w14:textId="5CF9EA6F" w:rsidR="009F4D6D" w:rsidRDefault="00000000">
      <w:pPr>
        <w:pStyle w:val="FirstParagraph"/>
      </w:pPr>
      <w:r>
        <w:t xml:space="preserve">We performed a series of analyses to quantify sampling bias. First, we assessed geographic concentration by mapping study counts to </w:t>
      </w:r>
      <w:r w:rsidR="00D754AB">
        <w:t>countries</w:t>
      </w:r>
      <w:r>
        <w:t xml:space="preserve"> to identify research hotspots. Second, we analyzed the relationship between research effort and economic capacity by correlating per-country study counts with national Gross Domestic Product (GDP). Third, we quantified host taxonomic coverage by summarizing study counts across plant families and orders, which allowed us to identify well-studied and understudied lineages. </w:t>
      </w:r>
      <w:commentRangeStart w:id="8"/>
      <w:r>
        <w:t xml:space="preserve">Fourth, we categorized the types of interactions reported (e.g., endophytic, pathogenic, </w:t>
      </w:r>
      <w:r w:rsidR="0048460A">
        <w:t>mutualistic</w:t>
      </w:r>
      <w:r>
        <w:t xml:space="preserve">) to understand the functional focus of the literature. </w:t>
      </w:r>
      <w:commentRangeEnd w:id="8"/>
      <w:r w:rsidR="0048460A">
        <w:rPr>
          <w:rStyle w:val="CommentReference"/>
        </w:rPr>
        <w:commentReference w:id="8"/>
      </w:r>
      <w:r>
        <w:t>Finally, to directly test a central assumption in the field, we developed a large language model workflow to screen the entire corpus for explicit and implicit claims of endophyte ubiquity.</w:t>
      </w:r>
    </w:p>
    <w:p w14:paraId="25561D29" w14:textId="77777777" w:rsidR="009F4D6D" w:rsidRDefault="00000000">
      <w:pPr>
        <w:pStyle w:val="Heading4"/>
      </w:pPr>
      <w:bookmarkStart w:id="9" w:name="reproducibility-and-validation"/>
      <w:bookmarkEnd w:id="7"/>
      <w:r>
        <w:lastRenderedPageBreak/>
        <w:t>Reproducibility and Validation</w:t>
      </w:r>
    </w:p>
    <w:p w14:paraId="25561D2A" w14:textId="090D6AF1" w:rsidR="009F4D6D" w:rsidRDefault="005A710C">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w:t>
      </w:r>
      <w:proofErr w:type="spellStart"/>
      <w:r w:rsidRPr="005A710C">
        <w:t>VSCode</w:t>
      </w:r>
      <w:proofErr w:type="spellEnd"/>
      <w:r w:rsidRPr="005A710C">
        <w:t>). The pipeline was partitioned into local and high-performance computing (HPC) workflows based on computational demands:</w:t>
      </w:r>
    </w:p>
    <w:p w14:paraId="6474D8DF" w14:textId="77777777" w:rsidR="0024411D" w:rsidRPr="0024411D" w:rsidRDefault="0024411D" w:rsidP="0024411D">
      <w:pPr>
        <w:pStyle w:val="ListParagraph"/>
        <w:numPr>
          <w:ilvl w:val="0"/>
          <w:numId w:val="3"/>
        </w:numPr>
      </w:pPr>
      <w:r w:rsidRPr="0024411D">
        <w:t xml:space="preserve">Local Processing: Lightweight processes, such as the initial bibliometric CSV cleanup, metadata standardization, taxonomic and geographic harmonization, and summary statistics, were processed locally. This included the execution of all R scripts for mapping and plotting (e.g., </w:t>
      </w:r>
      <w:proofErr w:type="spellStart"/>
      <w:r w:rsidRPr="0024411D">
        <w:t>geographic_plotting.R</w:t>
      </w:r>
      <w:proofErr w:type="spellEnd"/>
      <w:r w:rsidRPr="0024411D">
        <w:t xml:space="preserve">, </w:t>
      </w:r>
      <w:proofErr w:type="spellStart"/>
      <w:r w:rsidRPr="0024411D">
        <w:t>biome_plots.R</w:t>
      </w:r>
      <w:proofErr w:type="spellEnd"/>
      <w:r w:rsidRPr="0024411D">
        <w:t>), as well as polynomial modeling scripts for analyzing the GDP and latitude relationships.</w:t>
      </w:r>
    </w:p>
    <w:p w14:paraId="62CDCE95" w14:textId="77777777" w:rsidR="0024411D" w:rsidRPr="0024411D" w:rsidRDefault="0024411D" w:rsidP="0024411D">
      <w:pPr>
        <w:pStyle w:val="ListParagraph"/>
        <w:numPr>
          <w:ilvl w:val="0"/>
          <w:numId w:val="3"/>
        </w:numPr>
      </w:pPr>
      <w:r w:rsidRPr="0024411D">
        <w:t>High-Performance Computing (Monsoon): The computationally intensive Natural Language Processing (NLP) components of the study—specifically the extraction of metadata and the detection of ubiquity claims via a Large Language Model (</w:t>
      </w:r>
      <w:proofErr w:type="spellStart"/>
      <w:r w:rsidRPr="0024411D">
        <w:t>Ollama</w:t>
      </w:r>
      <w:proofErr w:type="spellEnd"/>
      <w:r w:rsidRPr="0024411D">
        <w:t>, Llama3-8b-instruct)—were executed on Northern Arizona University’s Monsoon High-Performance Computing (HPC) cluster. The analyses were parallelized across sharded datasets using SLURM job scheduling arrays (e.g., run_06_ubiquity_claims_ollama.sbatch). Individual SLURM tasks were provisioned with 1 node, 4 CPUs, 16 GB of memory, and 1 GPU, ensuring efficient throughput for screening the full corpus of 18,750 abstracts and 3,068 full texts.</w:t>
      </w:r>
    </w:p>
    <w:p w14:paraId="78461FD9" w14:textId="350194D0" w:rsidR="005A710C" w:rsidRDefault="0024411D" w:rsidP="0024411D">
      <w:pPr>
        <w:pStyle w:val="BodyText"/>
      </w:pPr>
      <w:r w:rsidRPr="0024411D">
        <w:t>All custom scripts used in this pipeline have been documented and are available to facilitate reproducing these analyses and figures.</w:t>
      </w:r>
      <w:bookmarkStart w:id="10" w:name="supplementary-methods"/>
      <w:bookmarkEnd w:id="4"/>
      <w:bookmarkEnd w:id="9"/>
    </w:p>
    <w:p w14:paraId="25561D2B" w14:textId="69FBB470" w:rsidR="009F4D6D" w:rsidRDefault="00000000">
      <w:pPr>
        <w:pStyle w:val="Heading3"/>
      </w:pPr>
      <w:r>
        <w:t>Supplementary Methods</w:t>
      </w:r>
    </w:p>
    <w:p w14:paraId="25561D2C" w14:textId="77777777" w:rsidR="009F4D6D" w:rsidRDefault="00000000">
      <w:pPr>
        <w:pStyle w:val="Heading4"/>
      </w:pPr>
      <w:bookmarkStart w:id="11" w:name="corpus-assembly-and-data-extraction"/>
      <w:r>
        <w:t>1. Corpus Assembly and Data Extraction</w:t>
      </w:r>
    </w:p>
    <w:p w14:paraId="25561D2D" w14:textId="77777777" w:rsidR="009F4D6D" w:rsidRDefault="00000000">
      <w:pPr>
        <w:pStyle w:val="FirstParagraph"/>
      </w:pPr>
      <w:r>
        <w:t xml:space="preserve">We compiled the initial corpus using defined search strings across Web of Science, Scopus, and PubMed, with specific export rules to capture bibliographic data and abstracts. The raw exports were consolidated and deduplicated using </w:t>
      </w:r>
      <w:r>
        <w:rPr>
          <w:rStyle w:val="VerbatimChar"/>
        </w:rPr>
        <w:t>api_pull_abstracts.R</w:t>
      </w:r>
      <w:r>
        <w:t xml:space="preserve"> and </w:t>
      </w:r>
      <w:r>
        <w:rPr>
          <w:rStyle w:val="VerbatimChar"/>
        </w:rPr>
        <w:t>Combo_abstracts_pull2.R</w:t>
      </w:r>
      <w:r>
        <w:t xml:space="preserve">. Initial data cleaning and formatting were performed with </w:t>
      </w:r>
      <w:r>
        <w:rPr>
          <w:rStyle w:val="VerbatimChar"/>
        </w:rPr>
        <w:t>01_csv_cleanup.py</w:t>
      </w:r>
      <w:r>
        <w:t xml:space="preserve">. We then merged the cleaned files into a final dataset using </w:t>
      </w:r>
      <w:r>
        <w:rPr>
          <w:rStyle w:val="VerbatimChar"/>
        </w:rPr>
        <w:t>merge_final_data.py</w:t>
      </w:r>
      <w:r>
        <w:t xml:space="preserve">. For the subset of records with open-access permissions, we downloaded available PDFs using </w:t>
      </w:r>
      <w:r>
        <w:rPr>
          <w:rStyle w:val="VerbatimChar"/>
        </w:rPr>
        <w:t>download_pdfs.py</w:t>
      </w:r>
      <w:r>
        <w:t xml:space="preserve">. Finally, we used a custom large language model pipeline, </w:t>
      </w:r>
      <w:r>
        <w:rPr>
          <w:rStyle w:val="VerbatimChar"/>
        </w:rPr>
        <w:t>monsoon_extract.py</w:t>
      </w:r>
      <w:r>
        <w:t>, to extract structured metadata (e.g., host names, fungal taxa, geography, tissue) from all abstracts and full texts.</w:t>
      </w:r>
    </w:p>
    <w:p w14:paraId="25561D2E" w14:textId="77777777" w:rsidR="009F4D6D" w:rsidRDefault="00000000">
      <w:pPr>
        <w:pStyle w:val="Heading4"/>
      </w:pPr>
      <w:bookmarkStart w:id="12" w:name="X61374a5645b2406cd907feaa8617eb9bdc8de43"/>
      <w:bookmarkEnd w:id="11"/>
      <w:r>
        <w:t>2. Taxonomic Resolution and Synonym Handling</w:t>
      </w:r>
    </w:p>
    <w:p w14:paraId="25561D2F" w14:textId="77777777" w:rsidR="009F4D6D" w:rsidRDefault="00000000">
      <w:pPr>
        <w:pStyle w:val="FirstParagraph"/>
      </w:pPr>
      <w:r>
        <w:t xml:space="preserve">We processed all extracted plant and fungal names through a taxonomic standardization pipeline. The core of this workflow, </w:t>
      </w:r>
      <w:r>
        <w:rPr>
          <w:rStyle w:val="VerbatimChar"/>
        </w:rPr>
        <w:t>taxa_synonym_resolution.py</w:t>
      </w:r>
      <w:r>
        <w:t xml:space="preserve">, queried the Global Biodiversity Information Facility (GBIF) API to match raw names against the GBIF backbone </w:t>
      </w:r>
      <w:r>
        <w:lastRenderedPageBreak/>
        <w:t xml:space="preserve">taxonomy [@registry-migrationgbiforg_gbif_2023]. This script used a series of matching strategies, from exact matches on accepted names to fuzzy matching on synonyms. The utility script </w:t>
      </w:r>
      <w:r>
        <w:rPr>
          <w:rStyle w:val="VerbatimChar"/>
        </w:rPr>
        <w:t>taxon_mapping.py</w:t>
      </w:r>
      <w:r>
        <w:t xml:space="preserve"> contained custom rules and dictionaries to handle common abbreviations and historically problematic names. Any names that remained unresolved after the automated workflow were manually reviewed to ensure the highest possible accuracy.</w:t>
      </w:r>
    </w:p>
    <w:p w14:paraId="25561D30" w14:textId="77777777" w:rsidR="009F4D6D" w:rsidRDefault="00000000">
      <w:pPr>
        <w:pStyle w:val="Heading4"/>
      </w:pPr>
      <w:bookmarkStart w:id="13" w:name="metadata-extraction-and-standardization"/>
      <w:bookmarkEnd w:id="12"/>
      <w:r>
        <w:t>3. Metadata Extraction and Standardization</w:t>
      </w:r>
    </w:p>
    <w:p w14:paraId="25561D31" w14:textId="77777777" w:rsidR="009F4D6D" w:rsidRDefault="00000000">
      <w:pPr>
        <w:pStyle w:val="FirstParagraph"/>
      </w:pPr>
      <w:r>
        <w:t xml:space="preserve">We standardized all extracted metadata using a series of scripts. The main script, </w:t>
      </w:r>
      <w:r>
        <w:rPr>
          <w:rStyle w:val="VerbatimChar"/>
        </w:rPr>
        <w:t>01_standardize_metadata.py</w:t>
      </w:r>
      <w:r>
        <w:t xml:space="preserve">, normalized extracted data fields. We enriched the dataset with publication year information using </w:t>
      </w:r>
      <w:r>
        <w:rPr>
          <w:rStyle w:val="VerbatimChar"/>
        </w:rPr>
        <w:t>01a_enrich_publication_year.py</w:t>
      </w:r>
      <w:r>
        <w:t xml:space="preserve">. We then applied a series of filters to remove irrelevant records with </w:t>
      </w:r>
      <w:r>
        <w:rPr>
          <w:rStyle w:val="VerbatimChar"/>
        </w:rPr>
        <w:t>02_dataset_filtering.py</w:t>
      </w:r>
      <w:r>
        <w:t xml:space="preserve">. Geographic standardization was a multi-step process: we first used </w:t>
      </w:r>
      <w:r>
        <w:rPr>
          <w:rStyle w:val="VerbatimChar"/>
        </w:rPr>
        <w:t>03_geographic_standardizing.R</w:t>
      </w:r>
      <w:r>
        <w:t xml:space="preserve"> to normalize country names and assign ISO 3166-1 alpha-3 codes. This script utilized helper utilities </w:t>
      </w:r>
      <w:r>
        <w:rPr>
          <w:rStyle w:val="VerbatimChar"/>
        </w:rPr>
        <w:t>country_mapping.py</w:t>
      </w:r>
      <w:r>
        <w:t xml:space="preserve"> and </w:t>
      </w:r>
      <w:r>
        <w:rPr>
          <w:rStyle w:val="VerbatimChar"/>
        </w:rPr>
        <w:t>country_mapping.R</w:t>
      </w:r>
      <w:r>
        <w:t xml:space="preserve"> for name harmonization and </w:t>
      </w:r>
      <w:r>
        <w:rPr>
          <w:rStyle w:val="VerbatimChar"/>
        </w:rPr>
        <w:t>disputed_territory_parent_iso.R</w:t>
      </w:r>
      <w:r>
        <w:t xml:space="preserve"> to assign disputed territories to a parent country for consistent analysis. We then enriched the data with country-level metrics, including GDP and latitude, using </w:t>
      </w:r>
      <w:r>
        <w:rPr>
          <w:rStyle w:val="VerbatimChar"/>
        </w:rPr>
        <w:t>04_country_enrichment.R</w:t>
      </w:r>
      <w:r>
        <w:t xml:space="preserve">. We generated a summary of the final dataset with </w:t>
      </w:r>
      <w:r>
        <w:rPr>
          <w:rStyle w:val="VerbatimChar"/>
        </w:rPr>
        <w:t>05_dataset_summary.py</w:t>
      </w:r>
      <w:r>
        <w:t xml:space="preserve"> and performed a final pre-analysis quality check with </w:t>
      </w:r>
      <w:r>
        <w:rPr>
          <w:rStyle w:val="VerbatimChar"/>
        </w:rPr>
        <w:t>06_preanalysis_check.py</w:t>
      </w:r>
      <w:r>
        <w:t>.</w:t>
      </w:r>
    </w:p>
    <w:p w14:paraId="25561D32" w14:textId="77777777" w:rsidR="009F4D6D" w:rsidRDefault="00000000">
      <w:pPr>
        <w:pStyle w:val="Heading4"/>
      </w:pPr>
      <w:bookmarkStart w:id="14" w:name="X4f3b483905f028c43522c7b13f20e281931be30"/>
      <w:bookmarkEnd w:id="13"/>
      <w:r>
        <w:t>4. Relationship and Bias Classification Rules</w:t>
      </w:r>
    </w:p>
    <w:p w14:paraId="25561D33" w14:textId="77777777" w:rsidR="009F4D6D" w:rsidRDefault="00000000">
      <w:pPr>
        <w:pStyle w:val="FirstParagraph"/>
      </w:pPr>
      <w:r>
        <w:t xml:space="preserve">We classified the relationship between each fungus and host pair based on information in the abstract. The classification rules defined the following categories: endophytic, pathogenic, mycorrhizal, antagonistic, mutualistic, saprotrophic, commensal, absence/negative, and unknown. This classification was performed during the initial data extraction and later summarized using </w:t>
      </w:r>
      <w:r>
        <w:rPr>
          <w:rStyle w:val="VerbatimChar"/>
        </w:rPr>
        <w:t>07_relationship_type_summary.R</w:t>
      </w:r>
      <w:r>
        <w:t xml:space="preserve">. We further analyzed biases in these reported interactions using </w:t>
      </w:r>
      <w:r>
        <w:rPr>
          <w:rStyle w:val="VerbatimChar"/>
        </w:rPr>
        <w:t>04_interaction_bias.R</w:t>
      </w:r>
      <w:r>
        <w:t xml:space="preserve"> and assessed fungal taxonomic bias with </w:t>
      </w:r>
      <w:r>
        <w:rPr>
          <w:rStyle w:val="VerbatimChar"/>
        </w:rPr>
        <w:t>03_fungal_taxonomic_bias.py</w:t>
      </w:r>
      <w:r>
        <w:t>.</w:t>
      </w:r>
    </w:p>
    <w:p w14:paraId="25561D34" w14:textId="77777777" w:rsidR="009F4D6D" w:rsidRDefault="00000000">
      <w:pPr>
        <w:pStyle w:val="Heading4"/>
      </w:pPr>
      <w:bookmarkStart w:id="15" w:name="biodiversity-priority-overlap-analysis"/>
      <w:bookmarkEnd w:id="14"/>
      <w:r>
        <w:t>5. Biodiversity Priority Overlap Analysis</w:t>
      </w:r>
    </w:p>
    <w:p w14:paraId="25561D35" w14:textId="77777777" w:rsidR="009F4D6D" w:rsidRDefault="00000000">
      <w:pPr>
        <w:pStyle w:val="FirstParagraph"/>
      </w:pPr>
      <w:r>
        <w:t xml:space="preserve">To compare our identified research gaps with global conservation priorities, we analyzed the overlap between understudied countries and biodiversity metrics from the World Bank [CITE: NEED REFERENCE FOR WORLD BANK DATA]. We first converted the World Bank data into a usable format with </w:t>
      </w:r>
      <w:r>
        <w:rPr>
          <w:rStyle w:val="VerbatimChar"/>
        </w:rPr>
        <w:t>convert_wb_biodiversity.py</w:t>
      </w:r>
      <w:r>
        <w:t xml:space="preserve">. The primary analysis, run with </w:t>
      </w:r>
      <w:r>
        <w:rPr>
          <w:rStyle w:val="VerbatimChar"/>
        </w:rPr>
        <w:t>08_biodiversity_priority_overlap.R</w:t>
      </w:r>
      <w:r>
        <w:t xml:space="preserve">, assessed the correlation between endophyte research effort, national GDP, and metrics of biodiversity such as endemic species counts. We tested the robustness of these findings across different priority thresholds using </w:t>
      </w:r>
      <w:r>
        <w:rPr>
          <w:rStyle w:val="VerbatimChar"/>
        </w:rPr>
        <w:t>09_biodiversity_priority_robustness.py</w:t>
      </w:r>
      <w:r>
        <w:t xml:space="preserve">. The results were visualized using </w:t>
      </w:r>
      <w:r>
        <w:rPr>
          <w:rStyle w:val="VerbatimChar"/>
        </w:rPr>
        <w:t>biodiversity_priority_overlap_plot.R</w:t>
      </w:r>
      <w:r>
        <w:t>.</w:t>
      </w:r>
    </w:p>
    <w:p w14:paraId="25561D36" w14:textId="77777777" w:rsidR="009F4D6D" w:rsidRDefault="00000000">
      <w:pPr>
        <w:pStyle w:val="Heading4"/>
      </w:pPr>
      <w:bookmarkStart w:id="16" w:name="X840a80a4ad89bdbb4b94edb1b75c2e14f4a3f50"/>
      <w:bookmarkEnd w:id="15"/>
      <w:r>
        <w:lastRenderedPageBreak/>
        <w:t>6. Ubiquity Claim Detection and Full-Text Screening</w:t>
      </w:r>
    </w:p>
    <w:p w14:paraId="25561D37" w14:textId="77777777" w:rsidR="009F4D6D" w:rsidRDefault="00000000">
      <w:pPr>
        <w:pStyle w:val="FirstParagraph"/>
      </w:pPr>
      <w:r>
        <w:t xml:space="preserve">We used a large language model (Ollama, Llama3-8b-instruct) to detect “ubiquity claims” across the entire corpus of 18,750 abstracts and 3,068 full texts [CITE: NEED REFERENCE FOR OLLAMA MODEL DEPLOYMENT]. The screening was deployed on the Monsoon high-performance computing cluster. The main submission script, </w:t>
      </w:r>
      <w:r>
        <w:rPr>
          <w:rStyle w:val="VerbatimChar"/>
        </w:rPr>
        <w:t>run_06_ubiquity_claims_ollama.sbatch</w:t>
      </w:r>
      <w:r>
        <w:t xml:space="preserve">, managed the process. The corpus was broken into smaller shards to run in parallel, a process managed by </w:t>
      </w:r>
      <w:r>
        <w:rPr>
          <w:rStyle w:val="VerbatimChar"/>
        </w:rPr>
        <w:t>submit_ubiquity_shards.sh</w:t>
      </w:r>
      <w:r>
        <w:t xml:space="preserve">. The core logic in </w:t>
      </w:r>
      <w:r>
        <w:rPr>
          <w:rStyle w:val="VerbatimChar"/>
        </w:rPr>
        <w:t>06_detect_ubiquity_claims_ollama.py</w:t>
      </w:r>
      <w:r>
        <w:t xml:space="preserve"> defined the model, the prompt structure, and the criteria for a positive call (explicit or qualified ubiquity claim). The script included a timeout behavior to handle unresponsive model instances. After processing, we merged the results from all shards using </w:t>
      </w:r>
      <w:r>
        <w:rPr>
          <w:rStyle w:val="VerbatimChar"/>
        </w:rPr>
        <w:t>merge_ubiquity_shards.py</w:t>
      </w:r>
      <w:r>
        <w:t xml:space="preserve">. The availability of models on the cluster was verified with </w:t>
      </w:r>
      <w:r>
        <w:rPr>
          <w:rStyle w:val="VerbatimChar"/>
        </w:rPr>
        <w:t>check_ollama_models.sh</w:t>
      </w:r>
      <w:r>
        <w:t>.</w:t>
      </w:r>
    </w:p>
    <w:p w14:paraId="25561D38" w14:textId="77777777" w:rsidR="009F4D6D" w:rsidRDefault="00000000">
      <w:pPr>
        <w:pStyle w:val="Heading4"/>
      </w:pPr>
      <w:bookmarkStart w:id="17" w:name="validation-and-sensitivity-checks"/>
      <w:bookmarkEnd w:id="16"/>
      <w:r>
        <w:t>7. Validation and Sensitivity Checks</w:t>
      </w:r>
    </w:p>
    <w:p w14:paraId="25561D39" w14:textId="77777777" w:rsidR="009F4D6D" w:rsidRDefault="00000000">
      <w:pPr>
        <w:pStyle w:val="FirstParagraph"/>
      </w:pPr>
      <w:r>
        <w:t xml:space="preserve">We conducted several validation steps. We performed manual validation of a subset of records to assess the accuracy of the automated extraction and classification. We used </w:t>
      </w:r>
      <w:r>
        <w:rPr>
          <w:rStyle w:val="VerbatimChar"/>
        </w:rPr>
        <w:t>03_identify_understudied_taxa.R</w:t>
      </w:r>
      <w:r>
        <w:t xml:space="preserve"> to generate lists of taxa for which we had little or no data, which were cross-referenced against other databases. The core statistical analyses of geographic and economic bias were conducted in </w:t>
      </w:r>
      <w:r>
        <w:rPr>
          <w:rStyle w:val="VerbatimChar"/>
        </w:rPr>
        <w:t>01_country_gdp_latitude_analysis.R</w:t>
      </w:r>
      <w:r>
        <w:t xml:space="preserve">, while taxonomic analyses were run with </w:t>
      </w:r>
      <w:r>
        <w:rPr>
          <w:rStyle w:val="VerbatimChar"/>
        </w:rPr>
        <w:t>02_taxonomy.R</w:t>
      </w:r>
      <w:r>
        <w:t xml:space="preserve">. Geographic maps were generated with </w:t>
      </w:r>
      <w:r>
        <w:rPr>
          <w:rStyle w:val="VerbatimChar"/>
        </w:rPr>
        <w:t>03_geographic_bias_mapping.R</w:t>
      </w:r>
      <w:r>
        <w:t xml:space="preserve">. A final manuscript summary was generated with </w:t>
      </w:r>
      <w:r>
        <w:rPr>
          <w:rStyle w:val="VerbatimChar"/>
        </w:rPr>
        <w:t>05_manuscript_summary.py</w:t>
      </w:r>
      <w:r>
        <w:t>.</w:t>
      </w:r>
    </w:p>
    <w:p w14:paraId="25561D3A" w14:textId="77777777" w:rsidR="009F4D6D" w:rsidRDefault="00000000">
      <w:pPr>
        <w:pStyle w:val="Heading4"/>
      </w:pPr>
      <w:bookmarkStart w:id="18" w:name="figure-generation-and-presentation"/>
      <w:bookmarkEnd w:id="17"/>
      <w:r>
        <w:t>8. Figure Generation and Presentation</w:t>
      </w:r>
    </w:p>
    <w:p w14:paraId="25561D3B" w14:textId="77777777" w:rsidR="009F4D6D" w:rsidRDefault="00000000">
      <w:pPr>
        <w:pStyle w:val="FirstParagraph"/>
      </w:pPr>
      <w:r>
        <w:t xml:space="preserve">All figures for the main text and supplement were generated programmatically. Geographic maps were created with </w:t>
      </w:r>
      <w:r>
        <w:rPr>
          <w:rStyle w:val="VerbatimChar"/>
        </w:rPr>
        <w:t>geographic_plotting.R</w:t>
      </w:r>
      <w:r>
        <w:t xml:space="preserve">. Biome-related plots were generated with </w:t>
      </w:r>
      <w:r>
        <w:rPr>
          <w:rStyle w:val="VerbatimChar"/>
        </w:rPr>
        <w:t>biome_plots.R</w:t>
      </w:r>
      <w:r>
        <w:t xml:space="preserve">. Plots showing relationship types, taxonomic representation, and tissue sampling were created with </w:t>
      </w:r>
      <w:r>
        <w:rPr>
          <w:rStyle w:val="VerbatimChar"/>
        </w:rPr>
        <w:t>relationship_type_plots.R</w:t>
      </w:r>
      <w:r>
        <w:t xml:space="preserve">, </w:t>
      </w:r>
      <w:r>
        <w:rPr>
          <w:rStyle w:val="VerbatimChar"/>
        </w:rPr>
        <w:t>taxonomy_representation.R</w:t>
      </w:r>
      <w:r>
        <w:t xml:space="preserve">, and </w:t>
      </w:r>
      <w:r>
        <w:rPr>
          <w:rStyle w:val="VerbatimChar"/>
        </w:rPr>
        <w:t>tissue_plots.R</w:t>
      </w:r>
      <w:r>
        <w:t xml:space="preserve">, respectively. A consistent visual style was maintained using </w:t>
      </w:r>
      <w:r>
        <w:rPr>
          <w:rStyle w:val="VerbatimChar"/>
        </w:rPr>
        <w:t>theme_utils.R</w:t>
      </w:r>
      <w:r>
        <w:t xml:space="preserve">. The biodiversity priority overlap plot was generated by </w:t>
      </w:r>
      <w:r>
        <w:rPr>
          <w:rStyle w:val="VerbatimChar"/>
        </w:rPr>
        <w:t>biodiversity_priority_overlap_plot.R</w:t>
      </w:r>
      <w:r>
        <w:t>.</w:t>
      </w:r>
    </w:p>
    <w:p w14:paraId="25561D3C" w14:textId="77777777" w:rsidR="009F4D6D" w:rsidRDefault="00000000">
      <w:pPr>
        <w:pStyle w:val="Heading2"/>
      </w:pPr>
      <w:bookmarkStart w:id="19" w:name="results"/>
      <w:bookmarkEnd w:id="3"/>
      <w:bookmarkEnd w:id="10"/>
      <w:bookmarkEnd w:id="18"/>
      <w:r>
        <w:t>Results</w:t>
      </w:r>
    </w:p>
    <w:p w14:paraId="25561D3D" w14:textId="77777777" w:rsidR="009F4D6D" w:rsidRDefault="00000000">
      <w:pPr>
        <w:pStyle w:val="Heading3"/>
      </w:pPr>
      <w:bookmarkStart w:id="20" w:name="Xce4a125c006b46a097d63f171ebf5d62496dca8"/>
      <w:r>
        <w:t>Prediction U: The Evidence Base for Evaluating Endophyte Ubiquity</w:t>
      </w:r>
    </w:p>
    <w:p w14:paraId="25561D3E" w14:textId="77777777" w:rsidR="009F4D6D" w:rsidRDefault="00000000">
      <w:pPr>
        <w:pStyle w:val="FirstParagraph"/>
      </w:pPr>
      <w:r>
        <w:t xml:space="preserve">To evaluate the prevalence of the ubiquity claim, we screened the abstracts of the initial screening corpus (n = 21,891). Our large language model pipeline identified 586 positive ubiquity claims, representing 2.7 percent of this broader corpus. These results comprised 334 explicit statements and 252 qualified ones. This finding confirms the assumption outlined in Prediction U, demonstrating that while the ubiquity claim is a recurring theme across the literature, the globally aggregated evidence base is heavily constrained. This indicates that the assumption of ubiquity is frequently asserted without a high-resolution </w:t>
      </w:r>
      <w:r>
        <w:lastRenderedPageBreak/>
        <w:t>audit of the sampling evidence. Our analysis of the final analysis corpus (n = 18,750) reveals that of these unique publications, we could only access the full text for 3,068 records (16.4 percent), with the remaining 15,682 records analyzed at the abstract level. The following results present our audit of this evidence base, structured to test the remaining predictions regarding sampling bias.</w:t>
      </w:r>
    </w:p>
    <w:p w14:paraId="25561D3F" w14:textId="77777777" w:rsidR="009F4D6D" w:rsidRDefault="00000000">
      <w:pPr>
        <w:pStyle w:val="Heading3"/>
      </w:pPr>
      <w:bookmarkStart w:id="21" w:name="Xe7644d5979d5790e215c4bebff18d80e7709816"/>
      <w:bookmarkEnd w:id="20"/>
      <w:r>
        <w:t>Prediction A: Research Effort is Geographically Clustered</w:t>
      </w:r>
    </w:p>
    <w:p w14:paraId="25561D40" w14:textId="77777777" w:rsidR="009F4D6D" w:rsidRDefault="00000000">
      <w:pPr>
        <w:pStyle w:val="FirstParagraph"/>
      </w:pPr>
      <w:r>
        <w:t>Supporting our first prediction (Prediction A), we found that fungal endophyte research is strongly concentrated in a small number of countries (Figure 1). Of the 234 countries and territories analyzed, 80 had no recorded studies in our corpus. The majority of research was concentrated in North America, Europe, and East Asia, leaving vast regions of Africa, Central Asia, and South America with little to no evidence of sampling. It is important to note that abstracts often omit precise location metadata, meaning a zero count for a country is not definitive proof of sampling absence but rather a strong indicator of its underrepresentation in the global literature [CITE: @uren_host_2012].</w:t>
      </w:r>
    </w:p>
    <w:p w14:paraId="25561D41" w14:textId="77777777" w:rsidR="009F4D6D" w:rsidRDefault="00000000">
      <w:pPr>
        <w:pStyle w:val="Heading3"/>
      </w:pPr>
      <w:bookmarkStart w:id="22" w:name="X363a090ab845c1cd9af1469b32eaca1a3883740"/>
      <w:bookmarkEnd w:id="21"/>
      <w:r>
        <w:t>Prediction B: Biome and Host Representation are Non-Random</w:t>
      </w:r>
    </w:p>
    <w:p w14:paraId="25561D42" w14:textId="77777777" w:rsidR="009F4D6D" w:rsidRDefault="00000000">
      <w:pPr>
        <w:pStyle w:val="FirstParagraph"/>
      </w:pPr>
      <w:r>
        <w:t>Consistent with Prediction B,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significantly under-sampled (Figure 2). This finding carries the caveat that biome-level information is often missing from abstracts, so our analysis likely underestimates the full extent of this bias.</w:t>
      </w:r>
    </w:p>
    <w:p w14:paraId="25561D43" w14:textId="77777777" w:rsidR="009F4D6D" w:rsidRDefault="00000000">
      <w:pPr>
        <w:pStyle w:val="BodyText"/>
      </w:pPr>
      <w:r>
        <w:t xml:space="preserve">Host taxonomic representation was similarly imbalanced (Figure 4). A small number of plant families, notably </w:t>
      </w:r>
      <w:r>
        <w:rPr>
          <w:i/>
          <w:iCs/>
        </w:rPr>
        <w:t>Poaceae</w:t>
      </w:r>
      <w:r>
        <w:t xml:space="preserve"> and </w:t>
      </w:r>
      <w:r>
        <w:rPr>
          <w:i/>
          <w:iCs/>
        </w:rPr>
        <w:t>Fabaceae</w:t>
      </w:r>
      <w:r>
        <w:t>, have received the vast majority of research attention. Our analysis, which standardized host taxonomy against the GBIF backbone [@registry-migrationgbiforg_gbif_2023], revealed that numerous plant orders and families have no recorded endophyte studies, representing major gaps in our knowledge of host-fungus interactions.</w:t>
      </w:r>
    </w:p>
    <w:p w14:paraId="25561D44" w14:textId="77777777" w:rsidR="009F4D6D" w:rsidRDefault="00000000">
      <w:pPr>
        <w:pStyle w:val="Heading3"/>
      </w:pPr>
      <w:bookmarkStart w:id="23" w:name="X23ff396f6319c66185a3b610d3dc317dab3bf41"/>
      <w:bookmarkEnd w:id="22"/>
      <w:r>
        <w:t>Prediction C: Study Intensity Increases with GDP</w:t>
      </w:r>
    </w:p>
    <w:p w14:paraId="25561D45" w14:textId="77777777" w:rsidR="009F4D6D" w:rsidRDefault="00000000">
      <w:pPr>
        <w:pStyle w:val="FirstParagraph"/>
      </w:pPr>
      <w:r>
        <w:t>In line with Prediction C, we found a strong, positive correlation between a country’s economic output and its endophyte research intensity. A country’s log-transformed Gross Domestic Product (GDP) was a significant predictor of its log-transformed study count (Spearman’s ρ = 0.56, p &lt; 0.001), indicating that wealthier nations are studied more frequently (Figure 3). Further modeling revealed that GDP was a more powerful predictor of study count than biodiversity metrics. While biodiversity was also a significant predictor, its effect was much smaller. This indicates that the global distribution of endophyte research is more a map of economic capacity than it is a map of biodiversity. This creates a critical knowledge gap, as high-biodiversity, low-GDP countries are systematically under-represented in the current body of endophyte research.</w:t>
      </w:r>
    </w:p>
    <w:p w14:paraId="25561D46" w14:textId="77777777" w:rsidR="009F4D6D" w:rsidRDefault="00000000">
      <w:pPr>
        <w:pStyle w:val="Heading3"/>
      </w:pPr>
      <w:bookmarkStart w:id="24" w:name="priority-outputs-for-future-sampling"/>
      <w:bookmarkEnd w:id="23"/>
      <w:r>
        <w:lastRenderedPageBreak/>
        <w:t>Priority Outputs for Future Sampling</w:t>
      </w:r>
    </w:p>
    <w:p w14:paraId="25561D47" w14:textId="77777777" w:rsidR="009F4D6D" w:rsidRDefault="00000000">
      <w:pPr>
        <w:pStyle w:val="FirstParagraph"/>
      </w:pPr>
      <w:r>
        <w:t xml:space="preserve">Based on these identified gaps, our pipeline generated priority lists of understudied countries and host taxa. The results highlight numerous plant genera and families with no representation in the literature, including early-diverging lineages such as </w:t>
      </w:r>
      <w:r>
        <w:rPr>
          <w:i/>
          <w:iCs/>
        </w:rPr>
        <w:t>Charophyta</w:t>
      </w:r>
      <w:r>
        <w:t xml:space="preserve"> and </w:t>
      </w:r>
      <w:r>
        <w:rPr>
          <w:i/>
          <w:iCs/>
        </w:rPr>
        <w:t>Bryophyta</w:t>
      </w:r>
      <w:r>
        <w:t>. Likewise, many countries, such as Tonga, remain completely unsampled. These outputs provide a concrete roadmap for targeted sampling efforts designed to fill the most significant gaps in our current understanding of global endophyte diversity.</w:t>
      </w:r>
    </w:p>
    <w:p w14:paraId="25561D48" w14:textId="77777777" w:rsidR="009F4D6D" w:rsidRDefault="00000000">
      <w:pPr>
        <w:pStyle w:val="Heading2"/>
      </w:pPr>
      <w:bookmarkStart w:id="25" w:name="discussion"/>
      <w:bookmarkEnd w:id="19"/>
      <w:bookmarkEnd w:id="24"/>
      <w:r>
        <w:t>Discussion</w:t>
      </w:r>
    </w:p>
    <w:p w14:paraId="25561D49" w14:textId="77777777" w:rsidR="009F4D6D" w:rsidRDefault="00000000">
      <w:pPr>
        <w:pStyle w:val="FirstParagraph"/>
      </w:pPr>
      <w:r>
        <w:t>Our analysis of the global endophyte literature reveals a research landscape that is geographically and taxonomically constrained. The patterns of data availability are not random; instead, they are strongly shaped by economic factors that are decoupled from the planet’s biological richness. This structure has profound implications for how we interpret the existing evidence for endophyte ubiquity and for how we should direct future research.</w:t>
      </w:r>
    </w:p>
    <w:p w14:paraId="25561D4A" w14:textId="77777777" w:rsidR="009F4D6D" w:rsidRDefault="00000000">
      <w:pPr>
        <w:pStyle w:val="Heading3"/>
      </w:pPr>
      <w:bookmarkStart w:id="26" w:name="interpreting-the-evidence-gaps"/>
      <w:r>
        <w:t>Interpreting the Evidence Gaps</w:t>
      </w:r>
    </w:p>
    <w:p w14:paraId="25561D4B" w14:textId="77777777" w:rsidR="009F4D6D" w:rsidRDefault="00000000">
      <w:pPr>
        <w:pStyle w:val="FirstParagraph"/>
      </w:pPr>
      <w:r>
        <w:t>A primary finding of our study is the large number of countries and biomes with zero recorded endophyte studies in our abstract-based corpus. We interpret these zeros not as a definitive statement of endophyte absence, but as thematic blind spots in the global research effort. The lack of accessible evidence from these regions prevents the formation of credible ecological generalizations. This situation is analogous to the “file drawer problem” in meta-analysis, where unpublished, non-significant results can skew conclusions [CITE: Rosenthal 1979]. Here, the absence of data from entire regions creates a systematic bias, limiting our ability to construct a truly global view of endophyte ecology. These gaps highlight areas where our collective knowledge is too sparse to support broad claims about fungal distribution and function.</w:t>
      </w:r>
    </w:p>
    <w:p w14:paraId="25561D4C" w14:textId="77777777" w:rsidR="009F4D6D" w:rsidRDefault="00000000">
      <w:pPr>
        <w:pStyle w:val="Heading3"/>
      </w:pPr>
      <w:bookmarkStart w:id="27" w:name="ecological-implications-of-sampling-bias"/>
      <w:bookmarkEnd w:id="26"/>
      <w:r>
        <w:t>Ecological Implications of Sampling Bias</w:t>
      </w:r>
    </w:p>
    <w:p w14:paraId="25561D4D" w14:textId="77777777" w:rsidR="009F4D6D" w:rsidRDefault="00000000">
      <w:pPr>
        <w:pStyle w:val="FirstParagraph"/>
      </w:pPr>
      <w:r>
        <w:t>The concentration of research in temperate, high-GDP nations has significant ecological consequences. Fungal biogeography is known to be structured by strong environmental gradients and historical factors [CITE: Tedersoo et al. 2014]. By over-sampling a narrow range of temperate and agricultural systems, the field risks inflating its confidence in “universal”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vastly different suite of host plants and environmental pressures. This bias represents a lost opportunity to understand the full spectrum of endophyte symbioses and their roles in ecosystem processes across the globe.</w:t>
      </w:r>
    </w:p>
    <w:p w14:paraId="25561D4E" w14:textId="77777777" w:rsidR="009F4D6D" w:rsidRDefault="00000000">
      <w:pPr>
        <w:pStyle w:val="Heading3"/>
      </w:pPr>
      <w:bookmarkStart w:id="28" w:name="X6e474aebd9916d91616fed83507395dbc2487f9"/>
      <w:bookmarkEnd w:id="27"/>
      <w:r>
        <w:lastRenderedPageBreak/>
        <w:t>Economic Privilege as a Driver of Research Effort</w:t>
      </w:r>
    </w:p>
    <w:p w14:paraId="25561D4F" w14:textId="77777777" w:rsidR="009F4D6D" w:rsidRDefault="00000000">
      <w:pPr>
        <w:pStyle w:val="FirstParagraph"/>
      </w:pPr>
      <w:r>
        <w:t>Our results demonstrate that research effort follows economic privilege rather than biological richness. The strong positive correlation between a country’s GDP and its study count indicates that the current map of endophyte knowledge is more a reflection of funding and infrastructure than of a strategic effort to explore global biodiversity. This economic filtering of research focus means we are likely missing significant fungal novelty from the world’s most biodiverse, and often least wealthy, regions. This is a critical lost opportunity, as these under-explored ecosystems may harbor unique fungal lineages with novel ecological functions and potential for bioprospecting [CITE: newman_natural_2012; bertini_biodiversity_2022].</w:t>
      </w:r>
    </w:p>
    <w:p w14:paraId="25561D50" w14:textId="77777777" w:rsidR="009F4D6D" w:rsidRDefault="00000000">
      <w:pPr>
        <w:pStyle w:val="Heading3"/>
      </w:pPr>
      <w:bookmarkStart w:id="29" w:name="X74ce0a8a37492e58df89abadb7679730f33fc06"/>
      <w:bookmarkEnd w:id="28"/>
      <w:r>
        <w:t>The Utility and Limitations of an Abstract-Based Audit</w:t>
      </w:r>
    </w:p>
    <w:p w14:paraId="25561D51" w14:textId="77777777" w:rsidR="009F4D6D" w:rsidRDefault="00000000">
      <w:pPr>
        <w:pStyle w:val="FirstParagraph"/>
      </w:pPr>
      <w:r>
        <w:t>We acknowledge that mining abstracts alone is a limitation of this study. This approach cannot capture every mention of an endophyte in the full text of a publication. However, we argue that this method serves as a necessary and conservative field audit of the most visible and accessible evidence. If a study’s core findings on endophyte presence are not mentioned in the abstract, their utility for broad-scale synthesis is inherently limited. Furthermore, this approach highlights the systematic barriers created by paywalled science; by relying on the most commonly accessible part of a publication, our analysis maps the boundaries of our “default” knowledge, which is shaped by what is readily available to the global research community.</w:t>
      </w:r>
    </w:p>
    <w:p w14:paraId="25561D52" w14:textId="77777777" w:rsidR="009F4D6D" w:rsidRDefault="00000000">
      <w:pPr>
        <w:pStyle w:val="Heading3"/>
      </w:pPr>
      <w:bookmarkStart w:id="30" w:name="a-roadmap-for-future-sampling"/>
      <w:bookmarkEnd w:id="29"/>
      <w:r>
        <w:t>A Roadmap for Future Sampling</w:t>
      </w:r>
    </w:p>
    <w:p w14:paraId="25561D53" w14:textId="77777777" w:rsidR="009F4D6D" w:rsidRDefault="00000000">
      <w:pPr>
        <w:pStyle w:val="FirstParagraph"/>
      </w:pPr>
      <w:r>
        <w:t xml:space="preserve">Based on these findings, we propose a strategic roadmap 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 Our analysis shows a heavy concentration on economically important plant families. A concerted effort to sample early-diverging and non-vascular plant lineages, such as </w:t>
      </w:r>
      <w:r>
        <w:rPr>
          <w:i/>
          <w:iCs/>
        </w:rPr>
        <w:t>Charophyta</w:t>
      </w:r>
      <w:r>
        <w:t xml:space="preserve"> and </w:t>
      </w:r>
      <w:r>
        <w:rPr>
          <w:i/>
          <w:iCs/>
        </w:rPr>
        <w:t>Bryophyta</w:t>
      </w:r>
      <w:r>
        <w:t>, would provide crucial insights into the evolutionary history of endophytism. Second, research must expand into high-biodiversity, low-GDP regions. Countries such as Tonga and large portions of Africa and Central Asia represent significant gaps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p>
    <w:p w14:paraId="25561D54" w14:textId="77777777" w:rsidR="009F4D6D" w:rsidRDefault="00000000">
      <w:pPr>
        <w:pStyle w:val="Heading2"/>
      </w:pPr>
      <w:bookmarkStart w:id="31" w:name="figure-captions"/>
      <w:bookmarkEnd w:id="25"/>
      <w:bookmarkEnd w:id="30"/>
      <w:r>
        <w:t>Figure Captions</w:t>
      </w:r>
    </w:p>
    <w:p w14:paraId="25561D55" w14:textId="77777777" w:rsidR="009F4D6D" w:rsidRDefault="00000000">
      <w:pPr>
        <w:pStyle w:val="FirstParagraph"/>
      </w:pPr>
      <w:r>
        <w:rPr>
          <w:b/>
          <w:bCs/>
        </w:rPr>
        <w:t>Figure 1.</w:t>
      </w:r>
      <w:r>
        <w:t xml:space="preserve"> Global distribution of fungal endophyte research effort. The map displays the number of studies per country based on a corpus of 18,750 publications. Of the 234 countries and territories analyzed, 80 had zero recorded studies. Research is heavily </w:t>
      </w:r>
      <w:r>
        <w:lastRenderedPageBreak/>
        <w:t>concentrated in North America, Europe, and East Asia, with large regions of Africa, Central Asia, and South America showing little to no research activity.</w:t>
      </w:r>
    </w:p>
    <w:p w14:paraId="25561D56" w14:textId="77777777" w:rsidR="009F4D6D" w:rsidRDefault="00000000">
      <w:pPr>
        <w:pStyle w:val="BodyText"/>
      </w:pPr>
      <w:r>
        <w:rPr>
          <w:b/>
          <w:bCs/>
        </w:rPr>
        <w:t>Figure 2.</w:t>
      </w:r>
      <w:r>
        <w:t xml:space="preserve"> Heatmap of study counts by biome and country. This figure reveals that research effort is not only geographically clustered but also heavily skewed toward certain biomes. Temperate forests and agricultural systems are overrepresented in the literature, while biomes such as tropical and subtropical grasslands, savannas, and shrublands are significantly underrepresented, even within well-studied countries.</w:t>
      </w:r>
    </w:p>
    <w:p w14:paraId="25561D57" w14:textId="77777777" w:rsidR="009F4D6D" w:rsidRDefault="00000000">
      <w:pPr>
        <w:pStyle w:val="BodyText"/>
      </w:pPr>
      <w:r>
        <w:rPr>
          <w:b/>
          <w:bCs/>
        </w:rPr>
        <w:t>Figure 3.</w:t>
      </w:r>
      <w:r>
        <w:t xml:space="preserve"> Relationship between a country’s economic status and its endophyte research effort. A strong, positive correlation exists between a country’s log-transformed Gross Domestic Product (GDP) and its log-transformed study count (Spearman’s ρ = 0.56, p &lt; 0.001), indicating that wealthier countries receive more research attention. The line represents a loess-smoothed fit, with the shaded area showing the 95% confidence interval.</w:t>
      </w:r>
    </w:p>
    <w:p w14:paraId="25561D58" w14:textId="77777777" w:rsidR="009F4D6D" w:rsidRDefault="00000000">
      <w:pPr>
        <w:pStyle w:val="BodyText"/>
      </w:pPr>
      <w:r>
        <w:rPr>
          <w:b/>
          <w:bCs/>
        </w:rPr>
        <w:t>Figure 4.</w:t>
      </w:r>
      <w:r>
        <w:t xml:space="preserve"> Host taxonomic representation in the endophyte literature. This heatmap shows the concentration of studies on a limited number of plant families. Research is heavily biased toward economically important families such as </w:t>
      </w:r>
      <w:r>
        <w:rPr>
          <w:i/>
          <w:iCs/>
        </w:rPr>
        <w:t>Poaceae</w:t>
      </w:r>
      <w:r>
        <w:t xml:space="preserve"> and </w:t>
      </w:r>
      <w:r>
        <w:rPr>
          <w:i/>
          <w:iCs/>
        </w:rPr>
        <w:t>Fabaceae</w:t>
      </w:r>
      <w:r>
        <w:t xml:space="preserve">, while numerous other plant orders and families, including early-diverging lineages like </w:t>
      </w:r>
      <w:r>
        <w:rPr>
          <w:i/>
          <w:iCs/>
        </w:rPr>
        <w:t>Charophyta</w:t>
      </w:r>
      <w:r>
        <w:t xml:space="preserve"> and </w:t>
      </w:r>
      <w:r>
        <w:rPr>
          <w:i/>
          <w:iCs/>
        </w:rPr>
        <w:t>Bryophyta</w:t>
      </w:r>
      <w:r>
        <w:t>, have no recorded endophyte studies.</w:t>
      </w:r>
    </w:p>
    <w:p w14:paraId="25561D59" w14:textId="77777777" w:rsidR="009F4D6D" w:rsidRDefault="00000000">
      <w:pPr>
        <w:pStyle w:val="BodyText"/>
      </w:pPr>
      <w:r>
        <w:rPr>
          <w:b/>
          <w:bCs/>
        </w:rPr>
        <w:t>Figure S1.</w:t>
      </w:r>
      <w:r>
        <w:t xml:space="preserve"> Correlation heatmap of research effort, 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bookmarkEnd w:id="1"/>
      <w:bookmarkEnd w:id="31"/>
    </w:p>
    <w:sectPr w:rsidR="009F4D6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eatrice Bock" w:date="2026-05-19T07:50:00Z" w:initials="BB">
    <w:p w14:paraId="14755250" w14:textId="77777777" w:rsidR="003066E5" w:rsidRDefault="003066E5" w:rsidP="003066E5">
      <w:pPr>
        <w:pStyle w:val="CommentText"/>
      </w:pPr>
      <w:r>
        <w:rPr>
          <w:rStyle w:val="CommentReference"/>
        </w:rPr>
        <w:annotationRef/>
      </w:r>
      <w:r>
        <w:t>And traacks given positive evidence in favor</w:t>
      </w:r>
    </w:p>
  </w:comment>
  <w:comment w:id="8" w:author="Beatrice Bock" w:date="2026-05-19T08:39:00Z" w:initials="BB">
    <w:p w14:paraId="7AA38521" w14:textId="77777777" w:rsidR="0048460A" w:rsidRDefault="0048460A" w:rsidP="0048460A">
      <w:pPr>
        <w:pStyle w:val="CommentText"/>
      </w:pPr>
      <w:r>
        <w:rPr>
          <w:rStyle w:val="CommentReference"/>
        </w:rPr>
        <w:annotationRef/>
      </w:r>
      <w:r>
        <w:t>Does this make it into later bits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755250" w15:done="0"/>
  <w15:commentEx w15:paraId="7AA385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70BEA8" w16cex:dateUtc="2026-05-19T14:50:00Z"/>
  <w16cex:commentExtensible w16cex:durableId="04B0B4E7" w16cex:dateUtc="2026-05-19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755250" w16cid:durableId="2970BEA8"/>
  <w16cid:commentId w16cid:paraId="7AA38521" w16cid:durableId="04B0B4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trice Bock">
    <w15:presenceInfo w15:providerId="None" w15:userId="Beatrice B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F4D6D"/>
    <w:rsid w:val="000525C8"/>
    <w:rsid w:val="0007625B"/>
    <w:rsid w:val="001B5728"/>
    <w:rsid w:val="001F236E"/>
    <w:rsid w:val="0024411D"/>
    <w:rsid w:val="002B2905"/>
    <w:rsid w:val="003066E5"/>
    <w:rsid w:val="003B0DC2"/>
    <w:rsid w:val="00431816"/>
    <w:rsid w:val="0048460A"/>
    <w:rsid w:val="00486781"/>
    <w:rsid w:val="004E16A9"/>
    <w:rsid w:val="005A710C"/>
    <w:rsid w:val="005F7AC2"/>
    <w:rsid w:val="007C3696"/>
    <w:rsid w:val="00880002"/>
    <w:rsid w:val="008D2307"/>
    <w:rsid w:val="008D49B8"/>
    <w:rsid w:val="009A42FA"/>
    <w:rsid w:val="009F4D6D"/>
    <w:rsid w:val="00A06509"/>
    <w:rsid w:val="00A110AC"/>
    <w:rsid w:val="00AA633E"/>
    <w:rsid w:val="00AE5C9A"/>
    <w:rsid w:val="00B355D7"/>
    <w:rsid w:val="00CC5305"/>
    <w:rsid w:val="00D270A4"/>
    <w:rsid w:val="00D5159D"/>
    <w:rsid w:val="00D754AB"/>
    <w:rsid w:val="00D7643C"/>
    <w:rsid w:val="00DE0585"/>
    <w:rsid w:val="00E155F6"/>
    <w:rsid w:val="00E40FAB"/>
    <w:rsid w:val="00ED3AF0"/>
    <w:rsid w:val="00ED6DAE"/>
    <w:rsid w:val="00F57C36"/>
    <w:rsid w:val="00FE1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12520</Words>
  <Characters>71369</Characters>
  <Application>Microsoft Office Word</Application>
  <DocSecurity>0</DocSecurity>
  <Lines>594</Lines>
  <Paragraphs>167</Paragraphs>
  <ScaleCrop>false</ScaleCrop>
  <Company/>
  <LinksUpToDate>false</LinksUpToDate>
  <CharactersWithSpaces>83722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Beatrice Bock</cp:lastModifiedBy>
  <cp:revision>36</cp:revision>
  <dcterms:created xsi:type="dcterms:W3CDTF">2026-05-19T14:43:00Z</dcterms:created>
  <dcterms:modified xsi:type="dcterms:W3CDTF">2026-05-19T15:45:00Z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id="RX8td7A2"/&gt;&lt;style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