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3427" w14:textId="079EE6AE" w:rsidR="00E14E1D" w:rsidRDefault="00E14E1D" w:rsidP="008B59A2">
      <w:bookmarkStart w:id="0" w:name="abstract"/>
      <w:r>
        <w:t xml:space="preserve">Title options: </w:t>
      </w:r>
    </w:p>
    <w:p w14:paraId="3C87B4EC" w14:textId="77777777" w:rsidR="00E14E1D" w:rsidRPr="00E14E1D" w:rsidRDefault="00E14E1D" w:rsidP="00E14E1D">
      <w:r w:rsidRPr="00E14E1D">
        <w:t>1. Global Sampling Biases in Fungal Endophyte Research</w:t>
      </w:r>
    </w:p>
    <w:p w14:paraId="3D34A2D8" w14:textId="4FB68B30" w:rsidR="00E14E1D" w:rsidRPr="00E14E1D" w:rsidRDefault="00E14E1D" w:rsidP="00E14E1D">
      <w:r w:rsidRPr="00E14E1D">
        <w:t>2.</w:t>
      </w:r>
      <w:commentRangeStart w:id="1"/>
      <w:r w:rsidRPr="00E14E1D">
        <w:t xml:space="preserve"> Mapping the Un</w:t>
      </w:r>
      <w:r>
        <w:t>der</w:t>
      </w:r>
      <w:r w:rsidRPr="00E14E1D">
        <w:t>explored</w:t>
      </w:r>
      <w:r w:rsidR="00330D4E">
        <w:t xml:space="preserve"> </w:t>
      </w:r>
      <w:r w:rsidR="00330D4E" w:rsidRPr="00E14E1D">
        <w:t>Biomes, Hosts, and Economies</w:t>
      </w:r>
      <w:r w:rsidRPr="00E14E1D">
        <w:t xml:space="preserve"> of </w:t>
      </w:r>
      <w:r w:rsidR="00330D4E">
        <w:t xml:space="preserve">Fungal </w:t>
      </w:r>
      <w:r w:rsidRPr="00E14E1D">
        <w:t>Endophyte Ecology</w:t>
      </w:r>
      <w:commentRangeEnd w:id="1"/>
      <w:r w:rsidR="009166C0" w:rsidRPr="00E14E1D">
        <w:rPr>
          <w:rStyle w:val="CommentReference"/>
          <w:sz w:val="24"/>
          <w:szCs w:val="24"/>
        </w:rPr>
        <w:commentReference w:id="1"/>
      </w:r>
    </w:p>
    <w:p w14:paraId="5488B176" w14:textId="77777777" w:rsidR="00E14E1D" w:rsidRDefault="00E14E1D" w:rsidP="008B59A2"/>
    <w:p w14:paraId="3C0FAE34" w14:textId="6571A9B7" w:rsidR="008B59A2" w:rsidRDefault="008B59A2" w:rsidP="008B59A2">
      <w:r>
        <w:t>Submitting to: New Phytologist</w:t>
      </w:r>
    </w:p>
    <w:p w14:paraId="401033C5" w14:textId="31AC6DFF" w:rsidR="00686E88" w:rsidRPr="00686E88" w:rsidRDefault="00686E88" w:rsidP="00686E88">
      <w:r w:rsidRPr="00686E88">
        <w:t>Authors: B. M. Bock</w:t>
      </w:r>
      <w:r w:rsidRPr="00686E88">
        <w:rPr>
          <w:vertAlign w:val="superscript"/>
        </w:rPr>
        <w:t>1,2</w:t>
      </w:r>
      <w:r w:rsidRPr="00686E88">
        <w:t>, N. McKay</w:t>
      </w:r>
      <w:r w:rsidRPr="00686E88">
        <w:rPr>
          <w:vertAlign w:val="superscript"/>
        </w:rPr>
        <w:t>3</w:t>
      </w:r>
      <w:r w:rsidRPr="00686E88">
        <w:t>, N.C. Johnson</w:t>
      </w:r>
      <w:r w:rsidRPr="00686E88">
        <w:rPr>
          <w:vertAlign w:val="superscript"/>
        </w:rPr>
        <w:t>1, 3</w:t>
      </w:r>
      <w:r w:rsidRPr="00686E88">
        <w:t>, C.A. Gehring</w:t>
      </w:r>
      <w:r w:rsidRPr="00686E88">
        <w:rPr>
          <w:vertAlign w:val="superscript"/>
        </w:rPr>
        <w:t>1,2</w:t>
      </w:r>
    </w:p>
    <w:p w14:paraId="489EEA27" w14:textId="77777777" w:rsidR="00686E88" w:rsidRPr="00686E88" w:rsidRDefault="00686E88" w:rsidP="00686E88"/>
    <w:p w14:paraId="240AEB11" w14:textId="26EC1E49" w:rsidR="00686E88" w:rsidRPr="00686E88" w:rsidRDefault="00686E88" w:rsidP="00686E88">
      <w:r w:rsidRPr="00686E88">
        <w:t>1. Department of Biological Sciences, Northern Arizona University</w:t>
      </w:r>
    </w:p>
    <w:p w14:paraId="652C520D" w14:textId="772651CB" w:rsidR="00686E88" w:rsidRPr="00686E88" w:rsidRDefault="00686E88" w:rsidP="00686E88">
      <w:r w:rsidRPr="00686E88">
        <w:t>2. Center for Adaptable Western Landscapes, Northern Arizona University</w:t>
      </w:r>
    </w:p>
    <w:p w14:paraId="7054B49B" w14:textId="77777777" w:rsidR="00686E88" w:rsidRPr="00686E88" w:rsidRDefault="00686E88" w:rsidP="00686E88">
      <w:r w:rsidRPr="00686E88">
        <w:t>3. School of Earth and Sustainability, Northern Arizona University</w:t>
      </w:r>
    </w:p>
    <w:p w14:paraId="28B82A40" w14:textId="77777777" w:rsidR="008B59A2" w:rsidRDefault="008B59A2" w:rsidP="008B59A2"/>
    <w:p w14:paraId="25561D18" w14:textId="72121DD7" w:rsidR="009F4D6D" w:rsidRDefault="007112DB">
      <w:pPr>
        <w:pStyle w:val="Heading1"/>
      </w:pPr>
      <w:r>
        <w:t>Summary</w:t>
      </w:r>
    </w:p>
    <w:p w14:paraId="7F21E555" w14:textId="23BE685D" w:rsidR="007749FF" w:rsidRDefault="00F53620" w:rsidP="007112DB">
      <w:pPr>
        <w:pStyle w:val="Compact"/>
      </w:pPr>
      <w:r w:rsidRPr="00F53620">
        <w:t>The foundational assumption that fungal endophytes are ubiquitous</w:t>
      </w:r>
      <w:r w:rsidR="004705A0">
        <w:t xml:space="preserve">, in that they </w:t>
      </w:r>
      <w:r w:rsidRPr="00F53620">
        <w:t>inhabit all plants</w:t>
      </w:r>
      <w:r w:rsidR="004705A0">
        <w:t xml:space="preserve">, </w:t>
      </w:r>
      <w:r w:rsidRPr="00F53620">
        <w:t xml:space="preserve">is frequently asserted in the literature, yet this paradigm lacks a rigorous, global-scale synthesis. Understanding the actual geographic, taxonomic, and functional distribution of endophyte research is essential to evaluate the reliability of broad ecological generalizations. To map this evidence base, </w:t>
      </w:r>
      <w:r w:rsidR="00813069">
        <w:t xml:space="preserve">we conducted </w:t>
      </w:r>
      <w:r w:rsidRPr="00F53620">
        <w:t>an automated, abstract-led audit of 18,750 publications, harmonizing host and fungal nomenclature against the Global Biodiversity Information Facility (GBIF) backbone. Semantic text-mining revealed that the ubiquity premise appears in 2.7% of the published literature. However, global sampling effort is systematically biased. Research is heavily concentrated in temperate nations, strongly predicted by national Gross Domestic Product (GDP), and taxonomically skewed, leaving early-diverging plant lineages (e.g., Charophyta, Bryophyta) severely un</w:t>
      </w:r>
      <w:r w:rsidR="004705A0">
        <w:t>der</w:t>
      </w:r>
      <w:r w:rsidRPr="00F53620">
        <w:t xml:space="preserve">examined. Crucially, the literature is functionally biased toward applied agricultural contexts, with over one-third (35.1%) of documented interactions focused on pathogens rather than asymptomatic </w:t>
      </w:r>
      <w:r w:rsidR="004249C9">
        <w:t>associations</w:t>
      </w:r>
      <w:commentRangeStart w:id="2"/>
      <w:r w:rsidRPr="00F53620">
        <w:t>. Consequently, the current map of endophyte ecology reflects economic priorities rather than biological reality</w:t>
      </w:r>
      <w:commentRangeEnd w:id="2"/>
      <w:r w:rsidR="00B000A4" w:rsidRPr="00F53620">
        <w:rPr>
          <w:rStyle w:val="CommentReference"/>
          <w:sz w:val="24"/>
          <w:szCs w:val="24"/>
        </w:rPr>
        <w:commentReference w:id="2"/>
      </w:r>
      <w:r w:rsidRPr="00F53620">
        <w:t>. A data-driven priority roadmap of under-sampled regions and taxa is provided to guide more representative plant-fungal research.</w:t>
      </w:r>
    </w:p>
    <w:p w14:paraId="25561D1A" w14:textId="77777777" w:rsidR="009F4D6D" w:rsidRDefault="00F10295">
      <w:pPr>
        <w:pStyle w:val="Heading1"/>
      </w:pPr>
      <w:bookmarkStart w:id="3" w:name="introduction"/>
      <w:bookmarkEnd w:id="0"/>
      <w:r>
        <w:lastRenderedPageBreak/>
        <w:t>Introduction</w:t>
      </w:r>
    </w:p>
    <w:p w14:paraId="25561D1B" w14:textId="53A3813B" w:rsidR="009F4D6D" w:rsidRDefault="006658E2">
      <w:pPr>
        <w:pStyle w:val="FirstParagraph"/>
      </w:pPr>
      <w:r w:rsidRPr="006658E2">
        <w:t>Fungal endophytes, microorganisms that reside within plant tissues for at least a portion of their lifecycle without causing apparent disease, represent a critical component of terrestrial ecosystems</w:t>
      </w:r>
      <w:r>
        <w:t xml:space="preserve"> </w:t>
      </w:r>
      <w:r w:rsidR="008D49B8">
        <w:fldChar w:fldCharType="begin"/>
      </w:r>
      <w:r w:rsidR="00425F6B">
        <w:instrText xml:space="preserve"> ADDIN ZOTERO_ITEM CSL_CITATION {"citationID":"hYWwgJAD","properties":{"unsorted":false,"formattedCitation":"(Petrini, 1991; Wilson, 1995; Stone {\\i{}et al.}, 2000)","plainCitation":"(Petrini, 1991; Wilson, 1995; Stone et al., 2000)","noteIndex":0},"citationItems":[{"id":2318,"uris":["http://zotero.org/users/6275788/items/GGBH9GKU"],"itemData":{"id":2318,"type":"chapter","container-title":"Microbial Ecology of Leaves","DOI":"10.1007/978-1-4612-3168-4_9","ISBN":"978-1-4612-7822-1","language":"en","note":"collection-title: Brock/Springer Series in Contemporary Bioscience","page":"179-197","publisher":"Springer New York","publisher-place":"New York, NY","source":"DOI.org (Crossref)","title":"Fungal Endophytes of Tree Leaves","URL":"http://link.springer.com/10.1007/978-1-4612-3168-4_9","collection-editor":[{"family":"Brock","given":"Thomas D."}],"editor":[{"family":"Andrews","given":"John H."},{"family":"Hirano","given":"Susan S."}],"author":[{"family":"Petrini","given":"Orlando"}],"accessed":{"date-parts":[["2023",4,20]]},"issued":{"date-parts":[["1991"]]}}},{"id":2678,"uris":["http://zotero.org/users/6275788/items/FMS7PY2N"],"itemData":{"id":2678,"type":"chapter","container-title":"Microbial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W"},{"family":"White","given":"F"}],"issued":{"date-parts":[["2000"]]}}},{"id":3541,"uris":["http://zotero.org/users/6275788/items/Y6RGSDPC"],"itemData":{"id":3541,"type":"article-journal","abstract":"Fungi are frequently found within insect galls. However, the origin of these fungi, whether they are acting as pathogens, saprophytes invading already dead galls, or fungal inquilines which invade the gall but kill the gall maker by indirect means, is rarely investigated. A pathogenic role for these fungi is usually inferred but never tested. I chose the following leaf-galling-insect/host-plant pairs (1) a cynipid which forms two-chambered galls on the veins of Oregon white oak, (2) a cynipid which forms single-chambered galls on California coast live oak, and (3) an aphid which forms galls on narrowleaf cottonwood leaves. All pairs were reported to have fungi associated with dead insects inside the gall. These fungi were cultured and identified. For the two cynipids, all fungi found inside the galls were also present in the leaves as fungal endophytes. The cottonwood leaves examined did not harbor fungal endophytes. For the cynipid on Oregon white oak, the fungal endophyte grows from the leaf into the gall and infects all gall tissue but does not directly kill the gall maker. The insect dies as a result of the gall tissue dying from fungal infection. Therefore, the fungus acts as an inquiline. Approximately 12.5% of these galls die as a result of invasion by the fungal endophyte.","archive_location":"WOS:A1995RN78300017","container-title":"Oecologia","DOI":"10.1007/BF00329088","ISSN":"0029-8549","issue":"2","page":"255-260","title":"Fungal Endophytes Which Invade Insect Galls - Insect Pathogens, Benign Saprophytes, or Fungal Inquilines","volume":"103","author":[{"family":"Wilson","given":"D"}],"issued":{"date-parts":[["1995"]]}}}],"schema":"https://github.com/citation-style-language/schema/raw/master/csl-citation.json"} </w:instrText>
      </w:r>
      <w:r w:rsidR="008D49B8">
        <w:fldChar w:fldCharType="separate"/>
      </w:r>
      <w:r w:rsidR="00425F6B" w:rsidRPr="00425F6B">
        <w:rPr>
          <w:rFonts w:ascii="Aptos" w:hAnsi="Aptos" w:cs="Times New Roman"/>
        </w:rPr>
        <w:t xml:space="preserve">(Petrini, 1991; Wilson, 1995; Stone </w:t>
      </w:r>
      <w:r w:rsidR="00425F6B" w:rsidRPr="00425F6B">
        <w:rPr>
          <w:rFonts w:ascii="Aptos" w:hAnsi="Aptos" w:cs="Times New Roman"/>
          <w:i/>
          <w:iCs/>
        </w:rPr>
        <w:t>et al.</w:t>
      </w:r>
      <w:r w:rsidR="00425F6B" w:rsidRPr="00425F6B">
        <w:rPr>
          <w:rFonts w:ascii="Aptos" w:hAnsi="Aptos" w:cs="Times New Roman"/>
        </w:rPr>
        <w:t>, 2000)</w:t>
      </w:r>
      <w:r w:rsidR="008D49B8">
        <w:fldChar w:fldCharType="end"/>
      </w:r>
      <w:r>
        <w:t xml:space="preserve">. </w:t>
      </w:r>
      <w:r w:rsidR="00D9120C" w:rsidRPr="00D9120C">
        <w:t>Their ecological significance is increasingly recognized, from shaping plant community dynamics to producing a vast arsenal of secondary metabolites with significant potential for medicine and agriculture</w:t>
      </w:r>
      <w:r w:rsidR="00D270A4">
        <w:t xml:space="preserve"> </w:t>
      </w:r>
      <w:r w:rsidR="00D270A4">
        <w:fldChar w:fldCharType="begin"/>
      </w:r>
      <w:r w:rsidR="00425F6B">
        <w:instrText xml:space="preserve"> ADDIN ZOTERO_ITEM CSL_CITATION {"citationID":"KBnuNPBT","properties":{"unsorted":false,"formattedCitation":"(Strobel, 2003; Rodriguez {\\i{}et al.}, 2009; Kusari {\\i{}et al.}, 2012)","plainCitation":"(Strobel, 2003; Rodriguez et al., 2009; Kusari et al., 2012)","noteIndex":0},"citationItems":[{"id":45205,"uris":["http://zotero.org/users/6275788/items/5UYAJBDG"],"itemData":{"id":45205,"type":"article-journal","container-title":"Chemistry &amp; Biology","DOI":"10.1016/j.chembiol.2012.06.004","ISSN":"10745521","issue":"7","journalAbbreviation":"Chemistry &amp; Biology","language":"en","page":"792-798","source":"DOI.org (Crossref)","title":"Chemical Ecology of Endophytic Fungi: Origins of Secondary Metabolites","title-short":"Chemical Ecology of Endophytic Fungi","volume":"19","author":[{"family":"Kusari","given":"Souvik"},{"family":"Hertweck","given":"Christian"},{"family":"Spiteller","given":"Michael"}],"issued":{"date-parts":[["2012",7]]}}},{"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D270A4">
        <w:fldChar w:fldCharType="separate"/>
      </w:r>
      <w:r w:rsidR="00425F6B" w:rsidRPr="00425F6B">
        <w:rPr>
          <w:rFonts w:ascii="Aptos" w:hAnsi="Aptos" w:cs="Times New Roman"/>
        </w:rPr>
        <w:t xml:space="preserve">(Strobel, 2003; Rodriguez </w:t>
      </w:r>
      <w:r w:rsidR="00425F6B" w:rsidRPr="00425F6B">
        <w:rPr>
          <w:rFonts w:ascii="Aptos" w:hAnsi="Aptos" w:cs="Times New Roman"/>
          <w:i/>
          <w:iCs/>
        </w:rPr>
        <w:t>et al.</w:t>
      </w:r>
      <w:r w:rsidR="00425F6B" w:rsidRPr="00425F6B">
        <w:rPr>
          <w:rFonts w:ascii="Aptos" w:hAnsi="Aptos" w:cs="Times New Roman"/>
        </w:rPr>
        <w:t xml:space="preserve">, 2009; Kusari </w:t>
      </w:r>
      <w:r w:rsidR="00425F6B" w:rsidRPr="00425F6B">
        <w:rPr>
          <w:rFonts w:ascii="Aptos" w:hAnsi="Aptos" w:cs="Times New Roman"/>
          <w:i/>
          <w:iCs/>
        </w:rPr>
        <w:t>et al.</w:t>
      </w:r>
      <w:r w:rsidR="00425F6B" w:rsidRPr="00425F6B">
        <w:rPr>
          <w:rFonts w:ascii="Aptos" w:hAnsi="Aptos" w:cs="Times New Roman"/>
        </w:rPr>
        <w:t>, 2012)</w:t>
      </w:r>
      <w:r w:rsidR="00D270A4">
        <w:fldChar w:fldCharType="end"/>
      </w:r>
      <w:r>
        <w:t>. A foundational assumption often repeated in the literature is that these fungi are ubiquitous, inhabiting all plants in every biome on Earth</w:t>
      </w:r>
      <w:r w:rsidR="00431816">
        <w:t xml:space="preserve"> </w:t>
      </w:r>
      <w:r w:rsidR="00431816">
        <w:fldChar w:fldCharType="begin"/>
      </w:r>
      <w:r w:rsidR="00425F6B">
        <w:instrText xml:space="preserve"> ADDIN ZOTERO_ITEM CSL_CITATION {"citationID":"GhfTndk0","properties":{"unsorted":false,"formattedCitation":"(Stone {\\i{}et al.}, 2000; Strobel, 2003; Arnold &amp; Lutzoni, 2007; Rodriguez {\\i{}et al.}, 2009)","plainCitation":"(Stone et al., 2000; Strobel, 2003; Arnold &amp; Lutzoni, 2007; Rodriguez et al., 2009)","noteIndex":0},"citationItems":[{"id":4682,"uris":["http://zotero.org/users/6275788/items/3MFDT5LZ"],"itemData":{"id":4682,"type":"article-journal","abstract":"Fungal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38514,"uris":["http://zotero.org/users/6275788/items/GLVZWQTP"],"itemData":{"id":38514,"type":"article-journal","container-title":"New Phytologist","DOI":"10.1111/j.1469-8137.2009.02773.x","ISSN":"0028-646X, 1469-8137","issue":"2","journalAbbreviation":"New Phytologist","language":"en","note":"good review of endos. claims that all plants have endos","page":"314-330","source":"DOI.org (Crossref)","title":"Fungal endophytes: diversity and functional roles","title-short":"Fungal endophytes","volume":"182","author":[{"family":"Rodriguez","given":"R. J."},{"family":"White Jr","given":"J. F."},{"family":"Arnold","given":"A. E."},{"family":"Redman","given":"R. S."}],"issued":{"date-parts":[["2009",4]]}}},{"id":2678,"uris":["http://zotero.org/users/6275788/items/FMS7PY2N"],"itemData":{"id":2678,"type":"chapter","container-title":"Microbial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W"},{"family":"White","given":"F"}],"issued":{"date-parts":[["2000"]]}}},{"id":102,"uris":["http://zotero.org/users/6275788/items/7YUNNA6X"],"itemData":{"id":102,"type":"article-journal","abstract":"An increase in the number of people in the world having health problems caused by various cancers, drug-resistant bacteria, parasitic protozoans, and fungi is a cause for alarm. An intensive search for newer and more effective agents to deal with these disease problems is now under way and endophytes are a novel source of potentially useful medicinal compounds.","container-title":"Microbes and Infection","DOI":"10.1016/S1286-4579(03)00073-X","ISSN":"12864579","issue":"6","journalAbbreviation":"Microbes and Infection","language":"en","page":"535-544","source":"DOI.org (Crossref)","title":"Endophytes as sources of bioactive products","volume":"5","author":[{"family":"Strobel","given":"Gary A."}],"issued":{"date-parts":[["2003",5]]}}}],"schema":"https://github.com/citation-style-language/schema/raw/master/csl-citation.json"} </w:instrText>
      </w:r>
      <w:r w:rsidR="00431816">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Strobel, 2003; Arnold &amp; Lutzoni, 2007; Rodriguez </w:t>
      </w:r>
      <w:r w:rsidR="00425F6B" w:rsidRPr="00425F6B">
        <w:rPr>
          <w:rFonts w:ascii="Aptos" w:hAnsi="Aptos" w:cs="Times New Roman"/>
          <w:i/>
          <w:iCs/>
        </w:rPr>
        <w:t>et al.</w:t>
      </w:r>
      <w:r w:rsidR="00425F6B" w:rsidRPr="00425F6B">
        <w:rPr>
          <w:rFonts w:ascii="Aptos" w:hAnsi="Aptos" w:cs="Times New Roman"/>
        </w:rPr>
        <w:t>, 2009)</w:t>
      </w:r>
      <w:r w:rsidR="00431816">
        <w:fldChar w:fldCharType="end"/>
      </w:r>
      <w:r>
        <w:t xml:space="preserve">. </w:t>
      </w:r>
      <w:r w:rsidR="00E64EFA" w:rsidRPr="00E64EFA">
        <w:t xml:space="preserve">While this claim is appealing and </w:t>
      </w:r>
      <w:r w:rsidR="00B746AC">
        <w:t>consistent</w:t>
      </w:r>
      <w:r w:rsidR="00E64EFA" w:rsidRPr="00E64EFA">
        <w:t xml:space="preserve"> with the positive evidence gathered to date, it has been propagated without a rigorous, global-scale quantitative synthesis. Our semantic analysis of the literature captured over 550 assertions of endophyte ubiquity across the corpus. The widespread propagation of this claim</w:t>
      </w:r>
      <w:r w:rsidR="00E64EFA">
        <w:t xml:space="preserve"> </w:t>
      </w:r>
      <w:r w:rsidR="00E64EFA" w:rsidRPr="00E64EFA">
        <w:t>underscores the critical necessity of testing this baseline assumption against the actual geographic and taxonomic distribution of published research efforts.</w:t>
      </w:r>
      <w:r w:rsidR="007B18FC">
        <w:t xml:space="preserve"> </w:t>
      </w:r>
      <w:r w:rsidR="007B18FC" w:rsidRPr="007B18FC">
        <w:t xml:space="preserve">Crucially, this traditional definition of endophytism as a commensal state is </w:t>
      </w:r>
      <w:r w:rsidR="00C26D3D">
        <w:t>often</w:t>
      </w:r>
      <w:r w:rsidR="007B18FC" w:rsidRPr="007B18FC">
        <w:t xml:space="preserve"> complicated by the frequent overlap between endophytic, latent pathogenic, and mycorrhizal lifestyles in the primary literature</w:t>
      </w:r>
      <w:r w:rsidR="005533D4">
        <w:t>.</w:t>
      </w:r>
    </w:p>
    <w:p w14:paraId="25561D1C" w14:textId="6CFD9941" w:rsidR="009F4D6D" w:rsidRDefault="00F10295">
      <w:pPr>
        <w:pStyle w:val="BodyText"/>
      </w:pPr>
      <w:r>
        <w:t>The conclusions of any study are fundamentally constrained by the distribution of its sampling</w:t>
      </w:r>
      <w:r w:rsidR="00F57C36">
        <w:t xml:space="preserve"> </w:t>
      </w:r>
      <w:r w:rsidR="005F7AC2">
        <w:fldChar w:fldCharType="begin"/>
      </w:r>
      <w:r w:rsidR="00425F6B">
        <w:instrText xml:space="preserve"> ADDIN ZOTERO_ITEM CSL_CITATION {"citationID":"tpKNKAGa","properties":{"unsorted":false,"formattedCitation":"(Soberon &amp; Peterson, 2005; M\\uc0\\u246{}rsdorf {\\i{}et al.}, 2015)","plainCitation":"(Soberon &amp; Peterson, 2005; Mörsdorf et al., 2015)","noteIndex":0},"citationItems":[{"id":46548,"uris":["http://zotero.org/users/6275788/items/D8F4II89"],"itemData":{"id":46548,"type":"article-journal","abstract":"In ecology, expert knowledge on habitat characteristics is often used to define sampling units such as study sites. Ecologists are especially prone to such approaches when prior sampling frames are not accessible. Here we ask to what extent can different approaches to the definition of sampling units influence the conclusions that are drawn from an ecological study? We do this by comparing a formal versus a subjective definition of sampling units within a study design which is based on well-articulated objectives and proper methodology. Both approaches are applied to tundra plant communities in mesic and snowbed habitats. For the formal approach, sampling units were first defined for each habitat in concave terrain of suitable slope using GIS. In the field, these units were only accepted as the targeted habitats if additional criteria for vegetation cover were fulfilled. For the subjective approach, sampling units were defined visually in the field, based on typical plant communities of mesic and snowbed habitats. For each approach, we collected information about plant community characteristics within a total of 11 mesic and seven snowbed units distributed between two herding districts of contrasting reindeer density. Results from the two approaches differed significantly in several plant community characteristics in both mesic and snowbed habitats. Furthermore, differences between the two approaches were not consistent because their magnitude and direction differed both between the two habitats and the two reindeer herding districts. Consequently, we could draw different conclusions on how plant diversity and relative abundance of functional groups are differentiated between the two habitats depending on the approach used. We therefore challenge ecologists to formalize the expert knowledge applied to define sampling units through a set of well-articulated rules, rather than applying it subjectively. We see this as instrumental for progress in ecology as only rules based on expert knowledge are transparent and lead to results reproducible by other ecologists.","container-title":"PeerJ","DOI":"10.7717/peerj.815","ISSN":"2167-8359","language":"en","note":"The conclusions of ecological studies are significantly influenced by the definition of sampling units , with different approaches leading to different conclusions about plant community characteristics.","page":"e815","source":"DOI.org (Crossref)","title":"Definition of sampling units begets conclusions in ecology: the case of habitats for plant communities","title-short":"Definition of sampling units begets conclusions in ecology","volume":"3","author":[{"family":"Mörsdorf","given":"Martin A."},{"family":"Ravolainen","given":"Virve T."},{"family":"Støvern","given":"Leif Einar"},{"family":"Yoccoz","given":"Nigel G."},{"family":"Jónsdóttir","given":"Ingibjörg Svala"},{"family":"Bråthen","given":"Kari Anne"}],"issued":{"date-parts":[["2015",3,5]]}}},{"id":46550,"uris":["http://zotero.org/users/6275788/items/LQTXIHM3"],"itemData":{"id":46550,"type":"article-journal","abstract":"Estimation of the dimensions of fundamental ecological niches of species to predict their geographic distributions is increasingly being attempted in systematics, ecology, conservation, public health, etc. This technique is often (of necessity) based on data comprising records of presences only. In recent years, modeling approaches have been devised to estimate these interrelated expressions of a species’ ecology, distributional biology, and evolutionary history—nevertheless, a formal basis in ecological and evolutionary theory has largely been lacking. In this paper, we outline such a formal basis to clarify the use of techniques applied to the challenge of estimating ‘ecological niches;’ we analyze example situations that can be modeled using these techniques, and clarify interpretation of results.","container-title":"Biodiversity Informatics","DOI":"10.17161/bi.v2i0.4","ISSN":"15469735","issue":"0","journalAbbreviation":"Biodiv. Inf.","language":"en","note":"The conclusions of ecological studies are constrained by the distribution of sampling, particularly when using presence-only data for niche estimation.","source":"DOI.org (Crossref)","title":"Interpretation of Models of Fundamental Ecological Niches and Species’ Distributional Areas","URL":"https://journals.ku.edu/jbi/article/view/4","volume":"2","author":[{"family":"Soberon","given":"Jorge"},{"family":"Peterson","given":"A. Townsend"}],"accessed":{"date-parts":[["2026",5,19]]},"issued":{"date-parts":[["2005",1,13]]}}}],"schema":"https://github.com/citation-style-language/schema/raw/master/csl-citation.json"} </w:instrText>
      </w:r>
      <w:r w:rsidR="005F7AC2">
        <w:fldChar w:fldCharType="separate"/>
      </w:r>
      <w:r w:rsidR="00425F6B" w:rsidRPr="00425F6B">
        <w:rPr>
          <w:rFonts w:ascii="Aptos" w:hAnsi="Aptos" w:cs="Times New Roman"/>
        </w:rPr>
        <w:t xml:space="preserve">(Soberon &amp; Peterson, 2005; Mörsdorf </w:t>
      </w:r>
      <w:r w:rsidR="00425F6B" w:rsidRPr="00425F6B">
        <w:rPr>
          <w:rFonts w:ascii="Aptos" w:hAnsi="Aptos" w:cs="Times New Roman"/>
          <w:i/>
          <w:iCs/>
        </w:rPr>
        <w:t>et al.</w:t>
      </w:r>
      <w:r w:rsidR="00425F6B" w:rsidRPr="00425F6B">
        <w:rPr>
          <w:rFonts w:ascii="Aptos" w:hAnsi="Aptos" w:cs="Times New Roman"/>
        </w:rPr>
        <w:t>, 2015)</w:t>
      </w:r>
      <w:r w:rsidR="005F7AC2">
        <w:fldChar w:fldCharType="end"/>
      </w:r>
      <w:r>
        <w:t>. If the evidence base for an entire field is geographically or taxonomically skewed, our understanding of global patterns becomes unreliable</w:t>
      </w:r>
      <w:r w:rsidR="003B0DC2">
        <w:t xml:space="preserve"> </w:t>
      </w:r>
      <w:r w:rsidR="003B0DC2">
        <w:fldChar w:fldCharType="begin"/>
      </w:r>
      <w:r w:rsidR="00AB2456">
        <w:instrText xml:space="preserve"> ADDIN ZOTERO_ITEM CSL_CITATION {"citationID":"bm03Bzaa","properties":{"unsorted":false,"formattedCitation":"(Py\\uc0\\u353{}ek {\\i{}et al.}, 2008; Hughes {\\i{}et al.}, 2020; Christie {\\i{}et al.}, 2021)","plainCitation":"(Pyšek et al., 2008; Hughes et al., 2020; Christie et al., 2021)","noteIndex":0},"citationItems":[{"id":46555,"uris":["http://zotero.org/users/6275788/items/ULK95JQK"],"itemData":{"id":46555,"type":"article-journal","abstract":"Efforts to tackle the current biodiversity crisis need to be as efficient and effective as possible given chronic underfunding. To inform decision-makers of the most effective conservation actions, it is important to identify biases and gaps in the conservation literature to prioritize future evidence generation. We used the Conservation Evidence database to assess the state of the global literature that tests conservation actions for amphibians and birds. For the studies in the database, we investigated their spatial and taxonomic extent and distribution across biomes, effectiveness metrics, and study designs. Studies were heavily concentrated in Western Europe and North America for birds and particularly for amphibians, and temperate forest and grassland biomes were highly represented relative to their percentage of land coverage. Studies that used the most reliable study designs—before-after control-impact and randomized controlled trials—were the most geographically restricted and scarce in the evidence base. There were negative spatial relationships between the numbers of studies and the numbers of threatened and data-deficient species worldwide. Taxonomic biases and gaps were apparent for amphibians and birds—some entire orders were absent from the evidence base—whereas others were poorly represented relative to the proportion of threatened species they contained. Metrics used to evaluate effectiveness of conservation actions were often inconsistent between studies, potentially making them less directly comparable and evidence synthesis more difficult. Testing conservation actions on threatened species outside Western Europe, North America, and Australasia should be prioritized. Standardizing metrics and improving the rigor of study designs used to test conservation actions would also improve the quality of the evidence base for synthesis and decision-making.","container-title":"Conservation Biology","DOI":"10.1111/cobi.13577","ISSN":"0888-8892, 1523-1739","issue":"1","journalAbbreviation":"Conservation Biology","language":"en","note":"The evidence base for conservation actions is geographically and taxonomically skewed, with a concentration in Western Europe and North America, and certain biomes and taxonomic groups being over- or under-represented, leading to unreliable global patterns.","page":"249-262","source":"DOI.org (Crossref)","title":"The challenge of biased evidence in conservation","volume":"35","author":[{"family":"Christie","given":"Alec P."},{"family":"Amano","given":"Tatsuya"},{"family":"Martin","given":"Philip A."},{"family":"Petrovan","given":"Silviu O."},{"family":"Shackelford","given":"Gorm E."},{"family":"Simmons","given":"Benno I."},{"family":"Smith","given":"Rebecca K."},{"family":"Williams","given":"David R."},{"family":"Wordley","given":"Claire F. R."},{"family":"Sutherland","given":"William J."}],"issued":{"date-parts":[["2021",2]]}}},{"id":46553,"uris":["http://zotero.org/users/6275788/items/SFTGEKTZ"],"itemData":{"id":46553,"type":"article","abstract":"Spatial patterns of biodiversity are inextricably linked to their collection methods, yet no synthesis of these patterns or their consequences exists. As such, our view of ecosystems may be incorrect, undermining countless ecological and evolutionary studies. Using 742 million records of 374,900 species, we explore the global patterns and impacts of accessibility in terrestrial and marine Systems. Pervasive sampling and observation biases exist across animals, with only 6.74% of the globe sampled, and disproportionately poor tropical sampling. High-elevations and deep-seas are comparably unknown. Over 50% of records in most groups account for under 2% of species. Citizen-science exacerbates biases, and normalizing the practice of valuing data publication is essential to bridge this gap and better represent species distributions from more distant and inaccessible areas, and provide the necessary basis for conservation and management.","DOI":"10.22541/au.159419540.02222358","language":"en","note":"Sampling biases in biodiversity data lead to unreliable global patterns due to limited geographic coverage and taxonomic representation , as shown by analysis of 742 million records","source":"DOI.org (Crossref)","title":"Sampling biases shape our view of the natural world","URL":"https://www.authorea.com/doi/full/10.22541/au.159419540.02222358","author":[{"family":"Hughes","given":"Alice"},{"family":"Orr","given":"Michael"},{"family":"Ma","given":"Keping"},{"family":"Costello","given":"Mark"},{"family":"Waller","given":"John"},{"family":"Provoost","given":"Pieter"},{"family":"Zhu","given":"Chaodong"},{"family":"Qiao","given":"Huije"}],"accessed":{"date-parts":[["2026",5,19]]},"issued":{"date-parts":[["2020",7,8]]}}},{"id":46551,"uris":["http://zotero.org/users/6275788/items/MJJTCQYY"],"itemData":{"id":46551,"type":"article-journal","container-title":"Trends in Ecology &amp; Evolution","DOI":"10.1016/j.tree.2008.02.002","ISSN":"01695347","issue":"5","journalAbbreviation":"Trends in Ecology &amp; Evolution","language":"en","note":"Geographical and taxonomic biases in invasion ecology hinder reliable understanding of global invasion patterns , as shown by analysis of 2,670 papers on 892 species , highlighting the need for more balanced research.","page":"237-244","source":"DOI.org (Crossref)","title":"Geographical and taxonomic biases in invasion ecology","volume":"23","author":[{"family":"Pyšek","given":"Petr"},{"family":"Richardson","given":"David M."},{"family":"Pergl","given":"Jan"},{"family":"Jarošík","given":"Vojtěch"},{"family":"Sixtová","given":"Zuzana"},{"family":"Weber","given":"Ewald"}],"issued":{"date-parts":[["2008",5]]}}}],"schema":"https://github.com/citation-style-language/schema/raw/master/csl-citation.json"} </w:instrText>
      </w:r>
      <w:r w:rsidR="003B0DC2">
        <w:fldChar w:fldCharType="separate"/>
      </w:r>
      <w:r w:rsidR="00425F6B" w:rsidRPr="00425F6B">
        <w:rPr>
          <w:rFonts w:ascii="Aptos" w:hAnsi="Aptos" w:cs="Times New Roman"/>
        </w:rPr>
        <w:t xml:space="preserve">(Pyšek </w:t>
      </w:r>
      <w:r w:rsidR="00425F6B" w:rsidRPr="00425F6B">
        <w:rPr>
          <w:rFonts w:ascii="Aptos" w:hAnsi="Aptos" w:cs="Times New Roman"/>
          <w:i/>
          <w:iCs/>
        </w:rPr>
        <w:t>et al.</w:t>
      </w:r>
      <w:r w:rsidR="00425F6B" w:rsidRPr="00425F6B">
        <w:rPr>
          <w:rFonts w:ascii="Aptos" w:hAnsi="Aptos" w:cs="Times New Roman"/>
        </w:rPr>
        <w:t xml:space="preserve">, 2008; Hughes </w:t>
      </w:r>
      <w:r w:rsidR="00425F6B" w:rsidRPr="00425F6B">
        <w:rPr>
          <w:rFonts w:ascii="Aptos" w:hAnsi="Aptos" w:cs="Times New Roman"/>
          <w:i/>
          <w:iCs/>
        </w:rPr>
        <w:t>et al.</w:t>
      </w:r>
      <w:r w:rsidR="00425F6B" w:rsidRPr="00425F6B">
        <w:rPr>
          <w:rFonts w:ascii="Aptos" w:hAnsi="Aptos" w:cs="Times New Roman"/>
        </w:rPr>
        <w:t xml:space="preserve">, 2020; Christie </w:t>
      </w:r>
      <w:r w:rsidR="00425F6B" w:rsidRPr="00425F6B">
        <w:rPr>
          <w:rFonts w:ascii="Aptos" w:hAnsi="Aptos" w:cs="Times New Roman"/>
          <w:i/>
          <w:iCs/>
        </w:rPr>
        <w:t>et al.</w:t>
      </w:r>
      <w:r w:rsidR="00425F6B" w:rsidRPr="00425F6B">
        <w:rPr>
          <w:rFonts w:ascii="Aptos" w:hAnsi="Aptos" w:cs="Times New Roman"/>
        </w:rPr>
        <w:t>, 2021)</w:t>
      </w:r>
      <w:r w:rsidR="003B0DC2">
        <w:fldChar w:fldCharType="end"/>
      </w:r>
      <w:r>
        <w:t>. Ecological generalizations about endophyte diversity, host specificity, and biome-level adaptation are vulnerable to such sampling bias</w:t>
      </w:r>
      <w:r w:rsidR="00A06509">
        <w:t xml:space="preserve"> </w:t>
      </w:r>
      <w:r w:rsidR="00A06509">
        <w:fldChar w:fldCharType="begin"/>
      </w:r>
      <w:r w:rsidR="00425F6B">
        <w:instrText xml:space="preserve"> ADDIN ZOTERO_ITEM CSL_CITATION {"citationID":"I5CF3Cjf","properties":{"unsorted":false,"formattedCitation":"(Arnold &amp; Lutzoni, 2007; Davis &amp; Shaw, 2008; U\\uc0\\u8217{}Ren {\\i{}et al.}, 2012)","plainCitation":"(Arnold &amp; Lutzoni, 2007; Davis &amp; Shaw, 2008; U’Ren et al., 2012)","noteIndex":0},"citationItems":[{"id":4682,"uris":["http://zotero.org/users/6275788/items/3MFDT5LZ"],"itemData":{"id":4682,"type":"article-journal","abstract":"Fungal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46557,"uris":["http://zotero.org/users/6275788/items/WX7YCQLP"],"itemData":{"id":46557,"type":"article-journal","abstract":"Liverworts harbor diverse fungi, including endophytes, in their healthy tissues. To address whether patterns of endophyte diversity are correlated with host phylogeny or geography, we designed a broad geographic survey with controlled phylogenetic host sampling. We collected liverworts in North Carolina, Washington, Idaho, British Columbia, Germany, and New Zealand and identified endophytes using culture</w:instrText>
      </w:r>
      <w:r w:rsidR="00425F6B">
        <w:rPr>
          <w:rFonts w:ascii="Cambria Math" w:hAnsi="Cambria Math" w:cs="Cambria Math"/>
        </w:rPr>
        <w:instrText>‐</w:instrText>
      </w:r>
      <w:r w:rsidR="00425F6B">
        <w:instrText>based and molecular methods. Of the major lineages of filamentous ascomycetes recovered, 53</w:instrText>
      </w:r>
      <w:r w:rsidR="00425F6B">
        <w:rPr>
          <w:rFonts w:ascii="Aptos" w:hAnsi="Aptos" w:cs="Aptos"/>
        </w:rPr>
        <w:instrText>–</w:instrText>
      </w:r>
      <w:r w:rsidR="00425F6B">
        <w:instrText>88% belonged to the Xylariales. Endophyte accumulation curves did not saturate, and singleton sequences were dominant in each region, suggesting that liverwort endophyte communities are diverse. There was no significant difference in species richness between regional endophyte communities; however, total richness estimators indicated that North Carolina and New Zealand have richer communities than do Germany and the Pacific Northwest. This pattern reflects lower per</w:instrText>
      </w:r>
      <w:r w:rsidR="00425F6B">
        <w:rPr>
          <w:rFonts w:ascii="Cambria Math" w:hAnsi="Cambria Math" w:cs="Cambria Math"/>
        </w:rPr>
        <w:instrText>‐</w:instrText>
      </w:r>
      <w:r w:rsidR="00425F6B">
        <w:instrText>host endophyte density and prevalence of a common, shared sequence group in Germany and the Pacific Northwest. Although species richness was relatively low in the Pacific Northwest, the greatest phylogenetic diversity of endophytes was recovered there. Tests for regional and host specificity revealed that endophyte floras of hosts within a geographic area are more similar to one another than to those of closely related hosts. Geographic distance, not host phylogeny, best explains differences among communities.","container-title":"American Journal of Botany","DOI":"10.3732/ajb.2006463","ISSN":"0002-9122, 1537-2197","issue":"8","journalAbbreviation":"American J of Botany","language":"en","license":"http://onlinelibrary.wiley.com/termsAndConditions#vor","note":"Geographic distance, not host phylogeny, best explains differences among endophyte communities , indicating vulnerability to geographic sampling bias in ecological generalizations about endophyte diversity and host specificity.","page":"914-924","source":"DOI.org (Crossref)","title":"Biogeographic and phylogenetic patterns in diversity of liverwort</w:instrText>
      </w:r>
      <w:r w:rsidR="00425F6B">
        <w:rPr>
          <w:rFonts w:ascii="Cambria Math" w:hAnsi="Cambria Math" w:cs="Cambria Math"/>
        </w:rPr>
        <w:instrText>‐</w:instrText>
      </w:r>
      <w:r w:rsidR="00425F6B">
        <w:instrText xml:space="preserve">associated endophytes","volume":"95","author":[{"family":"Davis","given":"E. Christine"},{"family":"Shaw","given":"A. Jonathan"}],"issued":{"date-parts":[["2008",8]]}}},{"id":212,"uris":["http://zotero.org/users/6275788/items/I2JJR8S4"],"itemData":{"id":212,"type":"article-journal","container-title":"American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A06509">
        <w:fldChar w:fldCharType="separate"/>
      </w:r>
      <w:r w:rsidR="00425F6B" w:rsidRPr="00425F6B">
        <w:rPr>
          <w:rFonts w:ascii="Aptos" w:hAnsi="Aptos" w:cs="Times New Roman"/>
        </w:rPr>
        <w:t xml:space="preserve">(Arnold &amp; Lutzoni, 2007; Davis &amp; Shaw, 2008; U’Ren </w:t>
      </w:r>
      <w:r w:rsidR="00425F6B" w:rsidRPr="00425F6B">
        <w:rPr>
          <w:rFonts w:ascii="Aptos" w:hAnsi="Aptos" w:cs="Times New Roman"/>
          <w:i/>
          <w:iCs/>
        </w:rPr>
        <w:t>et al.</w:t>
      </w:r>
      <w:r w:rsidR="00425F6B" w:rsidRPr="00425F6B">
        <w:rPr>
          <w:rFonts w:ascii="Aptos" w:hAnsi="Aptos" w:cs="Times New Roman"/>
        </w:rPr>
        <w:t>, 2012)</w:t>
      </w:r>
      <w:r w:rsidR="00A06509">
        <w:fldChar w:fldCharType="end"/>
      </w:r>
      <w:r>
        <w:t xml:space="preserve">. Prior syntheses have provided valuable, </w:t>
      </w:r>
      <w:r w:rsidR="00347A73">
        <w:t>yet</w:t>
      </w:r>
      <w:r>
        <w:t xml:space="preserve"> spatially or taxonomically limited, snapshots of endophyte distribution </w:t>
      </w:r>
      <w:r w:rsidR="00DE0585">
        <w:fldChar w:fldCharType="begin"/>
      </w:r>
      <w:r w:rsidR="00425F6B">
        <w:instrText xml:space="preserve"> ADDIN ZOTERO_ITEM CSL_CITATION {"citationID":"ll3K6C3h","properties":{"unsorted":false,"formattedCitation":"(Stone {\\i{}et al.}, 2000; Schulz &amp; Boyle, 2005; Arnold &amp; Lutzoni, 2007; U\\uc0\\u8217{}Ren {\\i{}et al.}, 2012; Harrison &amp; Griffin, 2020; Cosner {\\i{}et al.}, 2025)","plainCitation":"(Stone et al., 2000; Schulz &amp; Boyle, 2005; Arnold &amp; Lutzoni, 2007; U’Ren et al., 2012; Harrison &amp; Griffin, 2020; Cosner et al., 2025)","noteIndex":0},"citationItems":[{"id":4682,"uris":["http://zotero.org/users/6275788/items/3MFDT5LZ"],"itemData":{"id":4682,"type":"article-journal","abstract":"Fungal endophytes are found in asymptomatic photosynthetic tissues of all major lineages of land plants. The ubiquity of these cryptic symbionts is clear, but the scale of their diversity, host range, and geographic distributions are unknown. To explore the putative hyperdiversity of tropical leaf endophytes, we compared endophyte communities along a broad latitudinal gradient from the Canadian arctic to the lowland tropical forest of central Panama. Here, we use molecular sequence data from 1403 endophyte strains to show that endophytes increase in incidence, diversity, and host breadth from arctic to tropical sites. Endophyte communities from higher latitudes are characterized by relatively few species from many different classes of Ascomycota, whereas tropical endophyte assemblages are dominated by a small number of classes with a very large number of endophytic species. The most easily cultivated endophytes from tropical plants have wide host ranges, but communities are dominated by a large number of rare species whose host range is unclear. Even when only the most easily cultured species are considered, leaves of tropical trees represent hotspots of fungal species diversity, containing numerous species not yet recovered from other biomes. The challenge remains to recover and identify those elusive and rarely cultured taxa with narrower host ranges, and to elucidate the ecological roles of these little-known symbionts in tropical forests.","archive_location":"WOS:000245668500002","container-title":"Ecology","DOI":"10.1890/05-1459","ISSN":"0012-9658","issue":"3","note":"Endophyte diversity and host range vary significantly across latitudes, with tropical leaves being biodiversity hotspots ; however, understanding is limited by challenges in recovering rare species, indicating potential taxonomic and geographic sampling biases . Evidence is based on molecular sequence data from 1403 endophyte strain","page":"541-549","title":"Diversity and host range of foliar fungal endophytes: Are tropical leaves biodiversity hotspots?","volume":"88","author":[{"family":"Arnold","given":"AE"},{"family":"Lutzoni","given":"F"}],"issued":{"date-parts":[["2007",3]]}}},{"id":45197,"uris":["http://zotero.org/users/6275788/items/YBQYRHRS"],"itemData":{"id":45197,"type":"article-journal","container-title":"Current Biology","DOI":"10.1016/j.cub.2025.08.058","ISSN":"09609822","issue":"19","journalAbbreviation":"Current Biology","language":"en","note":"has some interesting thoughts about trophic flexibility (is it evolutionarily stable)","page":"R904-R910","source":"DOI.org (Crossref)","title":"Fungal endophytes","volume":"35","author":[{"family":"Cosner","given":"Julian"},{"family":"Pandharikar","given":"Gaurav"},{"family":"Tremble","given":"Keaton"},{"family":"Nash","given":"Jake"},{"family":"Rush","given":"Tomás A."},{"family":"Vilgalys","given":"Rytas"},{"family":"Veneault-Fourrey","given":"Claire"}],"issued":{"date-parts":[["2025",10]]}}},{"id":46559,"uris":["http://zotero.org/users/6275788/items/6DBN9HMH"],"itemData":{"id":46559,"type":"article-journal","abstract":"The interiors of plants are colonized by diverse microorganisms that are referred to as endophytes. Endophytes have received much attention over the past few decades, yet many questions remain unanswered regarding patterns in their biodiversity at local to global scales. To characterize research effort to date, we synthesized results from ~600 published studies. Our survey revealed a global research interest and highlighted several gaps in knowledge. For instance, of the 17 biomes encompassed by our survey, 7 were understudied and together composed only 7% of the studies that we considered. We found that fungal endophyte diversity has been characterized in at least one host from 30% of embryophyte families, while bacterial endophytes have been surveyed in hosts from only 10.5% of families. We complimented our survey with a vote counting procedure to determine endophyte richness patterns among plant tissue types. We found that variation in endophyte assemblages in above-ground tissues varied with host growth habit. Stems were the richest tissue in woody plants, whereas roots were the richest tissue in graminoids. For forbs, we found no consistent differences in relative tissue richness among studies. We propose future directions to ﬁll the gaps in knowledge we uncovered and inspire further research.","container-title":"Environmental Microbiology","DOI":"10.1111/1462-2920.14968","ISSN":"1462-2912, 1462-2920","issue":"6","journalAbbreviation":"Environmental Microbiology","language":"en","note":"Endophyte biodiversity research has significant gaps across biomes and plant families, with only 30% of embryophyte families surveyed for fungal endophytes and 10.5% for bacterial endophytes, based on a synthesis of ~600 studies.","page":"2107-2123","source":"DOI.org (Crossref)","title":"The diversity and distribution of endophytes across biomes, plant phylogeny and host tissues: how far have we come and where do we go from here?","title-short":"The diversity and distribution of endophytes across biomes, plant phylogeny and host tissues","volume":"22","author":[{"family":"Harrison","given":"Joshua G."},{"family":"Griffin","given":"Eric A."}],"issued":{"date-parts":[["2020",6]]}}},{"id":2589,"uris":["http://zotero.org/users/6275788/items/VHUJWCPQ"],"itemData":{"id":2589,"type":"article-journal","container-title":"Mycological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2678,"uris":["http://zotero.org/users/6275788/items/FMS7PY2N"],"itemData":{"id":2678,"type":"chapter","container-title":"Microbial Endophytes","edition":"1","ISBN":"978-0-429-17933-4","language":"en","note":"good definitions of endophytes","page":"1-28","publisher":"CRC Press","source":"Zotero","title":"An Overview of Endophytic Microbes: Endophytism Defined","author":[{"family":"Stone","given":"Jeffrey K"},{"family":"Bacon","given":"Charles W"},{"family":"White","given":"F"}],"issued":{"date-parts":[["2000"]]}}},{"id":212,"uris":["http://zotero.org/users/6275788/items/I2JJR8S4"],"itemData":{"id":212,"type":"article-journal","container-title":"American Journal of Botany","DOI":"10.3732/ajb.1100459","ISSN":"0002-9122, 1537-2197","issue":"5","journalAbbreviation":"American Journal of Botany","language":"en","note":"Endophytic and endolichenic fungal diversity and host specificity are influenced by climate factors more than geographic distance , with differences in taxonomic levels indicating potential for taxonomic and geographic sampling bias ; study based on molecular data from 4154 samples across five North American sites","page":"898-914","source":"DOI.org (Crossref)","title":"Host and geographic structure of endophytic and endolichenic fungi at a continental scale","volume":"99","author":[{"family":"U'Ren","given":"Jana M."},{"family":"Lutzoni","given":"François"},{"family":"Miadlikowska","given":"Jolanta"},{"family":"Laetsch","given":"Alexander D."},{"family":"Arnold","given":"A. Elizabeth"}],"issued":{"date-parts":[["2012",5]]}}}],"schema":"https://github.com/citation-style-language/schema/raw/master/csl-citation.json"} </w:instrText>
      </w:r>
      <w:r w:rsidR="00DE0585">
        <w:fldChar w:fldCharType="separate"/>
      </w:r>
      <w:r w:rsidR="00425F6B" w:rsidRPr="00425F6B">
        <w:rPr>
          <w:rFonts w:ascii="Aptos" w:hAnsi="Aptos" w:cs="Times New Roman"/>
        </w:rPr>
        <w:t xml:space="preserve">(Stone </w:t>
      </w:r>
      <w:r w:rsidR="00425F6B" w:rsidRPr="00425F6B">
        <w:rPr>
          <w:rFonts w:ascii="Aptos" w:hAnsi="Aptos" w:cs="Times New Roman"/>
          <w:i/>
          <w:iCs/>
        </w:rPr>
        <w:t>et al.</w:t>
      </w:r>
      <w:r w:rsidR="00425F6B" w:rsidRPr="00425F6B">
        <w:rPr>
          <w:rFonts w:ascii="Aptos" w:hAnsi="Aptos" w:cs="Times New Roman"/>
        </w:rPr>
        <w:t xml:space="preserve">, 2000; Schulz &amp; Boyle, 2005; Arnold &amp; Lutzoni, 2007; U’Ren </w:t>
      </w:r>
      <w:r w:rsidR="00425F6B" w:rsidRPr="00425F6B">
        <w:rPr>
          <w:rFonts w:ascii="Aptos" w:hAnsi="Aptos" w:cs="Times New Roman"/>
          <w:i/>
          <w:iCs/>
        </w:rPr>
        <w:t>et al.</w:t>
      </w:r>
      <w:r w:rsidR="00425F6B" w:rsidRPr="00425F6B">
        <w:rPr>
          <w:rFonts w:ascii="Aptos" w:hAnsi="Aptos" w:cs="Times New Roman"/>
        </w:rPr>
        <w:t xml:space="preserve">, 2012; Harrison &amp; Griffin, 2020; Cosner </w:t>
      </w:r>
      <w:r w:rsidR="00425F6B" w:rsidRPr="00425F6B">
        <w:rPr>
          <w:rFonts w:ascii="Aptos" w:hAnsi="Aptos" w:cs="Times New Roman"/>
          <w:i/>
          <w:iCs/>
        </w:rPr>
        <w:t>et al.</w:t>
      </w:r>
      <w:r w:rsidR="00425F6B" w:rsidRPr="00425F6B">
        <w:rPr>
          <w:rFonts w:ascii="Aptos" w:hAnsi="Aptos" w:cs="Times New Roman"/>
        </w:rPr>
        <w:t>, 2025)</w:t>
      </w:r>
      <w:r w:rsidR="00DE0585">
        <w:fldChar w:fldCharType="end"/>
      </w:r>
      <w:r>
        <w:t xml:space="preserve">. However, a comprehensive global analysis that integrates geographic, </w:t>
      </w:r>
      <w:r w:rsidR="00C110C3">
        <w:t>taxonomic</w:t>
      </w:r>
      <w:r>
        <w:t xml:space="preserve">, and economic factors has been missing. This gap is particularly critical because </w:t>
      </w:r>
      <w:r w:rsidR="002B2905">
        <w:t xml:space="preserve">we find that </w:t>
      </w:r>
      <w:r>
        <w:t xml:space="preserve">over 80% of the primary literature on </w:t>
      </w:r>
      <w:r w:rsidR="0027524D">
        <w:t xml:space="preserve">fungal </w:t>
      </w:r>
      <w:r>
        <w:t xml:space="preserve">endophytes remains behind paywalls, making large-scale synthesis </w:t>
      </w:r>
      <w:r w:rsidR="002B2905">
        <w:t xml:space="preserve">largely </w:t>
      </w:r>
      <w:r>
        <w:t>dependent on abstract-level data mining</w:t>
      </w:r>
      <w:r w:rsidR="001B5728">
        <w:t xml:space="preserve"> </w:t>
      </w:r>
      <w:r w:rsidR="001B5728">
        <w:fldChar w:fldCharType="begin"/>
      </w:r>
      <w:r w:rsidR="00AB2456">
        <w:instrText xml:space="preserve"> ADDIN ZOTERO_ITEM CSL_CITATION {"citationID":"ZgmYHbLy","properties":{"unsorted":false,"formattedCitation":"(Orlando {\\i{}et al.}, 2018)","plainCitation":"(Orlando et al., 2018)","noteIndex":0},"citationItems":[{"id":46561,"uris":["http://zotero.org/users/6275788/items/P2LULE2Y"],"itemData":{"id":46561,"type":"article-journal","abstract":"Reading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1B5728">
        <w:fldChar w:fldCharType="separate"/>
      </w:r>
      <w:r w:rsidR="00425F6B" w:rsidRPr="00425F6B">
        <w:rPr>
          <w:rFonts w:ascii="Aptos" w:hAnsi="Aptos" w:cs="Times New Roman"/>
        </w:rPr>
        <w:t xml:space="preserve">(Orlando </w:t>
      </w:r>
      <w:r w:rsidR="00425F6B" w:rsidRPr="00425F6B">
        <w:rPr>
          <w:rFonts w:ascii="Aptos" w:hAnsi="Aptos" w:cs="Times New Roman"/>
          <w:i/>
          <w:iCs/>
        </w:rPr>
        <w:t>et al.</w:t>
      </w:r>
      <w:r w:rsidR="00425F6B" w:rsidRPr="00425F6B">
        <w:rPr>
          <w:rFonts w:ascii="Aptos" w:hAnsi="Aptos" w:cs="Times New Roman"/>
        </w:rPr>
        <w:t>, 2018)</w:t>
      </w:r>
      <w:r w:rsidR="001B5728">
        <w:fldChar w:fldCharType="end"/>
      </w:r>
      <w:r>
        <w:t xml:space="preserve">. </w:t>
      </w:r>
      <w:r w:rsidR="00AA633E" w:rsidRPr="00AA633E">
        <w:t>Because the abstract record is a biased sample of the literature, a well-studied region or host group is more likely to appear repeatedly there; by the same logic, absence from abstracts is suggestive of limited attention, but not proof of ecological absence</w:t>
      </w:r>
      <w:r w:rsidR="00AA633E">
        <w:t>.</w:t>
      </w:r>
    </w:p>
    <w:p w14:paraId="25561D1D" w14:textId="07123C38" w:rsidR="009F4D6D" w:rsidRDefault="00F10295">
      <w:pPr>
        <w:pStyle w:val="BodyText"/>
      </w:pPr>
      <w:r>
        <w:t>This study provides the first integrated, global-scale audit of the fungal endophyte literature, directly evaluating the evidence for the ubiquity claim. We systematically quantify the distribution of research effort to map where ecological inferences are robust and where they are</w:t>
      </w:r>
      <w:r w:rsidR="00B412B3">
        <w:t xml:space="preserve"> more</w:t>
      </w:r>
      <w:r>
        <w:t xml:space="preserve"> speculative. Our objectives are to: (1) map the geographic concentration of endophyte studies; (2) assess the distribution of sampling effort across biomes and host plant lineages; (3) determine the relationship between research intensity </w:t>
      </w:r>
      <w:r>
        <w:lastRenderedPageBreak/>
        <w:t>and national economic capacity (GDP); and (4) produce an actionable roadmap of understudied regions and taxa to guide future research.</w:t>
      </w:r>
    </w:p>
    <w:p w14:paraId="183F0F1C" w14:textId="77777777" w:rsidR="004E16A9" w:rsidRDefault="00F10295">
      <w:pPr>
        <w:pStyle w:val="BodyText"/>
      </w:pPr>
      <w:r>
        <w:t xml:space="preserve">Based on these objectives, we predict that: </w:t>
      </w:r>
    </w:p>
    <w:p w14:paraId="6E2BAE1B" w14:textId="0F16B794" w:rsidR="004E16A9" w:rsidRDefault="00F10295" w:rsidP="004E16A9">
      <w:pPr>
        <w:pStyle w:val="BodyText"/>
        <w:numPr>
          <w:ilvl w:val="0"/>
          <w:numId w:val="3"/>
        </w:numPr>
      </w:pPr>
      <w:commentRangeStart w:id="4"/>
      <w:r>
        <w:t xml:space="preserve"> (Prediction U) The current</w:t>
      </w:r>
      <w:commentRangeEnd w:id="4"/>
      <w:r w:rsidR="00D20A1B">
        <w:rPr>
          <w:rStyle w:val="CommentReference"/>
          <w:sz w:val="24"/>
          <w:szCs w:val="24"/>
        </w:rPr>
        <w:commentReference w:id="4"/>
      </w:r>
      <w:r>
        <w:t xml:space="preserve">, globally aggregated evidence base is insufficient to support an unqualified claim of endophyte ubiquity. </w:t>
      </w:r>
    </w:p>
    <w:p w14:paraId="5C9D271B" w14:textId="1ED08E5E" w:rsidR="004E16A9" w:rsidRDefault="00F10295" w:rsidP="004E16A9">
      <w:pPr>
        <w:pStyle w:val="BodyText"/>
        <w:numPr>
          <w:ilvl w:val="0"/>
          <w:numId w:val="3"/>
        </w:numPr>
      </w:pPr>
      <w:r>
        <w:t xml:space="preserve">(Prediction A) Research effort is highly clustered geographically, with significant gaps in major regions of the world. </w:t>
      </w:r>
    </w:p>
    <w:p w14:paraId="08688151" w14:textId="715799F3" w:rsidR="004E16A9" w:rsidRDefault="00F10295" w:rsidP="004E16A9">
      <w:pPr>
        <w:pStyle w:val="BodyText"/>
        <w:numPr>
          <w:ilvl w:val="0"/>
          <w:numId w:val="3"/>
        </w:numPr>
      </w:pPr>
      <w:r>
        <w:t xml:space="preserve">(Prediction B) Sampling is non-randomly distributed across biomes and host lineages, favoring certain well-studied groups. </w:t>
      </w:r>
    </w:p>
    <w:p w14:paraId="25561D1E" w14:textId="19CA7EA0" w:rsidR="009F4D6D" w:rsidRDefault="00F10295" w:rsidP="004E16A9">
      <w:pPr>
        <w:pStyle w:val="BodyText"/>
        <w:numPr>
          <w:ilvl w:val="0"/>
          <w:numId w:val="3"/>
        </w:numPr>
      </w:pPr>
      <w:r>
        <w:t>(Prediction C) The intensity of endophyte research is positively correlated with a country’s GDP, reflecting economic rather than purely biological drivers of sampling.</w:t>
      </w:r>
    </w:p>
    <w:p w14:paraId="25561D1F" w14:textId="6A8795F1" w:rsidR="009F4D6D" w:rsidRDefault="00F10295">
      <w:pPr>
        <w:pStyle w:val="BodyText"/>
      </w:pPr>
      <w:r>
        <w:t xml:space="preserve">By testing these predictions, we aim to reframe the conversation from asking </w:t>
      </w:r>
      <w:r>
        <w:rPr>
          <w:i/>
          <w:iCs/>
        </w:rPr>
        <w:t>if</w:t>
      </w:r>
      <w:r>
        <w:t xml:space="preserve"> </w:t>
      </w:r>
      <w:r w:rsidR="00CC32F0">
        <w:t xml:space="preserve">fungal </w:t>
      </w:r>
      <w:r>
        <w:t xml:space="preserve">endophytes are ubiquitous to asking </w:t>
      </w:r>
      <w:r>
        <w:rPr>
          <w:i/>
          <w:iCs/>
        </w:rPr>
        <w:t>where</w:t>
      </w:r>
      <w:r>
        <w:t xml:space="preserve"> we have sufficient evidence to test ecological and evolutionary hypotheses, thereby providing a data-driven foundation for the next generation of global endophyte research.</w:t>
      </w:r>
    </w:p>
    <w:p w14:paraId="25561D20" w14:textId="33F03324" w:rsidR="009F4D6D" w:rsidRDefault="003C283D">
      <w:pPr>
        <w:pStyle w:val="Heading2"/>
      </w:pPr>
      <w:bookmarkStart w:id="5" w:name="methods"/>
      <w:r w:rsidRPr="003C283D">
        <w:t>Materials and Methods</w:t>
      </w:r>
    </w:p>
    <w:p w14:paraId="25561D22" w14:textId="77777777" w:rsidR="009F4D6D" w:rsidRDefault="00F10295">
      <w:pPr>
        <w:pStyle w:val="Heading4"/>
      </w:pPr>
      <w:bookmarkStart w:id="6" w:name="corpus-assembly-and-scope"/>
      <w:bookmarkStart w:id="7" w:name="main-methods"/>
      <w:r>
        <w:t>Corpus Assembly and Scope</w:t>
      </w:r>
    </w:p>
    <w:p w14:paraId="25561D23" w14:textId="12FC14A3" w:rsidR="009F4D6D" w:rsidRDefault="00F10295">
      <w:pPr>
        <w:pStyle w:val="FirstParagraph"/>
      </w:pPr>
      <w:r>
        <w:t xml:space="preserve">To construct our evidence base, </w:t>
      </w:r>
      <w:r w:rsidR="00A17B96" w:rsidRPr="00A17B96">
        <w:t>publication records from Web of Science, Scopus, and PubMed were consolidated</w:t>
      </w:r>
      <w:r w:rsidR="00A17B96">
        <w:t xml:space="preserve"> </w:t>
      </w:r>
      <w:r>
        <w:t xml:space="preserve">using a standardized set of search terms related to fungal endophytes. This workflow utilized two distinct data scales. First, an initial screening corpus of 21,891 unique records was assembled </w:t>
      </w:r>
      <w:r w:rsidR="0053331D">
        <w:t>to audit</w:t>
      </w:r>
      <w:r>
        <w:t xml:space="preserve"> the prevalence of the endophyte ubiquity claim. This broader set was intentionally maintained prior to final relevance filtering to ensure </w:t>
      </w:r>
      <w:r w:rsidR="002C779E">
        <w:t>we</w:t>
      </w:r>
      <w:r w:rsidR="0049458C">
        <w:t xml:space="preserve"> capture</w:t>
      </w:r>
      <w:r w:rsidR="002C779E">
        <w:t>d</w:t>
      </w:r>
      <w:r>
        <w:t xml:space="preserve"> the propagation of the claim across the wider ecological literature, including studies that may mention endophytes as background context without being primary </w:t>
      </w:r>
      <w:r w:rsidR="00CC32F0">
        <w:t xml:space="preserve">fungal </w:t>
      </w:r>
      <w:r>
        <w:t xml:space="preserve">endophyte research. Second, after applying strict relevance </w:t>
      </w:r>
      <w:r w:rsidR="000525C8">
        <w:t xml:space="preserve">and deduplication </w:t>
      </w:r>
      <w:r>
        <w:t>filters, a final analysis corpus of 18,750 unique publications</w:t>
      </w:r>
      <w:r w:rsidR="0049458C">
        <w:t xml:space="preserve"> </w:t>
      </w:r>
      <w:commentRangeStart w:id="8"/>
      <w:r w:rsidR="0049458C">
        <w:t>was established</w:t>
      </w:r>
      <w:r>
        <w:t xml:space="preserve"> for the detailed mapping of geographic, taxonomic, and economic biases.</w:t>
      </w:r>
      <w:commentRangeEnd w:id="8"/>
      <w:r w:rsidR="00796C64">
        <w:rPr>
          <w:rStyle w:val="CommentReference"/>
          <w:sz w:val="24"/>
          <w:szCs w:val="24"/>
        </w:rPr>
        <w:commentReference w:id="8"/>
      </w:r>
    </w:p>
    <w:p w14:paraId="25561D24" w14:textId="6E431A41" w:rsidR="009F4D6D" w:rsidRDefault="00F10295">
      <w:pPr>
        <w:pStyle w:val="BodyText"/>
      </w:pPr>
      <w:r>
        <w:t>A critical barrier to global synthesis in this field remains the accessibility of primary literature</w:t>
      </w:r>
      <w:r w:rsidR="00CC5305">
        <w:t xml:space="preserve"> </w:t>
      </w:r>
      <w:r w:rsidR="00CC5305">
        <w:fldChar w:fldCharType="begin"/>
      </w:r>
      <w:r w:rsidR="00AB2456">
        <w:instrText xml:space="preserve"> ADDIN ZOTERO_ITEM CSL_CITATION {"citationID":"tIwb28qL","properties":{"unsorted":false,"formattedCitation":"(Cvitanovic {\\i{}et al.}, 2014; Orlando {\\i{}et al.}, 2018; Nu\\uc0\\u241{}ez {\\i{}et al.}, 2021)","plainCitation":"(Cvitanovic et al., 2014; Orlando et al., 2018; Nuñez et al., 2021)","noteIndex":0},"citationItems":[{"id":46566,"uris":["http://zotero.org/users/6275788/items/AVLHURTH"],"itemData":{"id":46566,"type":"article-journal","abstract":"The integration of scientiﬁc information into the decision-making process for the management of marine resources remains a signiﬁcant challenge, with the inaccessibility of primary scientiﬁc literature to environmental practitioners identiﬁed as a key limiting factor. Here, we quantify the use of primary scientiﬁc literature in environmental management plans, and explore potential barriers to the efﬁcient integration of such scientiﬁc information into the decision-making process. Through a case study of coral dominated Marine Protected Areas (MPAs) spanning three countries (Australia, Kenya and Belize), we ﬁnd that primary scientiﬁc literature represents only 14% of information cited in management plans. Such a low proportion is likely to be symptomatic of several issues regarding the accessibility of primary scientiﬁc literature to MPA managers, such as: 1. Long publication times for articles (average 40.2 ± 1.8 months); 2. Subscription-only access (up to 56% of articles behind paywalls); and/or 3. Poor articulation of management implications (only 19% of articles provided clear outcomes relevant to management). Such impediments can undermine the adaptive governance of MPAs, so we suggest improvements to knowledge transfer among scientists and managers via a diversity of approaches including knowledge brokers, boundary organisations, knowledge co-production and management-orientated summaries in research articles.","container-title":"Ocean &amp; Coastal Management","DOI":"10.1016/j.ocecoaman.2014.09.003","ISSN":"09645691","journalAbbreviation":"Ocean &amp; Coastal Management","language":"en","note":"paywall accessibility of primary literature is a critical barrier to integrating scientific information into environmental management , with only 14% of management plan citations from primary sources  and up to 56% of articles behind paywalls.","page":"72-78","source":"DOI.org (Crossref)","title":"Utility of primary scientific literature to environmental managers: An international case study on coral-dominated marine protected areas","title-short":"Utility of primary scientific literature to environmental managers","volume":"102","author":[{"family":"Cvitanovic","given":"C."},{"family":"Fulton","given":"C.J."},{"family":"Wilson","given":"S.K."},{"family":"Van Kerkhoff","given":"L."},{"family":"Cripps","given":"I.L."},{"family":"Muthiga","given":"N."}],"issued":{"date-parts":[["2014",12]]}}},{"id":46563,"uris":["http://zotero.org/users/6275788/items/Z7HAF6W3"],"itemData":{"id":46563,"type":"article-journal","container-title":"Trends in Ecology &amp; Evolution","DOI":"10.1016/j.tree.2021.06.004","ISSN":"01695347","issue":"9","journalAbbreviation":"Trends in Ecology &amp; Evolution","language":"en","note":"Multiple barriers, including regional dominance in literature, prevent global production and exchange of ecological knowledge, hindering accessibility of primary literature.","page":"766-769","source":"DOI.org (Crossref)","title":"Making ecology really global","volume":"36","author":[{"family":"Nuñez","given":"Martin A."},{"family":"Chiuffo","given":"Mariana C."},{"family":"Pauchard","given":"Aníbal"},{"family":"Zenni","given":"Rafael D."}],"issued":{"date-parts":[["2021",9]]}}},{"id":46561,"uris":["http://zotero.org/users/6275788/items/P2LULE2Y"],"itemData":{"id":46561,"type":"article-journal","abstract":"Reading scientific articles is fundamental for researchers, not only to keep pace with advances in their field, but also to know those giants on whose shoulders they are standing. In this sense, Courchamp and Bradshaw (2018) recently proposed a list of 100 seminal papers deemed to be of major importance in ecology, thus providing a general ‘must-read’ list for any new ecologist. The authors metaphorically speak of ecology as an ever-growing brick wall of published evidence. In order to quantify the degree of interference of the paywall over the wall of science, we took the opportunity given by the 100 seminal papers list and registered how many articles have been made universally and freely available by the publisher. Of the 100 scientific papers proposed as foundations of the wall of ecological knowledge, 66 are behind the paywall, with a total cost of US$1,560. This paywall exacerbates the existing asymmetries in ecological research between researchers from developed countries and the Global South. Diversity in research, as in ecological systems, is a source of robustness. Publishing high-quality articles in regional open peer-reviewed scientific journals is a suitable way to valorize Global South ecology, helping minimize the existing asymmetries.","container-title":"Neotropical Biology and Conservation","DOI":"10.4013/nbc.2018.134.07","ISSN":"2236-3777","issue":"4","language":"en","note":"A significant portion of seminal ecological papers are behind paywalls, creating access barriers and exacerbating research asymmetries, particularly affecting researchers from the Global South.","page":"334-336","source":"DOI.org (Crossref)","title":"100 articles every ecologist can actually read?","volume":"13","author":[{"family":"Orlando","given":"Luis"},{"family":"Rivera-Rebella","given":"Carla"},{"family":"Pinelli","given":"Verónica"},{"family":"Pereira-Garbero","given":"Ramiro"},{"family":"Hernandez","given":"Daniel"},{"family":"Ortiz","given":"Esteban"},{"family":"Ziegler","given":"Lucía"}],"issued":{"date-parts":[["2018",12,30]]}}}],"schema":"https://github.com/citation-style-language/schema/raw/master/csl-citation.json"} </w:instrText>
      </w:r>
      <w:r w:rsidR="00CC5305">
        <w:fldChar w:fldCharType="separate"/>
      </w:r>
      <w:r w:rsidR="00425F6B" w:rsidRPr="00425F6B">
        <w:rPr>
          <w:rFonts w:ascii="Aptos" w:hAnsi="Aptos" w:cs="Times New Roman"/>
        </w:rPr>
        <w:t xml:space="preserve">(Cvitanovic </w:t>
      </w:r>
      <w:r w:rsidR="00425F6B" w:rsidRPr="00425F6B">
        <w:rPr>
          <w:rFonts w:ascii="Aptos" w:hAnsi="Aptos" w:cs="Times New Roman"/>
          <w:i/>
          <w:iCs/>
        </w:rPr>
        <w:t>et al.</w:t>
      </w:r>
      <w:r w:rsidR="00425F6B" w:rsidRPr="00425F6B">
        <w:rPr>
          <w:rFonts w:ascii="Aptos" w:hAnsi="Aptos" w:cs="Times New Roman"/>
        </w:rPr>
        <w:t xml:space="preserve">, 2014; Orlando </w:t>
      </w:r>
      <w:r w:rsidR="00425F6B" w:rsidRPr="00425F6B">
        <w:rPr>
          <w:rFonts w:ascii="Aptos" w:hAnsi="Aptos" w:cs="Times New Roman"/>
          <w:i/>
          <w:iCs/>
        </w:rPr>
        <w:t>et al.</w:t>
      </w:r>
      <w:r w:rsidR="00425F6B" w:rsidRPr="00425F6B">
        <w:rPr>
          <w:rFonts w:ascii="Aptos" w:hAnsi="Aptos" w:cs="Times New Roman"/>
        </w:rPr>
        <w:t xml:space="preserve">, 2018; Nuñez </w:t>
      </w:r>
      <w:r w:rsidR="00425F6B" w:rsidRPr="00425F6B">
        <w:rPr>
          <w:rFonts w:ascii="Aptos" w:hAnsi="Aptos" w:cs="Times New Roman"/>
          <w:i/>
          <w:iCs/>
        </w:rPr>
        <w:t>et al.</w:t>
      </w:r>
      <w:r w:rsidR="00425F6B" w:rsidRPr="00425F6B">
        <w:rPr>
          <w:rFonts w:ascii="Aptos" w:hAnsi="Aptos" w:cs="Times New Roman"/>
        </w:rPr>
        <w:t>, 2021)</w:t>
      </w:r>
      <w:r w:rsidR="00CC5305">
        <w:fldChar w:fldCharType="end"/>
      </w:r>
      <w:r>
        <w:t>. Our retrieval process secured open-access full texts for 3,068 records (16.4</w:t>
      </w:r>
      <w:r w:rsidR="00880002">
        <w:t>%)</w:t>
      </w:r>
      <w:r>
        <w:t xml:space="preserve"> within the final corpus, leaving the majority (n = 15,682) accessible only at the abstract level</w:t>
      </w:r>
      <w:r w:rsidR="00D7643C" w:rsidRPr="00D7643C">
        <w:t>. This approach provides a conservative screen for global research trends because abstracts, titles, and keywords do not capture the full literature uniformly</w:t>
      </w:r>
      <w:r w:rsidR="00ED3AF0">
        <w:t xml:space="preserve"> </w:t>
      </w:r>
      <w:r w:rsidR="00ED3AF0">
        <w:fldChar w:fldCharType="begin"/>
      </w:r>
      <w:r w:rsidR="00AB2456">
        <w:instrText xml:space="preserve"> ADDIN ZOTERO_ITEM CSL_CITATION {"citationID":"ABxOdb9L","properties":{"unsorted":false,"formattedCitation":"(Scherer {\\i{}et al.}, 2018)","plainCitation":"(Scherer et al., 2018)","noteIndex":0},"citationItems":[{"id":46568,"uris":["http://zotero.org/users/6275788/items/UU5V2KIL"],"itemData":{"id":46568,"type":"article-journal","container-title":"Cochrane Database of Systematic Reviews","DOI":"10.1002/14651858.MR000005.pub4","ISSN":"14651858","issue":"11","language":"en","note":"more than half of results first appearing in abstracts never reached full publication, so the abstract record is useful, but not complete.","source":"DOI.org (Crossref)","title":"Full publication of results initially presented in abstracts","URL":"http://doi.wiley.com/10.1002/14651858.MR000005.pub4","volume":"2018","author":[{"family":"Scherer","given":"Roberta W"},{"family":"Meerpohl","given":"Joerg J"},{"family":"Pfeifer","given":"Nadine"},{"family":"Schmucker","given":"Christine"},{"family":"Schwarzer","given":"Guido"},{"family":"Von Elm","given":"Erik"}],"editor":[{"literal":"Cochrane Methodology Review Group"}],"accessed":{"date-parts":[["2026",5,19]]},"issued":{"date-parts":[["2018",11,20]]}}}],"schema":"https://github.com/citation-style-language/schema/raw/master/csl-citation.json"} </w:instrText>
      </w:r>
      <w:r w:rsidR="00ED3AF0">
        <w:fldChar w:fldCharType="separate"/>
      </w:r>
      <w:r w:rsidR="00425F6B" w:rsidRPr="00425F6B">
        <w:rPr>
          <w:rFonts w:ascii="Aptos" w:hAnsi="Aptos" w:cs="Times New Roman"/>
        </w:rPr>
        <w:t xml:space="preserve">(Scherer </w:t>
      </w:r>
      <w:r w:rsidR="00425F6B" w:rsidRPr="00425F6B">
        <w:rPr>
          <w:rFonts w:ascii="Aptos" w:hAnsi="Aptos" w:cs="Times New Roman"/>
          <w:i/>
          <w:iCs/>
        </w:rPr>
        <w:t>et al.</w:t>
      </w:r>
      <w:r w:rsidR="00425F6B" w:rsidRPr="00425F6B">
        <w:rPr>
          <w:rFonts w:ascii="Aptos" w:hAnsi="Aptos" w:cs="Times New Roman"/>
        </w:rPr>
        <w:t>, 2018)</w:t>
      </w:r>
      <w:r w:rsidR="00ED3AF0">
        <w:fldChar w:fldCharType="end"/>
      </w:r>
      <w:r w:rsidR="00D7643C" w:rsidRPr="00D7643C">
        <w:t xml:space="preserve">. </w:t>
      </w:r>
      <w:r w:rsidR="002C779E">
        <w:t>Consequently, m</w:t>
      </w:r>
      <w:r w:rsidR="00D7643C" w:rsidRPr="00D7643C">
        <w:t>ajor gaps detected in the abstract record suggest underexplored themes in the published literature</w:t>
      </w:r>
      <w:r w:rsidR="007C3696">
        <w:t>.</w:t>
      </w:r>
    </w:p>
    <w:p w14:paraId="25561D25" w14:textId="77777777" w:rsidR="009F4D6D" w:rsidRDefault="00F10295">
      <w:pPr>
        <w:pStyle w:val="Heading4"/>
      </w:pPr>
      <w:bookmarkStart w:id="9" w:name="X9443da96b3163475a14e7de943d8e91b80ec72a"/>
      <w:bookmarkEnd w:id="6"/>
      <w:r>
        <w:lastRenderedPageBreak/>
        <w:t>Taxonomic Resolution and Synonym Handling</w:t>
      </w:r>
    </w:p>
    <w:p w14:paraId="25561D26" w14:textId="0DE66DB9" w:rsidR="009F4D6D" w:rsidRDefault="00F10295">
      <w:pPr>
        <w:pStyle w:val="FirstParagraph"/>
      </w:pPr>
      <w:r>
        <w:t xml:space="preserve">To ensure robust lineage-level counts across decades of research, we developed a reproducible pipeline to harmonize plant and fungal taxonomy. All extracted </w:t>
      </w:r>
      <w:r w:rsidR="007C3696">
        <w:t>plant</w:t>
      </w:r>
      <w:r>
        <w:t xml:space="preserve"> and fungal names were processed against the Global Biodiversity Information Facility (GBIF) backbone taxonomy </w:t>
      </w:r>
      <w:r w:rsidR="007C3696">
        <w:fldChar w:fldCharType="begin"/>
      </w:r>
      <w:r w:rsidR="007C3696">
        <w:instrText xml:space="preserve"> ADDIN ZOTERO_ITEM CSL_CITATION {"citationID":"5trh9TAx","properties":{"unsorted":false,"formattedCitation":"(GBIF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7C3696">
        <w:fldChar w:fldCharType="separate"/>
      </w:r>
      <w:r w:rsidR="00425F6B" w:rsidRPr="00425F6B">
        <w:rPr>
          <w:rFonts w:ascii="Aptos" w:hAnsi="Aptos"/>
        </w:rPr>
        <w:t>(GBIF Secretariat, 2023)</w:t>
      </w:r>
      <w:r w:rsidR="007C3696">
        <w:fldChar w:fldCharType="end"/>
      </w:r>
      <w:r>
        <w:t xml:space="preserve">. </w:t>
      </w:r>
      <w:r w:rsidR="006B0BBE">
        <w:t>C</w:t>
      </w:r>
      <w:r>
        <w:t xml:space="preserve">ustom scripts algorithmically mapped and resolved obsolete or changing nomenclature to their currently accepted taxonomies. This process reconciled historical taxonomic shifts, such as changes in fungal phyla, ensuring that </w:t>
      </w:r>
      <w:r w:rsidR="006B0BBE">
        <w:t>the</w:t>
      </w:r>
      <w:r>
        <w:t xml:space="preserve"> analysis of biological coverage was based on a consistent and contemporary taxonomic framework. </w:t>
      </w:r>
    </w:p>
    <w:p w14:paraId="25561D27" w14:textId="77777777" w:rsidR="009F4D6D" w:rsidRDefault="00F10295">
      <w:pPr>
        <w:pStyle w:val="Heading4"/>
      </w:pPr>
      <w:bookmarkStart w:id="10" w:name="core-analyses"/>
      <w:bookmarkEnd w:id="9"/>
      <w:r>
        <w:t>Core Analyses</w:t>
      </w:r>
    </w:p>
    <w:p w14:paraId="3068E16D" w14:textId="1CEAF175" w:rsidR="005A562F" w:rsidRDefault="005A562F">
      <w:pPr>
        <w:pStyle w:val="Heading4"/>
        <w:rPr>
          <w:rFonts w:eastAsiaTheme="minorHAnsi" w:cstheme="minorBidi"/>
          <w:i w:val="0"/>
          <w:iCs w:val="0"/>
          <w:color w:val="auto"/>
        </w:rPr>
      </w:pPr>
      <w:bookmarkStart w:id="11" w:name="reproducibility-and-validation"/>
      <w:bookmarkEnd w:id="10"/>
      <w:commentRangeStart w:id="12"/>
      <w:commentRangeStart w:id="13"/>
      <w:r w:rsidRPr="005A562F">
        <w:rPr>
          <w:rFonts w:eastAsiaTheme="minorHAnsi" w:cstheme="minorBidi"/>
          <w:i w:val="0"/>
          <w:iCs w:val="0"/>
          <w:color w:val="auto"/>
        </w:rPr>
        <w:t xml:space="preserve">To quantify sampling bias, we performed a series of interconnected analyses. Geographic concentration was initially assessed by mapping study counts to countries, revealing global research hotspots. We then evaluated the relationship between research effort and economic capacity by correlating per-country study counts with national Gross Domestic Product (GDP). To identify well-studied and neglected host lineages, taxonomic coverage was summarized across plant </w:t>
      </w:r>
      <w:r w:rsidR="0046205F">
        <w:rPr>
          <w:rFonts w:eastAsiaTheme="minorHAnsi" w:cstheme="minorBidi"/>
          <w:i w:val="0"/>
          <w:iCs w:val="0"/>
          <w:color w:val="auto"/>
        </w:rPr>
        <w:t xml:space="preserve">species, genera, </w:t>
      </w:r>
      <w:r w:rsidRPr="005A562F">
        <w:rPr>
          <w:rFonts w:eastAsiaTheme="minorHAnsi" w:cstheme="minorBidi"/>
          <w:i w:val="0"/>
          <w:iCs w:val="0"/>
          <w:color w:val="auto"/>
        </w:rPr>
        <w:t>families</w:t>
      </w:r>
      <w:r w:rsidR="0046205F">
        <w:rPr>
          <w:rFonts w:eastAsiaTheme="minorHAnsi" w:cstheme="minorBidi"/>
          <w:i w:val="0"/>
          <w:iCs w:val="0"/>
          <w:color w:val="auto"/>
        </w:rPr>
        <w:t>,</w:t>
      </w:r>
      <w:r w:rsidRPr="005A562F">
        <w:rPr>
          <w:rFonts w:eastAsiaTheme="minorHAnsi" w:cstheme="minorBidi"/>
          <w:i w:val="0"/>
          <w:iCs w:val="0"/>
          <w:color w:val="auto"/>
        </w:rPr>
        <w:t xml:space="preserve"> and </w:t>
      </w:r>
      <w:r w:rsidR="0046205F">
        <w:rPr>
          <w:rFonts w:eastAsiaTheme="minorHAnsi" w:cstheme="minorBidi"/>
          <w:i w:val="0"/>
          <w:iCs w:val="0"/>
          <w:color w:val="auto"/>
        </w:rPr>
        <w:t>phyla</w:t>
      </w:r>
      <w:r w:rsidRPr="005A562F">
        <w:rPr>
          <w:rFonts w:eastAsiaTheme="minorHAnsi" w:cstheme="minorBidi"/>
          <w:i w:val="0"/>
          <w:iCs w:val="0"/>
          <w:color w:val="auto"/>
        </w:rPr>
        <w:t>. Furthermore, we categorized the reported ecological interactions</w:t>
      </w:r>
      <w:r w:rsidR="00BA5764">
        <w:rPr>
          <w:rFonts w:eastAsiaTheme="minorHAnsi" w:cstheme="minorBidi"/>
          <w:i w:val="0"/>
          <w:iCs w:val="0"/>
          <w:color w:val="auto"/>
        </w:rPr>
        <w:t xml:space="preserve"> and biomes</w:t>
      </w:r>
      <w:r w:rsidRPr="005A562F">
        <w:rPr>
          <w:rFonts w:eastAsiaTheme="minorHAnsi" w:cstheme="minorBidi"/>
          <w:i w:val="0"/>
          <w:iCs w:val="0"/>
          <w:color w:val="auto"/>
        </w:rPr>
        <w:t xml:space="preserve"> (e.g., endophytic, pathogenic, mutualistic) to evaluate the functional focus of the literature. Finally, a large language model workflow was deployed to screen the entire corpus for explicit and implicit claims of endophyte ubiquity, allowing us to directly test this foundational assumption.</w:t>
      </w:r>
      <w:commentRangeEnd w:id="12"/>
      <w:r w:rsidR="00D87F70">
        <w:rPr>
          <w:rStyle w:val="CommentReference"/>
          <w:rFonts w:eastAsiaTheme="minorHAnsi" w:cstheme="minorBidi"/>
          <w:i w:val="0"/>
          <w:iCs w:val="0"/>
          <w:color w:val="auto"/>
          <w:sz w:val="24"/>
          <w:szCs w:val="24"/>
        </w:rPr>
        <w:commentReference w:id="12"/>
      </w:r>
      <w:commentRangeEnd w:id="13"/>
      <w:r w:rsidR="00FA743E">
        <w:rPr>
          <w:rStyle w:val="CommentReference"/>
          <w:rFonts w:eastAsiaTheme="minorHAnsi" w:cstheme="minorBidi"/>
          <w:i w:val="0"/>
          <w:iCs w:val="0"/>
          <w:color w:val="auto"/>
          <w:sz w:val="24"/>
          <w:szCs w:val="24"/>
        </w:rPr>
        <w:commentReference w:id="13"/>
      </w:r>
    </w:p>
    <w:p w14:paraId="25561D29" w14:textId="23CDFCD3" w:rsidR="009F4D6D" w:rsidRDefault="00F10295">
      <w:pPr>
        <w:pStyle w:val="Heading4"/>
      </w:pPr>
      <w:r>
        <w:t>Reproducibility and Validation</w:t>
      </w:r>
    </w:p>
    <w:p w14:paraId="62CDCE95" w14:textId="5063C09C" w:rsidR="0024411D" w:rsidRPr="0024411D" w:rsidRDefault="005A710C" w:rsidP="005F10B3">
      <w:pPr>
        <w:pStyle w:val="FirstParagraph"/>
      </w:pPr>
      <w:r w:rsidRPr="005A710C">
        <w:t xml:space="preserve">All data preprocessing, harmonization, and statistical analyses were performed programmatically to ensure full reproducibility. We developed a highly structured, version-controlled pipeline using both R </w:t>
      </w:r>
      <w:r w:rsidR="00486781">
        <w:t xml:space="preserve">(version 4.3.0) </w:t>
      </w:r>
      <w:r w:rsidRPr="005A710C">
        <w:t>and Python (version 3.13.5) development environments within Visual Studio Code (VSCode)</w:t>
      </w:r>
      <w:r w:rsidR="007127CB">
        <w:fldChar w:fldCharType="begin"/>
      </w:r>
      <w:r w:rsidR="00AB2456">
        <w:instrText xml:space="preserve"> ADDIN ZOTERO_ITEM CSL_CITATION {"citationID":"b4mynD0q","properties":{"unsorted":false,"formattedCitation":"(R Core Team, 2023; Python Software Foundation, 2025; Microsoft, 2026)","plainCitation":"(R Core Team, 2023; Python Software Foundation, 2025; Microsoft, 2026)","noteIndex":0},"citationItems":[{"id":46571,"uris":["http://zotero.org/users/6275788/items/5C8GVCNS"],"itemData":{"id":46571,"type":"document","note":"version: 1.120.0","title":"Visual Studio Code","URL":"https://code.visualstudio.com","author":[{"literal":"Microsoft"}],"issued":{"date-parts":[["2026"]]}}},{"id":46569,"uris":["http://zotero.org/users/6275788/items/ET8GBCNP"],"itemData":{"id":46569,"type":"book","title":"Python Language Reference, Version 3.13.5","URL":"https://www.python.org/","author":[{"literal":"Python Software Foundation"}],"issued":{"date-parts":[["2025"]]}}},{"id":39808,"uris":["http://zotero.org/users/6275788/items/8M2ZC62E"],"itemData":{"id":39808,"type":"software","publisher":"R Foundation for Statistical Computing","publisher-place":"Vienna, Austria","title":"R: A Language and Environment for Statistical Computing","URL":"https://www.R-project.org/","version":"4.3.0","author":[{"literal":"R Core Team"}],"issued":{"date-parts":[["2023"]]}}}],"schema":"https://github.com/citation-style-language/schema/raw/master/csl-citation.json"} </w:instrText>
      </w:r>
      <w:r w:rsidR="007127CB">
        <w:fldChar w:fldCharType="separate"/>
      </w:r>
      <w:r w:rsidR="00425F6B" w:rsidRPr="00425F6B">
        <w:rPr>
          <w:rFonts w:ascii="Aptos" w:hAnsi="Aptos"/>
        </w:rPr>
        <w:t>(R Core Team, 2023; Python Software Foundation, 2025; Microsoft, 2026)</w:t>
      </w:r>
      <w:r w:rsidR="007127CB">
        <w:fldChar w:fldCharType="end"/>
      </w:r>
      <w:r w:rsidRPr="005A710C">
        <w:t xml:space="preserve">. </w:t>
      </w:r>
    </w:p>
    <w:p w14:paraId="55660D20" w14:textId="77777777" w:rsidR="001E430A" w:rsidRDefault="0024411D" w:rsidP="0024411D">
      <w:pPr>
        <w:pStyle w:val="BodyText"/>
      </w:pPr>
      <w:r w:rsidRPr="0024411D">
        <w:t>All custom scripts used in this pipeline have been documented and are available to facilitate reproducing these analyses and figures</w:t>
      </w:r>
      <w:bookmarkStart w:id="14" w:name="supplementary-methods"/>
      <w:bookmarkEnd w:id="7"/>
      <w:bookmarkEnd w:id="11"/>
      <w:r w:rsidR="00E870A3">
        <w:t xml:space="preserve"> in a Github repository: </w:t>
      </w:r>
      <w:commentRangeStart w:id="15"/>
      <w:r w:rsidR="001E430A">
        <w:fldChar w:fldCharType="begin"/>
      </w:r>
      <w:r w:rsidR="001E430A">
        <w:instrText>HYPERLINK "</w:instrText>
      </w:r>
      <w:r w:rsidR="001E430A" w:rsidRPr="001E430A">
        <w:instrText>https://github.com/beabock/Endo-Review</w:instrText>
      </w:r>
      <w:r w:rsidR="001E430A">
        <w:instrText>"</w:instrText>
      </w:r>
      <w:r w:rsidR="001E430A">
        <w:fldChar w:fldCharType="separate"/>
      </w:r>
      <w:r w:rsidR="001E430A" w:rsidRPr="002774D6">
        <w:rPr>
          <w:rStyle w:val="Hyperlink"/>
        </w:rPr>
        <w:t>https://github.com/beabock/Endo-Review</w:t>
      </w:r>
      <w:r w:rsidR="001E430A">
        <w:fldChar w:fldCharType="end"/>
      </w:r>
      <w:r w:rsidR="001E430A">
        <w:t xml:space="preserve">. </w:t>
      </w:r>
      <w:commentRangeEnd w:id="15"/>
      <w:r w:rsidR="001E430A">
        <w:rPr>
          <w:rStyle w:val="CommentReference"/>
          <w:sz w:val="24"/>
          <w:szCs w:val="24"/>
        </w:rPr>
        <w:commentReference w:id="15"/>
      </w:r>
    </w:p>
    <w:p w14:paraId="78461FD9" w14:textId="58056F69" w:rsidR="005A710C" w:rsidRDefault="001E430A" w:rsidP="0024411D">
      <w:pPr>
        <w:pStyle w:val="BodyText"/>
      </w:pPr>
      <w:r>
        <w:t>Further details about the methods are included in the Supplementary Methods section.</w:t>
      </w:r>
    </w:p>
    <w:p w14:paraId="25561D2B" w14:textId="69FBB470" w:rsidR="009F4D6D" w:rsidRDefault="00F10295">
      <w:pPr>
        <w:pStyle w:val="Heading3"/>
      </w:pPr>
      <w:r>
        <w:t xml:space="preserve">Supplementary </w:t>
      </w:r>
      <w:commentRangeStart w:id="16"/>
      <w:r>
        <w:t>Methods</w:t>
      </w:r>
      <w:commentRangeEnd w:id="16"/>
      <w:r w:rsidR="00420A06">
        <w:rPr>
          <w:rStyle w:val="CommentReference"/>
          <w:sz w:val="28"/>
          <w:szCs w:val="28"/>
        </w:rPr>
        <w:commentReference w:id="16"/>
      </w:r>
    </w:p>
    <w:p w14:paraId="25561D2C" w14:textId="77777777" w:rsidR="009F4D6D" w:rsidRDefault="00F10295">
      <w:pPr>
        <w:pStyle w:val="Heading4"/>
      </w:pPr>
      <w:bookmarkStart w:id="17" w:name="corpus-assembly-and-data-extraction"/>
      <w:r>
        <w:t>1. Corpus Assembly and Data Extraction</w:t>
      </w:r>
    </w:p>
    <w:p w14:paraId="45833176" w14:textId="790378C4" w:rsidR="007C7F41" w:rsidRDefault="003768AC" w:rsidP="00FB1C44">
      <w:pPr>
        <w:pStyle w:val="BodyText"/>
      </w:pPr>
      <w:r w:rsidRPr="003768AC">
        <w:t>We compiled the initial corpus by querying Web of Science, Scopus, and PubMed using a standardized, boolean search string</w:t>
      </w:r>
      <w:r w:rsidR="007C7F41">
        <w:t>:</w:t>
      </w:r>
    </w:p>
    <w:p w14:paraId="08AA406D" w14:textId="4A617B34" w:rsidR="007C7F41" w:rsidRDefault="007C7F41" w:rsidP="007C7F41">
      <w:pPr>
        <w:pStyle w:val="BodyText"/>
      </w:pPr>
      <w:r>
        <w:t xml:space="preserve">  ("fungal endophyte" OR "fungal endophytes" OR "endophytic fungus" OR "endophytic fungi" OR  "latent fungus" OR "latent fungi" OR "systemic fungus" OR "systemic fungi" OR   "internal fungi" OR "resident fungi" OR "seed-borne fungi" OR "seed-transmitted fungi" OR "dark septate endophyte" OR "dark septate fungi" OR "DSE fungi")  AND</w:t>
      </w:r>
    </w:p>
    <w:p w14:paraId="7B1C783E" w14:textId="76E4F4E9" w:rsidR="007C7F41" w:rsidRDefault="007C7F41" w:rsidP="007C7F41">
      <w:pPr>
        <w:pStyle w:val="BodyText"/>
      </w:pPr>
      <w:r>
        <w:lastRenderedPageBreak/>
        <w:t xml:space="preserve"> (plant* OR moss* OR bryophyte* OR liverwort* OR hornwort* OR fern* OR lycophyte* OR   pteridophyte* OR tree* OR shrub* OR grass* OR "graminoid*" OR herb* OR   crop* OR seedling* OR sapling* OR seed* OR root* OR leaf* OR foliage OR shoot* OR  stem* OR twig* OR rhizome* OR thallus OR frond* OR algae OR "green alga*" OR macroalga* OR   cyanobacteria OR cyanobiont* OR photobiont* OR lichen*)</w:t>
      </w:r>
    </w:p>
    <w:p w14:paraId="66E1B474" w14:textId="543B12B6" w:rsidR="00FB1C44" w:rsidRPr="00FB1C44" w:rsidRDefault="00FB1C44" w:rsidP="00FB1C44">
      <w:pPr>
        <w:pStyle w:val="BodyText"/>
      </w:pPr>
      <w:r w:rsidRPr="00FB1C44">
        <w:t xml:space="preserve">The query was designed to capture a broad range of </w:t>
      </w:r>
      <w:r w:rsidR="007C7F41">
        <w:t xml:space="preserve">modern and </w:t>
      </w:r>
      <w:r w:rsidR="001E430A">
        <w:t xml:space="preserve">historic </w:t>
      </w:r>
      <w:r w:rsidRPr="00FB1C44">
        <w:t>fungal endophyte terminology (e.g., </w:t>
      </w:r>
      <w:r w:rsidRPr="00FB1C44">
        <w:rPr>
          <w:i/>
          <w:iCs/>
        </w:rPr>
        <w:t>endophyte</w:t>
      </w:r>
      <w:r w:rsidRPr="00FB1C44">
        <w:t>, </w:t>
      </w:r>
      <w:r w:rsidRPr="00FB1C44">
        <w:rPr>
          <w:i/>
          <w:iCs/>
        </w:rPr>
        <w:t>latent fungus</w:t>
      </w:r>
      <w:r w:rsidRPr="00FB1C44">
        <w:t>, </w:t>
      </w:r>
      <w:r w:rsidRPr="00FB1C44">
        <w:rPr>
          <w:i/>
          <w:iCs/>
        </w:rPr>
        <w:t>dark septate endophyte</w:t>
      </w:r>
      <w:r w:rsidRPr="00FB1C44">
        <w:t>) cross-referenced against diverse plant host classifications (e.g., angiosperms, gymnosperms, bryophytes, charophytes, agricultural crops) and limited to "Journal Article" document types. To manage API limits, data was requested iteratively in six publication year bins spanning from 1700 to 2025 (</w:t>
      </w:r>
      <w:r w:rsidRPr="00FB1C44">
        <w:rPr>
          <w:rStyle w:val="scriptnameChar"/>
        </w:rPr>
        <w:t>api_pull_abstracts.R</w:t>
      </w:r>
      <w:r w:rsidRPr="00FB1C44">
        <w:t>, using rentrez, rscopus, and wosr)</w:t>
      </w:r>
      <w:r w:rsidR="0071372D">
        <w:fldChar w:fldCharType="begin"/>
      </w:r>
      <w:r w:rsidR="00AB2456">
        <w:instrText xml:space="preserve"> ADDIN ZOTERO_ITEM CSL_CITATION {"citationID":"xn6SOyex","properties":{"unsorted":false,"formattedCitation":"(Winter, 2017; Baker, 2018; Muschelli, 2025)","plainCitation":"(Winter, 2017; Baker, 2018; Muschelli, 2025)","noteIndex":0},"citationItems":[{"id":46576,"uris":["http://zotero.org/users/6275788/items/UJJNYDGL"],"itemData":{"id":46576,"type":"book","title":"wosr: Clients to the 'Web of Science' and 'InCites' APIs","URL":"https://CRAN.R-project.org/package=wosr","author":[{"family":"Baker","given":"Christopher"}],"issued":{"date-parts":[["2018"]]}}},{"id":46574,"uris":["http://zotero.org/users/6275788/items/GMICJ3QX"],"itemData":{"id":46574,"type":"book","title":"rscopus: Scopus Database 'API' Interface","URL":"https://github.com/muschellij2/rscopus","author":[{"family":"Muschelli","given":"John"}],"issued":{"date-parts":[["2025"]]}}},{"id":46572,"uris":["http://zotero.org/users/6275788/items/J6A37Y5R"],"itemData":{"id":46572,"type":"article-journal","container-title":"The R Journal","DOI":"10.32614/RJ-2017-058","ISSN":"2073-4859","issue":"2","journalAbbreviation":"The R Journal","language":"en","page":"520","source":"DOI.org (Crossref)","title":"rentrez: An R package for the NCBI eUtils API","title-short":"rentrez","volume":"9","author":[{"family":"Winter","given":"David","suffix":"J."}],"issued":{"date-parts":[["2017"]]}}}],"schema":"https://github.com/citation-style-language/schema/raw/master/csl-citation.json"} </w:instrText>
      </w:r>
      <w:r w:rsidR="0071372D">
        <w:fldChar w:fldCharType="separate"/>
      </w:r>
      <w:r w:rsidR="00425F6B" w:rsidRPr="00425F6B">
        <w:rPr>
          <w:rFonts w:ascii="Aptos" w:hAnsi="Aptos"/>
        </w:rPr>
        <w:t>(Winter, 2017; Baker, 2018; Muschelli, 2025)</w:t>
      </w:r>
      <w:r w:rsidR="0071372D">
        <w:fldChar w:fldCharType="end"/>
      </w:r>
      <w:r w:rsidRPr="00FB1C44">
        <w:t>.</w:t>
      </w:r>
    </w:p>
    <w:p w14:paraId="4C434D3B" w14:textId="60FFB5F5" w:rsidR="00342E9D" w:rsidRPr="00342E9D" w:rsidRDefault="00FB1C44" w:rsidP="00342E9D">
      <w:pPr>
        <w:pStyle w:val="BodyText"/>
      </w:pPr>
      <w:r w:rsidRPr="00FB1C44">
        <w:t>The raw data exports were standardized and consolidated</w:t>
      </w:r>
      <w:r w:rsidR="001E430A">
        <w:t xml:space="preserve"> </w:t>
      </w:r>
      <w:r w:rsidRPr="00FB1C44">
        <w:t>using</w:t>
      </w:r>
      <w:r w:rsidR="001E430A">
        <w:t xml:space="preserve"> </w:t>
      </w:r>
      <w:hyperlink r:id="rId9" w:history="1">
        <w:r w:rsidRPr="00FB1C44">
          <w:rPr>
            <w:rStyle w:val="scriptnameChar"/>
          </w:rPr>
          <w:t>Combo_abstracts_pull2.R</w:t>
        </w:r>
      </w:hyperlink>
      <w:r w:rsidR="0011498F">
        <w:rPr>
          <w:rStyle w:val="scriptnameChar"/>
        </w:rPr>
        <w:t xml:space="preserve"> </w:t>
      </w:r>
      <w:r w:rsidRPr="00FB1C44">
        <w:t>and </w:t>
      </w:r>
      <w:hyperlink r:id="rId10" w:history="1">
        <w:r w:rsidRPr="00FB1C44">
          <w:rPr>
            <w:rStyle w:val="scriptnameChar"/>
          </w:rPr>
          <w:t>01_csv_cleanup.py</w:t>
        </w:r>
      </w:hyperlink>
      <w:r w:rsidRPr="00FB1C44">
        <w:t>. Given the multi-database approach, we implemented a rigorous three-stage deduplication pipeline:</w:t>
      </w:r>
      <w:r w:rsidR="00342E9D">
        <w:t xml:space="preserve"> </w:t>
      </w:r>
      <w:r w:rsidR="00342E9D" w:rsidRPr="00342E9D">
        <w:t>(1) exact-match deduplication by Digital Object Identifier (DOI); (2) text-based deduplication comparing normalized abstract strings (lowercased, collapsed whitespace, stripped punctuation) for records lacking DOIs; and (3) a final document-type filter to remove erroneous non-primary literature. The deduplicated dataset was assembled into a final global metadata file using </w:t>
      </w:r>
      <w:r w:rsidR="00342E9D" w:rsidRPr="0011498F">
        <w:rPr>
          <w:rStyle w:val="scriptnameChar"/>
        </w:rPr>
        <w:t>merge_final_data.py</w:t>
      </w:r>
      <w:r w:rsidR="00342E9D" w:rsidRPr="00342E9D">
        <w:t>.</w:t>
      </w:r>
    </w:p>
    <w:p w14:paraId="4CF6A3E7" w14:textId="550B7098" w:rsidR="00342E9D" w:rsidRPr="00342E9D" w:rsidRDefault="00342E9D" w:rsidP="00342E9D">
      <w:pPr>
        <w:pStyle w:val="BodyText"/>
      </w:pPr>
      <w:r w:rsidRPr="00342E9D">
        <w:t>To move beyond abstract-only limitations where possible, we systematically queried the Unpaywall API for all valid DOIs in our dataset using </w:t>
      </w:r>
      <w:hyperlink r:id="rId11" w:history="1">
        <w:r w:rsidRPr="00342E9D">
          <w:rPr>
            <w:rStyle w:val="scriptnameChar"/>
          </w:rPr>
          <w:t>download_pdfs.py</w:t>
        </w:r>
      </w:hyperlink>
      <w:r w:rsidR="004A1743" w:rsidRPr="00B350A4">
        <w:fldChar w:fldCharType="begin"/>
      </w:r>
      <w:r w:rsidR="00425F6B">
        <w:instrText xml:space="preserve"> ADDIN ZOTERO_ITEM CSL_CITATION {"citationID":"188YTEJg","properties":{"unsorted":false,"formattedCitation":"(Priem {\\i{}et al.}, 2016; Piwowar {\\i{}et al.}, 2018)","plainCitation":"(Priem et al., 2016; Piwowar et al., 2018)","noteIndex":0},"citationItems":[{"id":46578,"uris":["http://zotero.org/users/6275788/items/K9BANM4J"],"itemData":{"id":46578,"type":"article-journal","abstract":"Despite growing interest in Open Access (OA) to scholarly literature, there is an unmet need for large-scale, up-to-date, and reproducible studies assessing the prevalence and characteristics of OA. We address this need using oaDOI, an open online service that determines OA status for 67 million articles. We use three samples, each of 100,000 articles, to investigate OA in three populations: (1) all journal articles assigned a Crossref DOI, (2) recent journal articles indexed in Web of Science, and (3) articles viewed by users of Unpaywall, an open-source browser extension that lets users find OA articles using oaDOI. We estimate that at least 28% of the scholarly literature is OA (19M in total) and that this proportion is growing, driven particularly by growth in Gold and Hybrid. The most recent year analyzed (2015) also has the highest percentage of OA (45%). Because of this growth, and the fact that readers disproportionately access newer articles, we find that Unpaywall users encounter OA quite frequently: 47% of articles they view are OA. Notably, the most common mechanism for OA is not Gold, Green, or Hybrid OA, but rather an under-discussed category we dub Bronze: articles made free-to-read on the publisher website, without an explicit Open license. We also examine the citation impact of OA articles, corroborating the so-called open-access citation advantage: accounting for age and discipline, OA articles receive 18% more citations than average, an effect driven primarily by Green and Hybrid OA. We encourage further research using the free oaDOI service, as a way to inform OA policy and practice.","container-title":"PeerJ","DOI":"10.7717/peerj.4375","ISSN":"2167-8359","language":"en","license":"http://creativecommons.org/licenses/by/4.0/","page":"e4375","source":"DOI.org (Crossref)","title":"The state of OA: a large-scale analysis of the prevalence and impact of Open Access articles","title-short":"The state of OA","volume":"6","author":[{"family":"Piwowar","given":"Heather"},{"family":"Priem","given":"Jason"},{"family":"Larivière","given":"Vincent"},{"family":"Alperin","given":"Juan Pablo"},{"family":"Matthias","given":"Lisa"},{"family":"Norlander","given":"Bree"},{"family":"Farley","given":"Ashley"},{"family":"West","given":"Jevin"},{"family":"Haustein","given":"Stefanie"}],"issued":{"date-parts":[["2018",2,13]]}}},{"id":46580,"uris":["http://zotero.org/users/6275788/items/QV4D3KRX"],"itemData":{"id":46580,"type":"document","publisher":"Impactstory","title":"Unpaywall API","URL":"https://unpaywall.org/products/api","author":[{"family":"Priem","given":"Jason"},{"family":"Piwowar","given":"Heather"},{"family":"Orr","given":"Richard"}],"issued":{"date-parts":[["2016"]]}}}],"schema":"https://github.com/citation-style-language/schema/raw/master/csl-citation.json"} </w:instrText>
      </w:r>
      <w:r w:rsidR="004A1743" w:rsidRPr="00B350A4">
        <w:fldChar w:fldCharType="separate"/>
      </w:r>
      <w:r w:rsidR="00425F6B" w:rsidRPr="00425F6B">
        <w:rPr>
          <w:rFonts w:ascii="Aptos" w:hAnsi="Aptos" w:cs="Times New Roman"/>
        </w:rPr>
        <w:t xml:space="preserve">(Priem </w:t>
      </w:r>
      <w:r w:rsidR="00425F6B" w:rsidRPr="00425F6B">
        <w:rPr>
          <w:rFonts w:ascii="Aptos" w:hAnsi="Aptos" w:cs="Times New Roman"/>
          <w:i/>
          <w:iCs/>
        </w:rPr>
        <w:t>et al.</w:t>
      </w:r>
      <w:r w:rsidR="00425F6B" w:rsidRPr="00425F6B">
        <w:rPr>
          <w:rFonts w:ascii="Aptos" w:hAnsi="Aptos" w:cs="Times New Roman"/>
        </w:rPr>
        <w:t xml:space="preserve">, 2016; Piwowar </w:t>
      </w:r>
      <w:r w:rsidR="00425F6B" w:rsidRPr="00425F6B">
        <w:rPr>
          <w:rFonts w:ascii="Aptos" w:hAnsi="Aptos" w:cs="Times New Roman"/>
          <w:i/>
          <w:iCs/>
        </w:rPr>
        <w:t>et al.</w:t>
      </w:r>
      <w:r w:rsidR="00425F6B" w:rsidRPr="00425F6B">
        <w:rPr>
          <w:rFonts w:ascii="Aptos" w:hAnsi="Aptos" w:cs="Times New Roman"/>
        </w:rPr>
        <w:t>, 2018)</w:t>
      </w:r>
      <w:r w:rsidR="004A1743" w:rsidRPr="00B350A4">
        <w:fldChar w:fldCharType="end"/>
      </w:r>
      <w:r w:rsidRPr="00342E9D">
        <w:t>. This step successfully located and downloaded the best available Open Access PDF for 3,068 records (16.4% of the corpus).</w:t>
      </w:r>
    </w:p>
    <w:p w14:paraId="7F197773" w14:textId="72343187" w:rsidR="00FB1C44" w:rsidRDefault="00342E9D" w:rsidP="00D242B3">
      <w:pPr>
        <w:pStyle w:val="BodyText"/>
      </w:pPr>
      <w:r w:rsidRPr="00342E9D">
        <w:t>For automated data extraction, we developed a highly structured Large Language Model (LLM) pipeline (</w:t>
      </w:r>
      <w:hyperlink r:id="rId12" w:history="1">
        <w:r w:rsidRPr="00B350A4">
          <w:rPr>
            <w:rStyle w:val="scriptnameChar"/>
          </w:rPr>
          <w:t>monsoon_extract.py</w:t>
        </w:r>
      </w:hyperlink>
      <w:r w:rsidRPr="00342E9D">
        <w:t xml:space="preserve">) deployed on the </w:t>
      </w:r>
      <w:r w:rsidR="00B350A4">
        <w:t xml:space="preserve">Northern Arizona University </w:t>
      </w:r>
      <w:r w:rsidRPr="00342E9D">
        <w:t>Monsoon high-performance computing cluster. The pipeline processed the text from the abstracts and the first 12 pages of the full-text PDFs (extracted via PyMuPDF)</w:t>
      </w:r>
      <w:r w:rsidR="00B94124">
        <w:fldChar w:fldCharType="begin"/>
      </w:r>
      <w:r w:rsidR="00B94124">
        <w:instrText xml:space="preserve"> ADDIN ZOTERO_ITEM CSL_CITATION {"citationID":"VooImvkp","properties":{"unsorted":false,"formattedCitation":"(Artifex Software, 2026)","plainCitation":"(Artifex Software, 2026)","noteIndex":0},"citationItems":[{"id":46582,"uris":["http://zotero.org/users/6275788/items/N4Q9UL3Q"],"itemData":{"id":46582,"type":"document","title":"PyMuPDF Documentation","URL":"https://pymupdf.readthedocs.io/","author":[{"family":"Artifex Software","given":"Inc."}],"issued":{"date-parts":[["2026"]]}}}],"schema":"https://github.com/citation-style-language/schema/raw/master/csl-citation.json"} </w:instrText>
      </w:r>
      <w:r w:rsidR="00B94124">
        <w:fldChar w:fldCharType="separate"/>
      </w:r>
      <w:r w:rsidR="00425F6B" w:rsidRPr="00425F6B">
        <w:rPr>
          <w:rFonts w:ascii="Aptos" w:hAnsi="Aptos"/>
        </w:rPr>
        <w:t>(Artifex Software, 2026)</w:t>
      </w:r>
      <w:r w:rsidR="00B94124">
        <w:fldChar w:fldCharType="end"/>
      </w:r>
      <w:r w:rsidRPr="00342E9D">
        <w:t>. We prompted an open-weights model (Mistral</w:t>
      </w:r>
      <w:r w:rsidR="00593279">
        <w:t>7B</w:t>
      </w:r>
      <w:r w:rsidRPr="00342E9D">
        <w:t xml:space="preserve"> via the Ollama framework) to act as an expert mycologist, extracting every unique plant-host and fungal-taxon interaction pair into a strictly formatted JSON array</w:t>
      </w:r>
      <w:r w:rsidR="00346E26">
        <w:t xml:space="preserve"> </w:t>
      </w:r>
      <w:r w:rsidR="00593279">
        <w:fldChar w:fldCharType="begin"/>
      </w:r>
      <w:r w:rsidR="00AB2456">
        <w:instrText xml:space="preserve"> ADDIN ZOTERO_ITEM CSL_CITATION {"citationID":"SJ8J4Ktf","properties":{"unsorted":false,"formattedCitation":"(Jiang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rsidR="00593279">
        <w:fldChar w:fldCharType="separate"/>
      </w:r>
      <w:r w:rsidR="00425F6B" w:rsidRPr="00425F6B">
        <w:rPr>
          <w:rFonts w:ascii="Aptos" w:hAnsi="Aptos" w:cs="Times New Roman"/>
        </w:rPr>
        <w:t xml:space="preserve">(Jiang </w:t>
      </w:r>
      <w:r w:rsidR="00425F6B" w:rsidRPr="00425F6B">
        <w:rPr>
          <w:rFonts w:ascii="Aptos" w:hAnsi="Aptos" w:cs="Times New Roman"/>
          <w:i/>
          <w:iCs/>
        </w:rPr>
        <w:t>et al.</w:t>
      </w:r>
      <w:r w:rsidR="00425F6B" w:rsidRPr="00425F6B">
        <w:rPr>
          <w:rFonts w:ascii="Aptos" w:hAnsi="Aptos" w:cs="Times New Roman"/>
        </w:rPr>
        <w:t>, 2023)</w:t>
      </w:r>
      <w:r w:rsidR="00593279">
        <w:fldChar w:fldCharType="end"/>
      </w:r>
      <w:r w:rsidR="00E3558B">
        <w:t xml:space="preserve"> </w:t>
      </w:r>
      <w:r w:rsidRPr="00342E9D">
        <w:t xml:space="preserve">. The model simultaneously coded context for each interaction, including the sampled tissue, geographic country, biome, and assumed primary trophic guild. Custom Python logic flattened nested LLM outputs and separated comma-delimited taxa strings (e.g., multiple hosts targeted by a single fungus) </w:t>
      </w:r>
      <w:r w:rsidR="00C57540" w:rsidRPr="00C57540">
        <w:t>prior to storing them in our structured analysis dataset.</w:t>
      </w:r>
      <w:bookmarkStart w:id="18" w:name="X61374a5645b2406cd907feaa8617eb9bdc8de43"/>
      <w:bookmarkEnd w:id="17"/>
    </w:p>
    <w:p w14:paraId="25561D2E" w14:textId="3C576063" w:rsidR="009F4D6D" w:rsidRDefault="00F10295">
      <w:pPr>
        <w:pStyle w:val="Heading4"/>
      </w:pPr>
      <w:r>
        <w:t>2. Taxonomic Resolution and Synonym Handling</w:t>
      </w:r>
    </w:p>
    <w:p w14:paraId="678265F5" w14:textId="34723E49" w:rsidR="005B162E" w:rsidRDefault="005B162E" w:rsidP="005B162E">
      <w:pPr>
        <w:pStyle w:val="BodyText"/>
      </w:pPr>
      <w:r w:rsidRPr="005B162E">
        <w:t>To ensure robust lineage-level counts across decades of research, we processed all plant and fungal names extracted by the LLM through a centralized, automated taxonomic standardization pipeline. The core workflow (</w:t>
      </w:r>
      <w:hyperlink r:id="rId13" w:history="1">
        <w:r w:rsidRPr="00E97A61">
          <w:rPr>
            <w:rStyle w:val="scriptnameChar"/>
          </w:rPr>
          <w:t>taxa_synonym_resolution.py</w:t>
        </w:r>
      </w:hyperlink>
      <w:r w:rsidRPr="005B162E">
        <w:t xml:space="preserve">) algorithmically matched raw names against the Global Biodiversity Information Facility </w:t>
      </w:r>
      <w:r w:rsidRPr="005B162E">
        <w:lastRenderedPageBreak/>
        <w:t>(GBIF) backbone taxonomy</w:t>
      </w:r>
      <w:r w:rsidR="00E97A61">
        <w:t xml:space="preserve"> </w:t>
      </w:r>
      <w:r w:rsidR="00E97A61">
        <w:fldChar w:fldCharType="begin"/>
      </w:r>
      <w:r w:rsidR="00E97A61">
        <w:instrText xml:space="preserve"> ADDIN ZOTERO_ITEM CSL_CITATION {"citationID":"Jo12DLKA","properties":{"unsorted":false,"formattedCitation":"(GBIF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E97A61">
        <w:fldChar w:fldCharType="separate"/>
      </w:r>
      <w:r w:rsidR="00425F6B" w:rsidRPr="00425F6B">
        <w:rPr>
          <w:rFonts w:ascii="Aptos" w:hAnsi="Aptos"/>
        </w:rPr>
        <w:t>(GBIF Secretariat, 2023)</w:t>
      </w:r>
      <w:r w:rsidR="00E97A61">
        <w:fldChar w:fldCharType="end"/>
      </w:r>
      <w:r w:rsidRPr="005B162E">
        <w:t>. Because the taxonomic bounds and names of fungi and plants frequently shift</w:t>
      </w:r>
      <w:r w:rsidR="00AE5E89">
        <w:t xml:space="preserve"> (</w:t>
      </w:r>
      <w:r w:rsidRPr="005B162E">
        <w:t>such as corrections to historical morphology-based misclassifications</w:t>
      </w:r>
      <w:r w:rsidR="00AE5E89">
        <w:t xml:space="preserve">), </w:t>
      </w:r>
      <w:r w:rsidRPr="005B162E">
        <w:t>this standardization ensured all taxa were evaluated using a contemporary and consistent framework.</w:t>
      </w:r>
    </w:p>
    <w:p w14:paraId="69990E8C" w14:textId="77777777" w:rsidR="00185238" w:rsidRPr="00185238" w:rsidRDefault="00185238" w:rsidP="00185238">
      <w:pPr>
        <w:pStyle w:val="BodyText"/>
      </w:pPr>
      <w:r w:rsidRPr="00185238">
        <w:t>The resolution utilized multiple algorithmic strategies to maximize matches:</w:t>
      </w:r>
    </w:p>
    <w:p w14:paraId="3B95DB95" w14:textId="30292F05" w:rsidR="00AE5E89" w:rsidRDefault="00185238" w:rsidP="00185238">
      <w:pPr>
        <w:pStyle w:val="BodyText"/>
        <w:numPr>
          <w:ilvl w:val="0"/>
          <w:numId w:val="4"/>
        </w:numPr>
      </w:pPr>
      <w:r w:rsidRPr="00185238">
        <w:rPr>
          <w:b/>
          <w:bCs/>
        </w:rPr>
        <w:t>Normalization &amp; Pre-filtering:</w:t>
      </w:r>
      <w:r w:rsidRPr="00185238">
        <w:t> Raw tokens were text-normalized (lowercased, punctuation stripped, Unicode equivalents resolved) and filtered against a centralized dictionary (</w:t>
      </w:r>
      <w:r w:rsidRPr="00185238">
        <w:rPr>
          <w:rStyle w:val="scriptnameChar"/>
        </w:rPr>
        <w:t>taxon_mapping_config.json</w:t>
      </w:r>
      <w:r w:rsidRPr="00185238">
        <w:t> via </w:t>
      </w:r>
      <w:r w:rsidRPr="00185238">
        <w:rPr>
          <w:rStyle w:val="scriptnameChar"/>
        </w:rPr>
        <w:t>taxon_mapping.py</w:t>
      </w:r>
      <w:r w:rsidRPr="00185238">
        <w:t>) that categorized nulls (e.g., "unknown", "sp."), generic non-taxon phrases (e.g., "mycorrhizal fungi", "host plants"), and off-target outgroups (e.g., bacteria, oomycetes) which were explicitly excluded from alignment.</w:t>
      </w:r>
    </w:p>
    <w:p w14:paraId="2B809F95" w14:textId="77777777" w:rsidR="00AE5E89" w:rsidRDefault="00185238" w:rsidP="00185238">
      <w:pPr>
        <w:pStyle w:val="BodyText"/>
        <w:numPr>
          <w:ilvl w:val="0"/>
          <w:numId w:val="4"/>
        </w:numPr>
      </w:pPr>
      <w:r w:rsidRPr="00AE5E89">
        <w:rPr>
          <w:b/>
          <w:bCs/>
        </w:rPr>
        <w:t>Alias Mapping:</w:t>
      </w:r>
      <w:r>
        <w:t xml:space="preserve"> Known idiosyncratic abbreviations or historically problematic names from the endophyte literature were overridden securely using predefined alias-to-canonical dictionaries before API submission.</w:t>
      </w:r>
    </w:p>
    <w:p w14:paraId="1ED6CAEB" w14:textId="77777777" w:rsidR="00AE5E89" w:rsidRDefault="00185238" w:rsidP="00AE5E89">
      <w:pPr>
        <w:pStyle w:val="BodyText"/>
        <w:numPr>
          <w:ilvl w:val="0"/>
          <w:numId w:val="4"/>
        </w:numPr>
      </w:pPr>
      <w:r w:rsidRPr="00AE5E89">
        <w:rPr>
          <w:b/>
          <w:bCs/>
        </w:rPr>
        <w:t>GBIF Querying:</w:t>
      </w:r>
      <w:r>
        <w:t xml:space="preserve"> The normalized names were queried against the GBIF backbone. The pipeline matched accepted canonical names, resolved objective synonyms to their currently accepted equivalent, and accepted fuzzy matches only if they met a high-confidence threshold on exact rank alignments.</w:t>
      </w:r>
    </w:p>
    <w:p w14:paraId="1DCB47AC" w14:textId="0B1AD129" w:rsidR="00185238" w:rsidRPr="00185238" w:rsidRDefault="00185238" w:rsidP="00AE5E89">
      <w:pPr>
        <w:pStyle w:val="BodyText"/>
        <w:numPr>
          <w:ilvl w:val="0"/>
          <w:numId w:val="4"/>
        </w:numPr>
      </w:pPr>
      <w:r w:rsidRPr="00185238">
        <w:rPr>
          <w:b/>
          <w:bCs/>
        </w:rPr>
        <w:t>Taxonomic Backfilling:</w:t>
      </w:r>
      <w:r w:rsidRPr="00185238">
        <w:t> For successfully resolved taxa, the script populated higher taxonomic ranks (Kingdom, Phylum, Class, Order, Family, Genus), allowing us to map research effort across missing or historically fractured branches of the Tree of Life.</w:t>
      </w:r>
    </w:p>
    <w:p w14:paraId="0E2F13FA" w14:textId="417EAB82" w:rsidR="00185238" w:rsidRPr="005B162E" w:rsidRDefault="00185238" w:rsidP="00185238">
      <w:pPr>
        <w:pStyle w:val="BodyText"/>
      </w:pPr>
      <w:r w:rsidRPr="00185238">
        <w:t>Any remaining names that failed automated resolution (e.g., highly ambiguous novel operational taxonomic units or poorly digitized culture names) were flagged in the pipeline outputs and subsequently underwent manual review.</w:t>
      </w:r>
    </w:p>
    <w:p w14:paraId="25561D30" w14:textId="77777777" w:rsidR="009F4D6D" w:rsidRDefault="00F10295">
      <w:pPr>
        <w:pStyle w:val="Heading4"/>
      </w:pPr>
      <w:bookmarkStart w:id="19" w:name="metadata-extraction-and-standardization"/>
      <w:bookmarkEnd w:id="18"/>
      <w:r>
        <w:t>3. Metadata Extraction and Standardization</w:t>
      </w:r>
    </w:p>
    <w:p w14:paraId="25561D31" w14:textId="743BB5FD" w:rsidR="009F4D6D" w:rsidRDefault="00156E7C">
      <w:pPr>
        <w:pStyle w:val="FirstParagraph"/>
      </w:pPr>
      <w:r w:rsidRPr="00156E7C">
        <w:t>Following data extraction, all metadata fields underwent systematic normalization to prepare the dataset for quantitative synthesis. The main Python script (</w:t>
      </w:r>
      <w:r w:rsidRPr="00645F90">
        <w:rPr>
          <w:rStyle w:val="scriptnameChar"/>
        </w:rPr>
        <w:t>01_standardize_metadata.py</w:t>
      </w:r>
      <w:r w:rsidRPr="00156E7C">
        <w:t>) first normalized extracted string values (e.g., lowercasing, stripping punctuation, resolving unicode limits) and mapped idiosyncratic ecological terminology to standardized categories. For instance, diverse plant anatomical terms (e.g., "culm", "shoot", "xylem") were algorithmically mapped to parent tissue categories (e.g., "stem"), and fine-scale habitat descriptors were binned into a structured vocabulary of primary terrestrial biomes (e.g., translating "farmland"</w:t>
      </w:r>
      <w:r w:rsidR="00B04577">
        <w:t xml:space="preserve"> and </w:t>
      </w:r>
      <w:r w:rsidRPr="00156E7C">
        <w:t>"orchard" to "agriculture"). The script also implemented aggressive rule-sets to remove technical extraction artifacts and null responses (e.g., "not specified in text", "n/a").</w:t>
      </w:r>
    </w:p>
    <w:p w14:paraId="1E6D17E2" w14:textId="386C67B0" w:rsidR="00156E7C" w:rsidRDefault="00645F90" w:rsidP="00156E7C">
      <w:pPr>
        <w:pStyle w:val="BodyText"/>
      </w:pPr>
      <w:r w:rsidRPr="00645F90">
        <w:t>To control for temporal trends in research effort, each record was cross-referenced to extract the original publication year (</w:t>
      </w:r>
      <w:r w:rsidRPr="00B04577">
        <w:rPr>
          <w:rStyle w:val="scriptnameChar"/>
        </w:rPr>
        <w:t>01a_enrich_publication_year.py</w:t>
      </w:r>
      <w:r w:rsidRPr="00645F90">
        <w:t xml:space="preserve">). The dataset </w:t>
      </w:r>
      <w:r w:rsidRPr="00645F90">
        <w:lastRenderedPageBreak/>
        <w:t>was then aggressively filtered (</w:t>
      </w:r>
      <w:r w:rsidRPr="00B04577">
        <w:rPr>
          <w:rStyle w:val="scriptnameChar"/>
        </w:rPr>
        <w:t>02_dataset_filtering.py</w:t>
      </w:r>
      <w:r w:rsidRPr="00645F90">
        <w:t>) to drop irresolvable records or studies confirmed to fall outside the scope of the synthesis (e.g., non-target interactions involving bacteria or non-plant hosts).</w:t>
      </w:r>
    </w:p>
    <w:p w14:paraId="6C112206" w14:textId="0C088C87" w:rsidR="00645F90" w:rsidRDefault="00645F90" w:rsidP="00156E7C">
      <w:pPr>
        <w:pStyle w:val="BodyText"/>
      </w:pPr>
      <w:r w:rsidRPr="00645F90">
        <w:t>Geographic standardization was implemented natively in R to interface with shapefile databases (</w:t>
      </w:r>
      <w:r w:rsidRPr="00B04577">
        <w:rPr>
          <w:rStyle w:val="scriptnameChar"/>
        </w:rPr>
        <w:t>03_geographic_standardizing.R</w:t>
      </w:r>
      <w:r w:rsidRPr="00645F90">
        <w:t>). A centralized utility mapping nearly 1,000 spelling variants and regional aliases was applied to harmonize country names into standardized ISO 3166-1 alpha-3 codes</w:t>
      </w:r>
      <w:r w:rsidR="00571278">
        <w:t xml:space="preserve"> </w:t>
      </w:r>
      <w:r w:rsidRPr="00645F90">
        <w:t>(</w:t>
      </w:r>
      <w:r w:rsidRPr="00B04577">
        <w:rPr>
          <w:rStyle w:val="scriptnameChar"/>
        </w:rPr>
        <w:t>country_mapping.R</w:t>
      </w:r>
      <w:r w:rsidR="00571278">
        <w:rPr>
          <w:rStyle w:val="scriptnameChar"/>
        </w:rPr>
        <w:t xml:space="preserve"> </w:t>
      </w:r>
      <w:r w:rsidRPr="00571278">
        <w:t>and</w:t>
      </w:r>
      <w:r w:rsidR="00571278">
        <w:rPr>
          <w:rStyle w:val="scriptnameChar"/>
        </w:rPr>
        <w:t xml:space="preserve"> </w:t>
      </w:r>
      <w:r w:rsidRPr="00B04577">
        <w:rPr>
          <w:rStyle w:val="scriptnameChar"/>
        </w:rPr>
        <w:t>country_mapping.py</w:t>
      </w:r>
      <w:r w:rsidRPr="00645F90">
        <w:t>)</w:t>
      </w:r>
      <w:r w:rsidR="00571278">
        <w:t xml:space="preserve"> </w:t>
      </w:r>
      <w:r w:rsidR="00571278">
        <w:fldChar w:fldCharType="begin"/>
      </w:r>
      <w:r w:rsidR="00AB2456">
        <w:instrText xml:space="preserve"> ADDIN ZOTERO_ITEM CSL_CITATION {"citationID":"QF7HvhIo","properties":{"unsorted":false,"formattedCitation":"({\\i{}Codes for the representation of names of countries and their subdivisions \\uc0\\u8212{} Part 1: Country codes}, 2020)","plainCitation":"(Codes for the representation of names of countries and their subdivisions — Part 1: Country codes, 2020)","noteIndex":0},"citationItems":[{"id":46585,"uris":["http://zotero.org/users/6275788/items/44YLWXSU"],"itemData":{"id":46585,"type":"report","genre":"Standard","number":"ISO 3166-1:2020","publisher":"International Organization for Standardization","publisher-place":"Geneva, Switzerland","title":"Codes for the representation of names of countries and their subdivisions — Part 1: Country codes","URL":"https://www.iso.org/iso-3166-country-codes.html","issued":{"date-parts":[["2020"]]}}}],"schema":"https://github.com/citation-style-language/schema/raw/master/csl-citation.json"} </w:instrText>
      </w:r>
      <w:r w:rsidR="00571278">
        <w:fldChar w:fldCharType="separate"/>
      </w:r>
      <w:r w:rsidR="00425F6B" w:rsidRPr="00425F6B">
        <w:rPr>
          <w:rFonts w:ascii="Aptos" w:hAnsi="Aptos" w:cs="Times New Roman"/>
        </w:rPr>
        <w:t>(</w:t>
      </w:r>
      <w:r w:rsidR="00425F6B" w:rsidRPr="00425F6B">
        <w:rPr>
          <w:rFonts w:ascii="Aptos" w:hAnsi="Aptos" w:cs="Times New Roman"/>
          <w:i/>
          <w:iCs/>
        </w:rPr>
        <w:t>Codes for the representation of names of countries and their subdivisions — Part 1: Country codes</w:t>
      </w:r>
      <w:r w:rsidR="00425F6B" w:rsidRPr="00425F6B">
        <w:rPr>
          <w:rFonts w:ascii="Aptos" w:hAnsi="Aptos" w:cs="Times New Roman"/>
        </w:rPr>
        <w:t>, 2020)</w:t>
      </w:r>
      <w:r w:rsidR="00571278">
        <w:fldChar w:fldCharType="end"/>
      </w:r>
      <w:r w:rsidRPr="00645F90">
        <w:t>. The pipeline explicitly stripped broad regional descriptors that lacked country-level resolution (e.g., "Middle East", "Tropics", "South America"). To ensure geospatial consistency, disputed territories and overseas dependencies were programmatically assigned to their parent or administrative ISO codes where appropriate using</w:t>
      </w:r>
      <w:r w:rsidR="00571278">
        <w:t xml:space="preserve"> </w:t>
      </w:r>
      <w:r w:rsidRPr="00571278">
        <w:rPr>
          <w:rStyle w:val="scriptnameChar"/>
        </w:rPr>
        <w:t>disputed_territory_parent_iso.R</w:t>
      </w:r>
      <w:r w:rsidR="00571278">
        <w:rPr>
          <w:rStyle w:val="scriptnameChar"/>
        </w:rPr>
        <w:t xml:space="preserve"> </w:t>
      </w:r>
      <w:r w:rsidRPr="00645F90">
        <w:t>(e.g., assigning records from French Guiana to France for socio-economic linking).</w:t>
      </w:r>
    </w:p>
    <w:p w14:paraId="26AC8F87" w14:textId="2B0E18F4" w:rsidR="00645F90" w:rsidRPr="00156E7C" w:rsidRDefault="00645F90" w:rsidP="00156E7C">
      <w:pPr>
        <w:pStyle w:val="BodyText"/>
      </w:pPr>
      <w:r w:rsidRPr="00645F90">
        <w:t>Finally, we utilized </w:t>
      </w:r>
      <w:r w:rsidRPr="00571278">
        <w:rPr>
          <w:rStyle w:val="scriptnameChar"/>
        </w:rPr>
        <w:t>04_country_enrichment.R</w:t>
      </w:r>
      <w:r w:rsidRPr="00645F90">
        <w:t> to bind coordinate centroids (latitude and longitude) and relevant macroeconomic metrics to each harmonized ISO code. Gross Domestic Product (GDP) values for the year 2024 were sourced</w:t>
      </w:r>
      <w:r w:rsidR="00173FDB">
        <w:t xml:space="preserve"> from the World Bank</w:t>
      </w:r>
      <w:r w:rsidRPr="00645F90">
        <w:t xml:space="preserve"> to map the relationship between national economic capacity and research effort</w:t>
      </w:r>
      <w:r w:rsidR="00DC26FC">
        <w:t xml:space="preserve"> </w:t>
      </w:r>
      <w:r w:rsidR="00DC26FC">
        <w:fldChar w:fldCharType="begin"/>
      </w:r>
      <w:r w:rsidR="00DC26FC">
        <w:instrText xml:space="preserve"> ADDIN ZOTERO_ITEM CSL_CITATION {"citationID":"7CUUHvz3","properties":{"unsorted":false,"formattedCitation":"(World Bank, 2024)","plainCitation":"(World Bank, 2024)","noteIndex":0},"citationItems":[{"id":46586,"uris":["http://zotero.org/users/6275788/items/J5Y8PGQP"],"itemData":{"id":46586,"type":"document","note":"Published: World Development Indicators","title":"GDP (current US$)","URL":"https://data.worldbank.org/indicator/NY.GDP.MKTP.CD","author":[{"literal":"World Bank"}],"accessed":{"date-parts":[["2024",5,19]]},"issued":{"date-parts":[["2024"]]}}}],"schema":"https://github.com/citation-style-language/schema/raw/master/csl-citation.json"} </w:instrText>
      </w:r>
      <w:r w:rsidR="00DC26FC">
        <w:fldChar w:fldCharType="separate"/>
      </w:r>
      <w:r w:rsidR="00425F6B" w:rsidRPr="00425F6B">
        <w:rPr>
          <w:rFonts w:ascii="Aptos" w:hAnsi="Aptos"/>
        </w:rPr>
        <w:t>(World Bank, 2024)</w:t>
      </w:r>
      <w:r w:rsidR="00DC26FC">
        <w:fldChar w:fldCharType="end"/>
      </w:r>
      <w:r w:rsidRPr="00645F90">
        <w:t>. Final pipeline checkpoints</w:t>
      </w:r>
      <w:r w:rsidR="00EE4DEA">
        <w:t xml:space="preserve"> </w:t>
      </w:r>
      <w:r w:rsidRPr="00645F90">
        <w:t>(</w:t>
      </w:r>
      <w:r w:rsidRPr="00D47763">
        <w:rPr>
          <w:rStyle w:val="scriptnameChar"/>
        </w:rPr>
        <w:t>05_dataset_summary.py</w:t>
      </w:r>
      <w:r w:rsidR="00EE4DEA">
        <w:t xml:space="preserve"> </w:t>
      </w:r>
      <w:r w:rsidRPr="00645F90">
        <w:t>and</w:t>
      </w:r>
      <w:r w:rsidR="00EE4DEA">
        <w:t xml:space="preserve"> </w:t>
      </w:r>
      <w:r w:rsidRPr="00D47763">
        <w:rPr>
          <w:rStyle w:val="scriptnameChar"/>
        </w:rPr>
        <w:t>06_preanalysis_check.py</w:t>
      </w:r>
      <w:r w:rsidRPr="00645F90">
        <w:t>)</w:t>
      </w:r>
      <w:r w:rsidR="00EE4DEA">
        <w:t xml:space="preserve"> </w:t>
      </w:r>
      <w:r w:rsidRPr="00645F90">
        <w:t>were run to assert dataset integrity by validating column requirements and tabulating final sample sizes prior to core statistical analyses.</w:t>
      </w:r>
    </w:p>
    <w:p w14:paraId="25561D32" w14:textId="77777777" w:rsidR="009F4D6D" w:rsidRDefault="00F10295">
      <w:pPr>
        <w:pStyle w:val="Heading4"/>
      </w:pPr>
      <w:bookmarkStart w:id="20" w:name="X4f3b483905f028c43522c7b13f20e281931be30"/>
      <w:bookmarkEnd w:id="19"/>
      <w:r>
        <w:t>4. Relationship and Bias Classification Rules</w:t>
      </w:r>
    </w:p>
    <w:p w14:paraId="7D1B1D5C" w14:textId="5FB0A319" w:rsidR="009E6E28" w:rsidRPr="009E6E28" w:rsidRDefault="009E6E28" w:rsidP="009E6E28">
      <w:pPr>
        <w:pStyle w:val="BodyText"/>
      </w:pPr>
      <w:r w:rsidRPr="009E6E28">
        <w:t>To assess potential biases in the functional or applied focus of the field, we classified the reported ecological relationship between each fungus-host pair. Initial classifications were performed during the Large Language Model (LLM) data extraction phase. The model was prompted to infer the </w:t>
      </w:r>
      <w:r w:rsidR="00C64C04">
        <w:t>primary guild</w:t>
      </w:r>
      <w:r w:rsidRPr="009E6E28">
        <w:t> of the</w:t>
      </w:r>
      <w:r w:rsidR="00C64C04">
        <w:t xml:space="preserve"> fungus</w:t>
      </w:r>
      <w:r w:rsidRPr="009E6E28">
        <w:t xml:space="preserve"> based on the context of the abstract or full-text, selecting from a constrained list (Endophytic, Pathogenic, Mutualistic, Saprotrophic, Mycorrhizal, or Unknown).</w:t>
      </w:r>
    </w:p>
    <w:p w14:paraId="144248A9" w14:textId="77777777" w:rsidR="009E6E28" w:rsidRDefault="009E6E28" w:rsidP="009E6E28">
      <w:pPr>
        <w:pStyle w:val="BodyText"/>
      </w:pPr>
      <w:r w:rsidRPr="009E6E28">
        <w:t>Because LLM outputs still exhibited idiosyncratic phrasing across tens of thousands of records, we implemented a deterministic normalization dictionary in </w:t>
      </w:r>
      <w:r w:rsidRPr="009E6E28">
        <w:rPr>
          <w:rStyle w:val="scriptnameChar"/>
        </w:rPr>
        <w:t>01_standardize_metadata.py</w:t>
      </w:r>
      <w:r w:rsidRPr="009E6E28">
        <w:t>. This script mapped raw terminology variants to a standardized set of core functional guilds:</w:t>
      </w:r>
    </w:p>
    <w:p w14:paraId="76852AE8" w14:textId="77777777" w:rsidR="00C64C04" w:rsidRDefault="00C64C04" w:rsidP="00C64C04">
      <w:pPr>
        <w:pStyle w:val="BodyText"/>
        <w:numPr>
          <w:ilvl w:val="0"/>
          <w:numId w:val="3"/>
        </w:numPr>
      </w:pPr>
      <w:r>
        <w:t>Pathogen: Mapped from terms like "phytopathogen", "pathogenic",</w:t>
      </w:r>
      <w:commentRangeStart w:id="21"/>
      <w:r>
        <w:t xml:space="preserve"> etc.</w:t>
      </w:r>
      <w:commentRangeEnd w:id="21"/>
      <w:r w:rsidR="00DB0E0E">
        <w:rPr>
          <w:rStyle w:val="CommentReference"/>
          <w:sz w:val="24"/>
          <w:szCs w:val="24"/>
        </w:rPr>
        <w:commentReference w:id="21"/>
      </w:r>
    </w:p>
    <w:p w14:paraId="6DCBF253" w14:textId="77777777" w:rsidR="00C64C04" w:rsidRDefault="00C64C04" w:rsidP="00C64C04">
      <w:pPr>
        <w:pStyle w:val="BodyText"/>
        <w:numPr>
          <w:ilvl w:val="0"/>
          <w:numId w:val="3"/>
        </w:numPr>
      </w:pPr>
      <w:r>
        <w:t>Endophyte: Mapped from "endophyte", "endophytic", "latent fungus", etc.</w:t>
      </w:r>
    </w:p>
    <w:p w14:paraId="441C57A8" w14:textId="77777777" w:rsidR="00C64C04" w:rsidRDefault="00C64C04" w:rsidP="00C64C04">
      <w:pPr>
        <w:pStyle w:val="BodyText"/>
        <w:numPr>
          <w:ilvl w:val="0"/>
          <w:numId w:val="3"/>
        </w:numPr>
      </w:pPr>
      <w:r>
        <w:t>Mycorrhiza: Mapped from "mycorrhizal", "ectomycorrhiza", etc.</w:t>
      </w:r>
    </w:p>
    <w:p w14:paraId="0E5BAB77" w14:textId="77777777" w:rsidR="00C64C04" w:rsidRDefault="00C64C04" w:rsidP="00C64C04">
      <w:pPr>
        <w:pStyle w:val="BodyText"/>
        <w:numPr>
          <w:ilvl w:val="0"/>
          <w:numId w:val="3"/>
        </w:numPr>
      </w:pPr>
      <w:r>
        <w:t>Biocontrol/PGPR: Applied contexts mapped from terms like "biological control agent", "antagonist", "nematophagous", "plant growth promoting", etc.</w:t>
      </w:r>
    </w:p>
    <w:p w14:paraId="6DCDA921" w14:textId="77777777" w:rsidR="00C64C04" w:rsidRDefault="00C64C04" w:rsidP="00C64C04">
      <w:pPr>
        <w:pStyle w:val="BodyText"/>
        <w:numPr>
          <w:ilvl w:val="0"/>
          <w:numId w:val="3"/>
        </w:numPr>
      </w:pPr>
      <w:r>
        <w:lastRenderedPageBreak/>
        <w:t xml:space="preserve">Mutualist/Symbiont: </w:t>
      </w:r>
      <w:commentRangeStart w:id="22"/>
      <w:r>
        <w:t>Mapped from generic beneficial synonyms lacking further specificity.</w:t>
      </w:r>
      <w:commentRangeEnd w:id="22"/>
      <w:r w:rsidR="004A2A52">
        <w:rPr>
          <w:rStyle w:val="CommentReference"/>
          <w:sz w:val="24"/>
          <w:szCs w:val="24"/>
        </w:rPr>
        <w:commentReference w:id="22"/>
      </w:r>
    </w:p>
    <w:p w14:paraId="05DE39F9" w14:textId="77777777" w:rsidR="00C64C04" w:rsidRDefault="00C64C04" w:rsidP="00C64C04">
      <w:pPr>
        <w:pStyle w:val="BodyText"/>
        <w:numPr>
          <w:ilvl w:val="0"/>
          <w:numId w:val="3"/>
        </w:numPr>
      </w:pPr>
      <w:r>
        <w:t>Saprotroph: Mapped from "saprobic", "decomposer", etc.</w:t>
      </w:r>
    </w:p>
    <w:p w14:paraId="0BD58CBC" w14:textId="5E0C3A57" w:rsidR="009E6E28" w:rsidRPr="009E6E28" w:rsidRDefault="00C64C04" w:rsidP="009E6E28">
      <w:pPr>
        <w:pStyle w:val="BodyText"/>
      </w:pPr>
      <w:r w:rsidRPr="00C64C04">
        <w:t>After standardization, we deployed </w:t>
      </w:r>
      <w:r w:rsidRPr="0076134B">
        <w:rPr>
          <w:rStyle w:val="scriptnameChar"/>
        </w:rPr>
        <w:t>07_relationship_type_summary.R</w:t>
      </w:r>
      <w:r w:rsidRPr="00C64C04">
        <w:t> to compute aggregate counts of these interaction types by study, country, and year. To determine whether the global evidence base is disproportionately skewed toward applied economics (e.g., disease mitigation or crop yields) rather than fundamental ecology, we cross-referenced these functional guilds against fungal taxonomy and geographic metadata using </w:t>
      </w:r>
      <w:r w:rsidRPr="0076134B">
        <w:rPr>
          <w:rStyle w:val="scriptnameChar"/>
        </w:rPr>
        <w:t>04_interaction_bias.R </w:t>
      </w:r>
      <w:r w:rsidRPr="00C64C04">
        <w:t>and </w:t>
      </w:r>
      <w:r w:rsidRPr="0076134B">
        <w:rPr>
          <w:rStyle w:val="scriptnameChar"/>
        </w:rPr>
        <w:t>03_fungal_taxonomic_bias.py</w:t>
      </w:r>
      <w:r w:rsidRPr="00C64C04">
        <w:t>. This allowed us to report the relative weighting of pathogenic, biocontrol, and endophytic interactions across the corpus.</w:t>
      </w:r>
    </w:p>
    <w:p w14:paraId="25561D34" w14:textId="77777777" w:rsidR="009F4D6D" w:rsidRDefault="00F10295">
      <w:pPr>
        <w:pStyle w:val="Heading4"/>
      </w:pPr>
      <w:bookmarkStart w:id="23" w:name="biodiversity-priority-overlap-analysis"/>
      <w:bookmarkEnd w:id="20"/>
      <w:r>
        <w:t>5. Biodiversity Priority Overlap Analysis</w:t>
      </w:r>
    </w:p>
    <w:p w14:paraId="1C410499" w14:textId="23B88DF8" w:rsidR="002C614C" w:rsidRDefault="003C2D71" w:rsidP="002C614C">
      <w:pPr>
        <w:pStyle w:val="BodyText"/>
      </w:pPr>
      <w:r w:rsidRPr="003C2D71">
        <w:t>To evaluate whether sampling efforts in fungal endophyte research spatially align with global conservation needs, we intersected geographic study frequencies with established national biodiversity priority metrics. Data on endemic species richness and threatened species probabilities were aggregated natively from World Bank and integrated International Union for Conservation of Nature (IUCN) indicator datasets</w:t>
      </w:r>
      <w:r w:rsidR="00EC3D4E">
        <w:t xml:space="preserve"> </w:t>
      </w:r>
      <w:r w:rsidR="00EC3D4E">
        <w:fldChar w:fldCharType="begin"/>
      </w:r>
      <w:r w:rsidR="00AB2456">
        <w:instrText xml:space="preserve"> ADDIN ZOTERO_ITEM CSL_CITATION {"citationID":"70Q04cbm","properties":{"unsorted":false,"formattedCitation":"(Ooms, 2024; International Union for Conservation of Nature (IUCN), 2026; World Bank, 2026)","plainCitation":"(Ooms, 2024; International Union for Conservation of Nature (IUCN), 2026; World Bank, 2026)","noteIndex":0},"citationItems":[{"id":46590,"uris":["http://zotero.org/users/6275788/items/M6VCH7QJ"],"itemData":{"id":46590,"type":"document","note":"version: Version 2026-1","title":"The IUCN Red List of Threatened Species","URL":"https://www.iucnredlist.org","author":[{"literal":"International Union for Conservation of Nature (IUCN)"}],"issued":{"date-parts":[["2026"]]}}},{"id":46591,"uris":["http://zotero.org/users/6275788/items/MKJY287Y"],"itemData":{"id":46591,"type":"book","title":"jsonlite: A Robust, High-Performance JSON Parser and Generator for R","URL":"https://r-project.org","author":[{"family":"Ooms","given":"Jeroen"}],"issued":{"date-parts":[["2024"]]}}},{"id":46588,"uris":["http://zotero.org/users/6275788/items/JYKA6I98"],"itemData":{"id":46588,"type":"document","title":"World Bank Open Data: GDP (Current US$)","URL":"https://data.worldbank.org","author":[{"literal":"World Bank"}],"issued":{"date-parts":[["2026"]]}}}],"schema":"https://github.com/citation-style-language/schema/raw/master/csl-citation.json"} </w:instrText>
      </w:r>
      <w:r w:rsidR="00EC3D4E">
        <w:fldChar w:fldCharType="separate"/>
      </w:r>
      <w:r w:rsidR="00425F6B" w:rsidRPr="00425F6B">
        <w:rPr>
          <w:rFonts w:ascii="Aptos" w:hAnsi="Aptos"/>
        </w:rPr>
        <w:t>(Ooms, 2024; International Union for Conservation of Nature (IUCN), 2026; World Bank, 2026)</w:t>
      </w:r>
      <w:r w:rsidR="00EC3D4E">
        <w:fldChar w:fldCharType="end"/>
      </w:r>
      <w:r w:rsidRPr="003C2D71">
        <w:t>. Rather than relying on binary hotspot delineations, we utilized continuous numeric predictors to provide higher statistical sensitivity during modeling.</w:t>
      </w:r>
    </w:p>
    <w:p w14:paraId="05D9CDA6" w14:textId="2862C34D" w:rsidR="003C2D71" w:rsidRPr="002C614C" w:rsidRDefault="003C2D71" w:rsidP="002C614C">
      <w:pPr>
        <w:pStyle w:val="BodyText"/>
      </w:pPr>
      <w:r w:rsidRPr="003C2D71">
        <w:t>The initial intersections and spatial overlaps were generated using an R pipeline (08_biodiversity_priority_overlap.R), which cross-referenced national study counts against priority indicators while explicitly normalizing for national land area. To statistically validate the relationship between global study effort and actual biodiversity value, we utilized a dedicated Python toolkit (</w:t>
      </w:r>
      <w:r w:rsidRPr="00CC1C62">
        <w:rPr>
          <w:rStyle w:val="scriptnameChar"/>
        </w:rPr>
        <w:t>09_biodiversity_priority_robustness.py</w:t>
      </w:r>
      <w:r w:rsidRPr="003C2D71">
        <w:t>) to systematically test for sampling unevenness. These validation steps included Spearman rank correlations comparing baseline study counts against priority metrics, as well as Kruskal-Wallis tests to assess the variance of study distribution across distinct biodiversity quartiles. Furthermore, we conducted chi-square tests of independence to determine whether a country's status as understudied diverged significantly from its expected status as a high-priority biodiversity zone. Finally, sensitivity analyses utilizing varied quantile thresholds, regional subsampling by continent, and direct correlations against Gross Domestic Product (GDP) were employed to disentangle whether observed geographical research biases are driven primarily by actual biodiversity density or by underlying regional economic disparities.</w:t>
      </w:r>
    </w:p>
    <w:p w14:paraId="25561D36" w14:textId="77777777" w:rsidR="009F4D6D" w:rsidRDefault="00F10295">
      <w:pPr>
        <w:pStyle w:val="Heading4"/>
      </w:pPr>
      <w:bookmarkStart w:id="24" w:name="X840a80a4ad89bdbb4b94edb1b75c2e14f4a3f50"/>
      <w:bookmarkEnd w:id="23"/>
      <w:r>
        <w:t>6. Ubiquity Claim Detection and Full-Text Screening</w:t>
      </w:r>
    </w:p>
    <w:p w14:paraId="721514B0" w14:textId="6CD0393B" w:rsidR="00255CDF" w:rsidRDefault="00255CDF" w:rsidP="00255CDF">
      <w:pPr>
        <w:pStyle w:val="BodyText"/>
      </w:pPr>
      <w:r w:rsidRPr="00255CDF">
        <w:t xml:space="preserve">To systematically evaluate the prevalence of the assertion that fungal endophytes are "ubiquitous" or universally distributed across all plant species, we conducted an automated text-mining analysis utilizing </w:t>
      </w:r>
      <w:r>
        <w:t xml:space="preserve">a </w:t>
      </w:r>
      <w:r w:rsidRPr="00255CDF">
        <w:t>Large Language Model</w:t>
      </w:r>
      <w:r>
        <w:t>, Mistral 7</w:t>
      </w:r>
      <w:r w:rsidR="00832A63">
        <w:t>B</w:t>
      </w:r>
      <w:r>
        <w:t xml:space="preserve"> </w:t>
      </w:r>
      <w:r>
        <w:fldChar w:fldCharType="begin"/>
      </w:r>
      <w:r w:rsidR="00AB2456">
        <w:instrText xml:space="preserve"> ADDIN ZOTERO_ITEM CSL_CITATION {"citationID":"6Mso7eZi","properties":{"unsorted":false,"formattedCitation":"(Jiang {\\i{}et al.}, 2023)","plainCitation":"(Jiang et al., 2023)","noteIndex":0},"citationItems":[{"id":46584,"uris":["http://zotero.org/users/6275788/items/M66DHV3E"],"itemData":{"id":46584,"type":"document","note":"_eprint: 2310.06825","title":"Mistral 7B","author":[{"family":"Jiang","given":"Albert Q."},{"family":"Sablayrolles","given":"Alexandre"},{"family":"Mensch","given":"Arthur"},{"family":"Bamford","given":"Chris"},{"family":"Chaplot","given":"Devendra Singh"},{"family":"Casas","given":"Diego de Las"},{"family":"Bressand","given":"Florian"},{"family":"Lengyel","given":"Gianna"},{"family":"Lample","given":"Guillaume"},{"family":"Saulnier","given":"Lucile"},{"family":"Lavaud","given":"Lélio"},{"family":"Lachaux","given":"Marie-Anne"},{"family":"Stock","given":"Pierre"},{"family":"Scao","given":"Thibaut"},{"family":"Lavril","given":"Thomas"},{"family":"Lacroix","given":"Timothée"},{"family":"Sayed","given":"William El"}],"issued":{"date-parts":[["2023"]]}}}],"schema":"https://github.com/citation-style-language/schema/raw/master/csl-citation.json"} </w:instrText>
      </w:r>
      <w:r>
        <w:fldChar w:fldCharType="separate"/>
      </w:r>
      <w:r w:rsidR="00425F6B" w:rsidRPr="00425F6B">
        <w:rPr>
          <w:rFonts w:ascii="Aptos" w:hAnsi="Aptos" w:cs="Times New Roman"/>
        </w:rPr>
        <w:t xml:space="preserve">(Jiang </w:t>
      </w:r>
      <w:r w:rsidR="00425F6B" w:rsidRPr="00425F6B">
        <w:rPr>
          <w:rFonts w:ascii="Aptos" w:hAnsi="Aptos" w:cs="Times New Roman"/>
          <w:i/>
          <w:iCs/>
        </w:rPr>
        <w:t>et al.</w:t>
      </w:r>
      <w:r w:rsidR="00425F6B" w:rsidRPr="00425F6B">
        <w:rPr>
          <w:rFonts w:ascii="Aptos" w:hAnsi="Aptos" w:cs="Times New Roman"/>
        </w:rPr>
        <w:t xml:space="preserve">, </w:t>
      </w:r>
      <w:r w:rsidR="00425F6B" w:rsidRPr="00425F6B">
        <w:rPr>
          <w:rFonts w:ascii="Aptos" w:hAnsi="Aptos" w:cs="Times New Roman"/>
        </w:rPr>
        <w:lastRenderedPageBreak/>
        <w:t>2023)</w:t>
      </w:r>
      <w:r>
        <w:fldChar w:fldCharType="end"/>
      </w:r>
      <w:r w:rsidRPr="00255CDF">
        <w:t>. The corpus for this step consisted of full-text documents (PDF, TXT, and Markdown formats) alongside parsed abstracts. Full-text PDFs were scraped using a custom Python pipeline (</w:t>
      </w:r>
      <w:r w:rsidRPr="00832A63">
        <w:rPr>
          <w:rStyle w:val="scriptnameChar"/>
        </w:rPr>
        <w:t>06_detect_ubiquity_claims_ollama.py</w:t>
      </w:r>
      <w:r w:rsidRPr="00255CDF">
        <w:t>), which compressed whitespace and extracted up to the first 8,000 characters of each document. This length threshold successfully captured the title, abstract, and introductory paragraphs, which is where foundational background claims regarding global distribution are</w:t>
      </w:r>
      <w:r w:rsidR="00832A63">
        <w:t xml:space="preserve"> typically</w:t>
      </w:r>
      <w:r w:rsidRPr="00255CDF">
        <w:t xml:space="preserve"> located.</w:t>
      </w:r>
    </w:p>
    <w:p w14:paraId="74FFF3BE" w14:textId="0878F622" w:rsidR="00255CDF" w:rsidRDefault="00255CDF" w:rsidP="00255CDF">
      <w:pPr>
        <w:pStyle w:val="BodyText"/>
      </w:pPr>
      <w:r w:rsidRPr="00255CDF">
        <w:t>Due to the computational intensity of scanning thousands of full-text documents, inference was executed on the Northern Arizona University Monsoon high-performance computing cluster. The task was subdivided into discrete parallel shards (</w:t>
      </w:r>
      <w:r w:rsidRPr="00D057AE">
        <w:rPr>
          <w:rStyle w:val="scriptnameChar"/>
        </w:rPr>
        <w:t>submit_ubiquity_shards.sh</w:t>
      </w:r>
      <w:r w:rsidRPr="00255CDF">
        <w:t xml:space="preserve">) and managed via SLURM job scheduling </w:t>
      </w:r>
      <w:r w:rsidRPr="00D057AE">
        <w:rPr>
          <w:rStyle w:val="scriptnameChar"/>
        </w:rPr>
        <w:t>(run_06_ubiquity_claims_ollama.sbatch</w:t>
      </w:r>
      <w:r w:rsidRPr="00255CDF">
        <w:t>), querying a local, GPU-accelerated Ollama server to ensure secure and rapid processing without external API limits.</w:t>
      </w:r>
    </w:p>
    <w:p w14:paraId="540B71FA" w14:textId="70ABB6BD" w:rsidR="00255CDF" w:rsidRPr="00255CDF" w:rsidRDefault="00255CDF" w:rsidP="00255CDF">
      <w:pPr>
        <w:pStyle w:val="BodyText"/>
      </w:pPr>
      <w:r w:rsidRPr="00255CDF">
        <w:t>The LLM was prompted to act as an information extraction model for scientific literature, with explicit instructions to determine whether the provided text contained a claim that fungal endophytes are "ubiquitous, near-universal, or found in nearly all plants." To guarantee programmatic reproducibility, the model was constrained to output responses in a strict JSON format. The required schema encoded a boolean classification flag, an evaluation of the claim's strength (explicit, qualified, or none), the taxonomic scope of the claim, the model's confidence score, and the exact extracted evidence sentences. Furthermore, the model was instructed to extract the specific citations attached to these claims, allowing us to trace the root literature underpinning the ubiquity paradigm. Following inference, the independent output shards were aggregated via a dedicated merge protocol (</w:t>
      </w:r>
      <w:r w:rsidRPr="002843C6">
        <w:rPr>
          <w:rStyle w:val="scriptnameChar"/>
        </w:rPr>
        <w:t>merge_ubiquity_shards.py</w:t>
      </w:r>
      <w:r w:rsidRPr="00255CDF">
        <w:t>)</w:t>
      </w:r>
      <w:r w:rsidR="005F767C" w:rsidRPr="005F767C">
        <w:t xml:space="preserve"> to produce the final categorical dataset utilized in the manuscript's discussion.</w:t>
      </w:r>
    </w:p>
    <w:p w14:paraId="25561D38" w14:textId="6121BBF0" w:rsidR="009F4D6D" w:rsidRDefault="00F10295">
      <w:pPr>
        <w:pStyle w:val="Heading4"/>
      </w:pPr>
      <w:bookmarkStart w:id="25" w:name="validation-and-sensitivity-checks"/>
      <w:bookmarkEnd w:id="24"/>
      <w:r>
        <w:t xml:space="preserve">7. Validation </w:t>
      </w:r>
    </w:p>
    <w:p w14:paraId="3B30464F" w14:textId="35AE9372" w:rsidR="00CF6E0E" w:rsidRPr="00456732" w:rsidRDefault="00CF6E0E" w:rsidP="00CF6E0E">
      <w:pPr>
        <w:pStyle w:val="BodyText"/>
      </w:pPr>
      <w:r w:rsidRPr="00CF6E0E">
        <w:t>To ensure the trustworthiness of our automated pipeline, we implemented a structured validation approach covering data parsing, taxonomic resolution, and downstream spatial analytics. Prior to statistical modeling, the dataset was strictly filtered using</w:t>
      </w:r>
      <w:r w:rsidRPr="008F1956">
        <w:rPr>
          <w:rStyle w:val="scriptnameChar"/>
        </w:rPr>
        <w:t> 02_dataset_filtering.py</w:t>
      </w:r>
      <w:r w:rsidRPr="00CF6E0E">
        <w:t xml:space="preserve">, which systematically removed irrelevant interactions, non-target ecological guilds, and unsupported phylogenetic lineages. The integrity of this filtered dataset was subsequently verified using a dedicated QA audit </w:t>
      </w:r>
      <w:r w:rsidRPr="008F1956">
        <w:rPr>
          <w:rStyle w:val="scriptnameChar"/>
        </w:rPr>
        <w:t>(06_preanalysis_check.py)</w:t>
      </w:r>
      <w:r w:rsidRPr="00CF6E0E">
        <w:t xml:space="preserve"> to confirm the successful capture of valid geographic and interaction pairings. During the taxonomic</w:t>
      </w:r>
      <w:r w:rsidR="008F1956">
        <w:t xml:space="preserve"> </w:t>
      </w:r>
      <w:r w:rsidR="008F1956" w:rsidRPr="008F1956">
        <w:t>normalization phase, any organism string that the computational backbones could not reliably match to a known, valid lineage was exported as an independent audit file. These ambiguous taxonomic entries underwent qualitative human-in-the-loop review to resolve orthographic errors and actively prevent language model hallucinations from entering the baseline taxonomy. The sanitized datasets were subsequently analyzed in</w:t>
      </w:r>
      <w:r w:rsidR="008F1956" w:rsidRPr="008F1956">
        <w:rPr>
          <w:rStyle w:val="scriptnameChar"/>
        </w:rPr>
        <w:t> 02_taxonomy.R</w:t>
      </w:r>
      <w:r w:rsidR="008F1956" w:rsidRPr="008F1956">
        <w:t>, while entirely unstudied and understudied host lineages were explicitly isolated and quantified using </w:t>
      </w:r>
      <w:r w:rsidR="008F1956" w:rsidRPr="008F1956">
        <w:rPr>
          <w:rStyle w:val="scriptnameChar"/>
        </w:rPr>
        <w:t>03_identify_understudied_taxa.R.</w:t>
      </w:r>
    </w:p>
    <w:p w14:paraId="25561D3A" w14:textId="77777777" w:rsidR="009F4D6D" w:rsidRDefault="00F10295" w:rsidP="00C9416C">
      <w:pPr>
        <w:pStyle w:val="subsubhead"/>
      </w:pPr>
      <w:bookmarkStart w:id="26" w:name="figure-generation-and-presentation"/>
      <w:bookmarkEnd w:id="25"/>
      <w:r>
        <w:lastRenderedPageBreak/>
        <w:t>8. Figure Generation and Presentation</w:t>
      </w:r>
    </w:p>
    <w:p w14:paraId="25561D3B" w14:textId="43D4ED99" w:rsidR="009F4D6D" w:rsidRDefault="00563FB6">
      <w:pPr>
        <w:pStyle w:val="FirstParagraph"/>
      </w:pPr>
      <w:r w:rsidRPr="00563FB6">
        <w:t>All statistical data visualizations and geographic projections were generated natively within the R programming environment utilizing the ggplot2 </w:t>
      </w:r>
      <w:r w:rsidR="00AB5231">
        <w:t>package</w:t>
      </w:r>
      <w:r w:rsidRPr="00563FB6">
        <w:t xml:space="preserve"> </w:t>
      </w:r>
      <w:r w:rsidR="00AB5231">
        <w:fldChar w:fldCharType="begin"/>
      </w:r>
      <w:r w:rsidR="00AB5231">
        <w:instrText xml:space="preserve"> ADDIN ZOTERO_ITEM CSL_CITATION {"citationID":"q7PRhZXR","properties":{"unsorted":false,"formattedCitation":"(Wickham, 2016)","plainCitation":"(Wickham, 2016)","noteIndex":0},"citationItems":[{"id":43945,"uris":["http://zotero.org/users/6275788/items/TLB6XEMB"],"itemData":{"id":43945,"type":"book","collection-title":"Use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 </w:instrText>
      </w:r>
      <w:r w:rsidR="00AB5231">
        <w:fldChar w:fldCharType="separate"/>
      </w:r>
      <w:r w:rsidR="00425F6B" w:rsidRPr="00425F6B">
        <w:rPr>
          <w:rFonts w:ascii="Aptos" w:hAnsi="Aptos"/>
        </w:rPr>
        <w:t>(Wickham, 2016)</w:t>
      </w:r>
      <w:r w:rsidR="00AB5231">
        <w:fldChar w:fldCharType="end"/>
      </w:r>
      <w:r w:rsidRPr="00563FB6">
        <w:t>. To construct the global study-density maps, national boundary multipolygons were sourced programmatically using rnaturalearth and sf (simple features), and spatial layers were projected to visualize cumulative geographic sampling efforts (</w:t>
      </w:r>
      <w:r w:rsidRPr="008A57FC">
        <w:rPr>
          <w:rStyle w:val="scriptnameChar"/>
        </w:rPr>
        <w:t>geographic_plotting.R</w:t>
      </w:r>
      <w:r w:rsidRPr="00563FB6">
        <w:t>)</w:t>
      </w:r>
      <w:r w:rsidR="00E37FA8">
        <w:t xml:space="preserve"> </w:t>
      </w:r>
      <w:r w:rsidR="008A57FC">
        <w:fldChar w:fldCharType="begin"/>
      </w:r>
      <w:r w:rsidR="00425F6B">
        <w:instrText xml:space="preserve"> ADDIN ZOTERO_ITEM CSL_CITATION {"citationID":"q53ITHOj","properties":{"unsorted":false,"formattedCitation":"(Pebesma, 2018; Massicotte &amp; South, 2026)","plainCitation":"(Pebesma, 2018; Massicotte &amp; South, 2026)","noteIndex":0},"citationItems":[{"id":46593,"uris":["http://zotero.org/users/6275788/items/MP6VF3GY"],"itemData":{"id":46593,"type":"book","title":"rnaturalearth: World Map Data from Natural Earth","URL":"https://github.com/ropensci/rnaturalearth","author":[{"family":"Massicotte","given":"Philippe"},{"family":"South","given":"Andy"}],"issued":{"date-parts":[["2026"]]}}},{"id":46595,"uris":["http://zotero.org/users/6275788/items/ZMN5PQJP"],"itemData":{"id":46595,"type":"article-journal","container-title":"The R Journal","DOI":"10.32614/RJ-2018-009","issue":"1","page":"439–446","title":"Simple Features for R: Standardized Support for Spatial Vector Data","volume":"10","author":[{"family":"Pebesma","given":"Edzer"}],"issued":{"date-parts":[["2018"]]}}}],"schema":"https://github.com/citation-style-language/schema/raw/master/csl-citation.json"} </w:instrText>
      </w:r>
      <w:r w:rsidR="008A57FC">
        <w:fldChar w:fldCharType="separate"/>
      </w:r>
      <w:r w:rsidR="00425F6B" w:rsidRPr="00425F6B">
        <w:rPr>
          <w:rFonts w:ascii="Aptos" w:hAnsi="Aptos"/>
        </w:rPr>
        <w:t>(Pebesma, 2018; Massicotte &amp; South, 2026)</w:t>
      </w:r>
      <w:r w:rsidR="008A57FC">
        <w:fldChar w:fldCharType="end"/>
      </w:r>
      <w:r w:rsidRPr="00563FB6">
        <w:t>. To accommodate the extreme positive right-skew inherent to publication densities (i.e., a small number of countries host the vast majority of studies), study counts were log10-transformed prior to mapping. Visualizations for taxonomic saturation (</w:t>
      </w:r>
      <w:r w:rsidRPr="00E37FA8">
        <w:rPr>
          <w:rStyle w:val="scriptnameChar"/>
        </w:rPr>
        <w:t>taxonomy_representation.R</w:t>
      </w:r>
      <w:r w:rsidRPr="00563FB6">
        <w:t>) and ecological relationship frequencies</w:t>
      </w:r>
      <w:r w:rsidR="006111DD">
        <w:t xml:space="preserve"> </w:t>
      </w:r>
      <w:r w:rsidR="006111DD" w:rsidRPr="00463FD4">
        <w:rPr>
          <w:rStyle w:val="scriptnameChar"/>
        </w:rPr>
        <w:t>(relationship_type_plots.R)</w:t>
      </w:r>
      <w:r w:rsidR="006111DD" w:rsidRPr="006111DD">
        <w:t xml:space="preserve"> were primarily generated as percentage-coverage bar charts, temporal trend-lines, and cross-tabulation heatmaps (tidyr, reshape2)</w:t>
      </w:r>
      <w:r w:rsidR="00463FD4">
        <w:fldChar w:fldCharType="begin"/>
      </w:r>
      <w:r w:rsidR="00425F6B">
        <w:instrText xml:space="preserve"> ADDIN ZOTERO_ITEM CSL_CITATION {"citationID":"RtDIehh5","properties":{"unsorted":false,"formattedCitation":"(Wickham, 2007; Wickham {\\i{}et al.}, 2014)","plainCitation":"(Wickham, 2007; Wickham et al., 2014)","noteIndex":0},"citationItems":[{"id":46596,"uris":["http://zotero.org/users/6275788/items/A6Z2TC6L"],"itemData":{"id":46596,"type":"article-journal","container-title":"Journal of Statistical Software","issue":"12","page":"1–20","title":"Reshaping Data with the reshape Package","volume":"21","author":[{"family":"Wickham","given":"Hadley"}],"issued":{"date-parts":[["2007"]]}}},{"id":43948,"uris":["http://zotero.org/users/6275788/items/HR2UILC3"],"itemData":{"id":43948,"type":"dataset","abstract":"Tools to help to create tidy data, where each column is a variable, each row is an observation, and each cell contains a single value.  'tidyr' contains tools for changing the shape (pivoting) and hierarchy (nesting and 'unnesting') of a dataset, turning deeply nested lists into rectangular data frames ('rectangling'), and extracting values out of string columns. It also includes tools for working with missing values (both implicit and explicit).","DOI":"10.32614/CRAN.package.tidyr","language":"en","note":"Institution: Comprehensive R Archive Network\npage: 1.3.1","source":"DOI.org (Crossref)","title":"tidyr: Tidy Messy Data","title-short":"tidyr","URL":"https://CRAN.R-project.org/package=tidyr","author":[{"family":"Wickham","given":"Hadley"},{"family":"Vaughan","given":"Davis"},{"family":"Girlich","given":"Maximilian"}],"accessed":{"date-parts":[["2025",2,6]]},"issued":{"date-parts":[["2014",7,21]]}}}],"schema":"https://github.com/citation-style-language/schema/raw/master/csl-citation.json"} </w:instrText>
      </w:r>
      <w:r w:rsidR="00463FD4">
        <w:fldChar w:fldCharType="separate"/>
      </w:r>
      <w:r w:rsidR="00425F6B" w:rsidRPr="00425F6B">
        <w:rPr>
          <w:rFonts w:ascii="Aptos" w:hAnsi="Aptos" w:cs="Times New Roman"/>
        </w:rPr>
        <w:t xml:space="preserve">(Wickham, 2007; Wickham </w:t>
      </w:r>
      <w:r w:rsidR="00425F6B" w:rsidRPr="00425F6B">
        <w:rPr>
          <w:rFonts w:ascii="Aptos" w:hAnsi="Aptos" w:cs="Times New Roman"/>
          <w:i/>
          <w:iCs/>
        </w:rPr>
        <w:t>et al.</w:t>
      </w:r>
      <w:r w:rsidR="00425F6B" w:rsidRPr="00425F6B">
        <w:rPr>
          <w:rFonts w:ascii="Aptos" w:hAnsi="Aptos" w:cs="Times New Roman"/>
        </w:rPr>
        <w:t>, 2014)</w:t>
      </w:r>
      <w:r w:rsidR="00463FD4">
        <w:fldChar w:fldCharType="end"/>
      </w:r>
      <w:r w:rsidR="006111DD" w:rsidRPr="006111DD">
        <w:t>. To ensure accessibility and strict aesthetic consistency across the entirety of the manuscript, a custom stylistic and typographic configuration (</w:t>
      </w:r>
      <w:r w:rsidR="006111DD" w:rsidRPr="009B77EC">
        <w:rPr>
          <w:rStyle w:val="scriptnameChar"/>
        </w:rPr>
        <w:t>theme_utils.R</w:t>
      </w:r>
      <w:r w:rsidR="006111DD" w:rsidRPr="006111DD">
        <w:t>) was sourced globally by all plotting scripts. All categorical visualizations strictly utilized a high-contrast, colorblind-safe color palette (inspired by the Okabe-Ito spectrum), while spatial maps adopted sequential, color-scaled gradients to accurately model data density variances without perceptual artifacts</w:t>
      </w:r>
      <w:r w:rsidR="00F44696">
        <w:t xml:space="preserve"> </w:t>
      </w:r>
      <w:r w:rsidR="00F44696">
        <w:fldChar w:fldCharType="begin"/>
      </w:r>
      <w:r w:rsidR="00425F6B">
        <w:instrText xml:space="preserve"> ADDIN ZOTERO_ITEM CSL_CITATION {"citationID":"ZQV1ZTuM","properties":{"unsorted":false,"formattedCitation":"(Okabe &amp; Ito, 2008)","plainCitation":"(Okabe &amp; Ito, 2008)","noteIndex":0},"citationItems":[{"id":46597,"uris":["http://zotero.org/users/6275788/items/T8VDM4SJ"],"itemData":{"id":46597,"type":"document","title":"Color Universal Design (CUD): How to make figures and presentations that are friendly to colorblind people","URL":"https://jfly.uni-koeln.de/color/","author":[{"family":"Okabe","given":"Masataka"},{"family":"Ito","given":"Kei"}],"issued":{"date-parts":[["2008"]]}}}],"schema":"https://github.com/citation-style-language/schema/raw/master/csl-citation.json"} </w:instrText>
      </w:r>
      <w:r w:rsidR="00F44696">
        <w:fldChar w:fldCharType="separate"/>
      </w:r>
      <w:r w:rsidR="00425F6B" w:rsidRPr="00425F6B">
        <w:rPr>
          <w:rFonts w:ascii="Aptos" w:hAnsi="Aptos"/>
        </w:rPr>
        <w:t>(Okabe &amp; Ito, 2008)</w:t>
      </w:r>
      <w:r w:rsidR="00F44696">
        <w:fldChar w:fldCharType="end"/>
      </w:r>
      <w:r w:rsidR="006111DD" w:rsidRPr="006111DD">
        <w:t>.</w:t>
      </w:r>
    </w:p>
    <w:p w14:paraId="39824246" w14:textId="4AE47045" w:rsidR="005F10B3" w:rsidRDefault="005F10B3" w:rsidP="008A6862">
      <w:pPr>
        <w:pStyle w:val="subsubhead"/>
      </w:pPr>
      <w:r w:rsidRPr="00C9416C">
        <w:t>9. Reproducibility</w:t>
      </w:r>
    </w:p>
    <w:p w14:paraId="12D81008" w14:textId="31FAC142" w:rsidR="002061DA" w:rsidRDefault="002061DA" w:rsidP="002061DA">
      <w:r>
        <w:t>The computational pipeline was partitioned into local and high-performance computing (HPC) workflows based on hardware demands.</w:t>
      </w:r>
    </w:p>
    <w:p w14:paraId="344AFB89" w14:textId="766C5238" w:rsidR="002061DA" w:rsidRPr="0024411D" w:rsidRDefault="002061DA" w:rsidP="002061DA">
      <w:r w:rsidRPr="008A6862">
        <w:rPr>
          <w:b/>
          <w:bCs/>
        </w:rPr>
        <w:t>Local Processing:</w:t>
      </w:r>
      <w:r>
        <w:t xml:space="preserve"> Lightweight computational processes, such as the initial bibliometric dataset cleanup (</w:t>
      </w:r>
      <w:r w:rsidRPr="008A6862">
        <w:rPr>
          <w:rStyle w:val="scriptnameChar"/>
        </w:rPr>
        <w:t>01_csv_cleanup.py</w:t>
      </w:r>
      <w:r>
        <w:t>), metadata standardization (</w:t>
      </w:r>
      <w:r w:rsidRPr="008A6862">
        <w:rPr>
          <w:rStyle w:val="scriptnameChar"/>
        </w:rPr>
        <w:t>01_standardize_metadata.py</w:t>
      </w:r>
      <w:r>
        <w:t>), taxonomic harmonization (</w:t>
      </w:r>
      <w:r w:rsidRPr="008A6862">
        <w:rPr>
          <w:rStyle w:val="scriptnameChar"/>
        </w:rPr>
        <w:t>taxa_synonym_resolution.py</w:t>
      </w:r>
      <w:r>
        <w:t xml:space="preserve">), and aggregate summary statistics, were processed locally. This local pipeline phase included the execution of all spatial mapping and aesthetic plotting routines (e.g., </w:t>
      </w:r>
      <w:r w:rsidRPr="008A6862">
        <w:rPr>
          <w:rStyle w:val="scriptnameChar"/>
        </w:rPr>
        <w:t>geographic_plotting.R, biome_plots.R</w:t>
      </w:r>
      <w:r>
        <w:t>), as</w:t>
      </w:r>
      <w:r w:rsidR="008A6862">
        <w:t xml:space="preserve"> </w:t>
      </w:r>
      <w:r w:rsidR="008A6862" w:rsidRPr="008A6862">
        <w:t>well as the polynomial regression modeling used to analyze global Gross Domestic Product (GDP) and latitudinal trends (</w:t>
      </w:r>
      <w:r w:rsidR="008A6862" w:rsidRPr="008A6862">
        <w:rPr>
          <w:rStyle w:val="scriptnameChar"/>
        </w:rPr>
        <w:t>01_country_gdp_latitude_analysis.R</w:t>
      </w:r>
      <w:r w:rsidR="008A6862" w:rsidRPr="008A6862">
        <w:t>).</w:t>
      </w:r>
    </w:p>
    <w:p w14:paraId="1BB972DA" w14:textId="3EC56357" w:rsidR="005F10B3" w:rsidRPr="005F10B3" w:rsidRDefault="008A6862" w:rsidP="005F10B3">
      <w:pPr>
        <w:pStyle w:val="BodyText"/>
      </w:pPr>
      <w:r w:rsidRPr="008A6862">
        <w:rPr>
          <w:b/>
          <w:bCs/>
        </w:rPr>
        <w:t>High-Performance Computing (Monsoon):</w:t>
      </w:r>
      <w:r w:rsidRPr="008A6862">
        <w:t> The computationally intensive Natural Language Processing (NLP) components of the study, specifically the foundational extraction of metadata (</w:t>
      </w:r>
      <w:r w:rsidRPr="008A6862">
        <w:rPr>
          <w:rStyle w:val="scriptnameChar"/>
        </w:rPr>
        <w:t>monsoon_extract.py</w:t>
      </w:r>
      <w:r w:rsidRPr="008A6862">
        <w:t>) and the subsequent detection of global ubiquity claims (</w:t>
      </w:r>
      <w:r w:rsidRPr="008A6862">
        <w:rPr>
          <w:rStyle w:val="scriptnameChar"/>
        </w:rPr>
        <w:t>06_detect_ubiquity_claims_ollama.py</w:t>
      </w:r>
      <w:r w:rsidRPr="008A6862">
        <w:t xml:space="preserve">), were executed on Northern Arizona University's Monsoon HPC cluster. These text-mining analyses leveraged a self-hosted Large Language Model (Ollama; </w:t>
      </w:r>
      <w:r w:rsidR="00692942">
        <w:t>Mistral 7B</w:t>
      </w:r>
      <w:r w:rsidRPr="008A6862">
        <w:t>) and were parallelized across sharded dataset chunks utilizing SLURM job scheduling arrays</w:t>
      </w:r>
      <w:r>
        <w:t xml:space="preserve"> </w:t>
      </w:r>
      <w:r w:rsidRPr="008A6862">
        <w:t>(e.g.,</w:t>
      </w:r>
      <w:r>
        <w:t xml:space="preserve"> </w:t>
      </w:r>
      <w:r w:rsidRPr="008A6862">
        <w:rPr>
          <w:rStyle w:val="scriptnameChar"/>
        </w:rPr>
        <w:t>run_06_ubiquity_claims_ollama.sbatch</w:t>
      </w:r>
      <w:r w:rsidRPr="008A6862">
        <w:t>).</w:t>
      </w:r>
      <w:r>
        <w:t xml:space="preserve"> </w:t>
      </w:r>
      <w:r w:rsidRPr="008A6862">
        <w:t>To guarantee secure and continuous processing without external API throttling, individual SLURM tasks were provisioned with 1 node, 4 CPUs, 16 GB of memory, and 1 GPU.</w:t>
      </w:r>
      <w:r>
        <w:t xml:space="preserve"> </w:t>
      </w:r>
      <w:r w:rsidRPr="008A6862">
        <w:t>This hardware configuration ensured robust throughput for iterating over the final corpus of 18,750 abstracts and 3,068 full texts</w:t>
      </w:r>
      <w:r w:rsidR="0002156E">
        <w:t>.</w:t>
      </w:r>
    </w:p>
    <w:p w14:paraId="25561D3C" w14:textId="77777777" w:rsidR="009F4D6D" w:rsidRDefault="00F10295">
      <w:pPr>
        <w:pStyle w:val="Heading2"/>
      </w:pPr>
      <w:bookmarkStart w:id="27" w:name="results"/>
      <w:bookmarkEnd w:id="5"/>
      <w:bookmarkEnd w:id="14"/>
      <w:bookmarkEnd w:id="26"/>
      <w:r>
        <w:lastRenderedPageBreak/>
        <w:t>Results</w:t>
      </w:r>
    </w:p>
    <w:p w14:paraId="25561D3D" w14:textId="77777777" w:rsidR="009F4D6D" w:rsidRDefault="00F10295">
      <w:pPr>
        <w:pStyle w:val="Heading3"/>
      </w:pPr>
      <w:bookmarkStart w:id="28" w:name="Xce4a125c006b46a097d63f171ebf5d62496dca8"/>
      <w:r>
        <w:t>Prediction U: The Evidence Base for Evaluating Endophyte Ubiquity</w:t>
      </w:r>
    </w:p>
    <w:p w14:paraId="25B48A64" w14:textId="0F031153" w:rsidR="00B8482A" w:rsidRPr="00356E8E" w:rsidRDefault="00A62257" w:rsidP="00356E8E">
      <w:pPr>
        <w:pStyle w:val="BodyText"/>
      </w:pPr>
      <w:r w:rsidRPr="00A62257">
        <w:t>To evaluate the prevalence of the ubiquity claim, the available texts of the initial screening corpus (n = 21,891) were screened. The large language model</w:t>
      </w:r>
      <w:r w:rsidR="00D65B02">
        <w:t xml:space="preserve"> (LLM)</w:t>
      </w:r>
      <w:r w:rsidRPr="00A62257">
        <w:t xml:space="preserve"> pipeline successfully identified 586 positive ubiquity claims, representing 2.7% of this broader corpus. These results comprised 334 explicit statements and 252 qualified ones.</w:t>
      </w:r>
      <w:commentRangeStart w:id="29"/>
      <w:commentRangeStart w:id="30"/>
      <w:commentRangeStart w:id="31"/>
      <w:r w:rsidRPr="00A62257">
        <w:t xml:space="preserve"> </w:t>
      </w:r>
      <w:r w:rsidR="006D0AFF" w:rsidRPr="006D0AFF">
        <w:t>The natural language processing model proved highly reliable, producing an average internal confidence score of 0.91 (scale 0</w:t>
      </w:r>
      <w:r w:rsidR="00A70A1A">
        <w:t>-</w:t>
      </w:r>
      <w:r w:rsidR="006D0AFF" w:rsidRPr="006D0AFF">
        <w:t>1). Crucially, nearly half (49.1%) of the identified ubiquity claims lacked exact keyword matches (e.g., 'ubiquitous', 'cosmopolitan', 'all plants'). Because the model evaluated semantic context rather than relying on simple keyword detection, it successfully captured implicit ecological assumptions that traditional string-matching programs would have missed.</w:t>
      </w:r>
      <w:r w:rsidR="006D0AFF">
        <w:t xml:space="preserve"> </w:t>
      </w:r>
      <w:commentRangeEnd w:id="29"/>
      <w:r w:rsidR="00F5597B" w:rsidRPr="00A62257">
        <w:rPr>
          <w:rStyle w:val="CommentReference"/>
          <w:sz w:val="24"/>
          <w:szCs w:val="24"/>
        </w:rPr>
        <w:commentReference w:id="29"/>
      </w:r>
      <w:commentRangeEnd w:id="30"/>
      <w:r w:rsidR="00512A4F" w:rsidRPr="00A62257">
        <w:rPr>
          <w:rStyle w:val="CommentReference"/>
          <w:sz w:val="24"/>
          <w:szCs w:val="24"/>
        </w:rPr>
        <w:commentReference w:id="30"/>
      </w:r>
      <w:commentRangeEnd w:id="31"/>
      <w:r w:rsidR="00CA2079" w:rsidRPr="00A62257">
        <w:rPr>
          <w:rStyle w:val="CommentReference"/>
          <w:sz w:val="24"/>
          <w:szCs w:val="24"/>
        </w:rPr>
        <w:commentReference w:id="31"/>
      </w:r>
      <w:r w:rsidRPr="00A62257">
        <w:t xml:space="preserve">Furthermore, an evaluation of the taxonomic claim scope revealed that 545 of the 586 claims (93.0%) were constructed as broad generalized maxims covering all fungal endophytes universally, with fewer than 7% qualifying ubiquity specifically to an isolated fungal clade. This finding supports the assumption outlined in Prediction U, demonstrating that while the ubiquity claim is a recurring theme across the literature, the globally aggregated evidence base is heavily constrained. </w:t>
      </w:r>
      <w:commentRangeStart w:id="32"/>
      <w:commentRangeStart w:id="33"/>
      <w:r w:rsidRPr="00A62257">
        <w:t>Analysis of the final corpus (n = 18,750) reveal</w:t>
      </w:r>
      <w:r w:rsidR="006A0E24">
        <w:t>ed</w:t>
      </w:r>
      <w:r w:rsidRPr="00A62257">
        <w:t xml:space="preserve"> that full texts were accessible for only 3,068 records (16.4%), with the remaining 15,682 records analyzed at the abstract level. The following results present the audit of this evidence base, structured to test the remaining predictions regarding sampling bias</w:t>
      </w:r>
      <w:r>
        <w:t>.</w:t>
      </w:r>
      <w:commentRangeEnd w:id="32"/>
      <w:r w:rsidR="003D2C92" w:rsidRPr="00356E8E">
        <w:rPr>
          <w:rStyle w:val="CommentReference"/>
          <w:sz w:val="24"/>
          <w:szCs w:val="24"/>
        </w:rPr>
        <w:commentReference w:id="32"/>
      </w:r>
      <w:commentRangeEnd w:id="33"/>
      <w:r w:rsidR="004D55E8" w:rsidRPr="00356E8E">
        <w:rPr>
          <w:rStyle w:val="CommentReference"/>
          <w:sz w:val="24"/>
          <w:szCs w:val="24"/>
        </w:rPr>
        <w:commentReference w:id="33"/>
      </w:r>
    </w:p>
    <w:p w14:paraId="25561D3F" w14:textId="77777777" w:rsidR="009F4D6D" w:rsidRDefault="00F10295">
      <w:pPr>
        <w:pStyle w:val="Heading3"/>
      </w:pPr>
      <w:bookmarkStart w:id="34" w:name="Xe7644d5979d5790e215c4bebff18d80e7709816"/>
      <w:bookmarkEnd w:id="28"/>
      <w:r>
        <w:t>Prediction A: Research Effort is Geographically Clustered</w:t>
      </w:r>
    </w:p>
    <w:p w14:paraId="25561D40" w14:textId="15F57E34" w:rsidR="009F4D6D" w:rsidRDefault="00614A40">
      <w:pPr>
        <w:pStyle w:val="FirstParagraph"/>
      </w:pPr>
      <w:r w:rsidRPr="00614A40">
        <w:t xml:space="preserve">Supporting our </w:t>
      </w:r>
      <w:r w:rsidR="006F7508">
        <w:t>second</w:t>
      </w:r>
      <w:r w:rsidRPr="00614A40">
        <w:t xml:space="preserve"> prediction (Prediction A), we found that fungal endophyte research is strongly concentrated in a small number of countries (Figure 1). Of the 234 countries and territories analyzed, </w:t>
      </w:r>
      <w:r w:rsidR="00BC7A69">
        <w:t>1</w:t>
      </w:r>
      <w:r w:rsidR="00CF47C8">
        <w:t>3</w:t>
      </w:r>
      <w:r w:rsidR="00BC7A69">
        <w:t>3</w:t>
      </w:r>
      <w:r w:rsidRPr="00614A40">
        <w:t xml:space="preserve"> yielded fewer than five studies, classifying vast swaths of the globe as severely under-studied. The majority of research was concentrated in North America, Europe, and East Asia, leaving </w:t>
      </w:r>
      <w:r w:rsidR="00B412B3">
        <w:t>large</w:t>
      </w:r>
      <w:r w:rsidRPr="00614A40">
        <w:t xml:space="preserve"> regions of Africa, Central Asia, and South America with highly fragmented evidence of sampling.</w:t>
      </w:r>
    </w:p>
    <w:p w14:paraId="5ED75CE5" w14:textId="233708A1" w:rsidR="00AE2C3E" w:rsidRDefault="00B7579B" w:rsidP="00AE2C3E">
      <w:pPr>
        <w:pStyle w:val="FirstParagraph"/>
        <w:rPr>
          <w:b/>
          <w:bCs/>
        </w:rPr>
      </w:pPr>
      <w:bookmarkStart w:id="35" w:name="X363a090ab845c1cd9af1469b32eaca1a3883740"/>
      <w:bookmarkEnd w:id="34"/>
      <w:r>
        <w:rPr>
          <w:noProof/>
        </w:rPr>
        <w:lastRenderedPageBreak/>
        <w:drawing>
          <wp:inline distT="0" distB="0" distL="0" distR="0" wp14:anchorId="41825BF9" wp14:editId="5B33072F">
            <wp:extent cx="5943600" cy="3396615"/>
            <wp:effectExtent l="0" t="0" r="0" b="0"/>
            <wp:docPr id="1723203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2AF250DE" w14:textId="56062956" w:rsidR="00AE2C3E" w:rsidRDefault="00AE2C3E" w:rsidP="00AE2C3E">
      <w:pPr>
        <w:pStyle w:val="FirstParagraph"/>
      </w:pPr>
      <w:r>
        <w:rPr>
          <w:b/>
          <w:bCs/>
        </w:rPr>
        <w:t>Figure 1.</w:t>
      </w:r>
      <w:r>
        <w:t xml:space="preserve"> Global distribution of fungal endophyte research effort</w:t>
      </w:r>
      <w:r w:rsidR="00976671">
        <w:t>, Robinson projection</w:t>
      </w:r>
      <w:r>
        <w:t xml:space="preserve">. The map displays the number of studies per country based on a corpus of 18,750 publications. Of the 234 countries and territories analyzed, </w:t>
      </w:r>
      <w:r w:rsidR="00C31F81">
        <w:t>1</w:t>
      </w:r>
      <w:r w:rsidR="00CF47C8">
        <w:t>3</w:t>
      </w:r>
      <w:r w:rsidR="00C31F81">
        <w:t xml:space="preserve">3 have fewer than five recorded endophyte studies </w:t>
      </w:r>
      <w:r w:rsidR="00E5281E">
        <w:t>in our corpus</w:t>
      </w:r>
      <w:r>
        <w:t>. Research is heavily concentrated in North America, Europe, and East Asia, with large regions of Africa, Central Asia, and South America showing little to no research activity.</w:t>
      </w:r>
    </w:p>
    <w:p w14:paraId="25561D41" w14:textId="77777777" w:rsidR="009F4D6D" w:rsidRDefault="00F10295">
      <w:pPr>
        <w:pStyle w:val="Heading3"/>
      </w:pPr>
      <w:r>
        <w:t>Prediction B: Biome and Host Representation are Non-Random</w:t>
      </w:r>
    </w:p>
    <w:p w14:paraId="25561D42" w14:textId="04703B9A" w:rsidR="009F4D6D" w:rsidRDefault="00F10295">
      <w:pPr>
        <w:pStyle w:val="FirstParagraph"/>
      </w:pPr>
      <w:r>
        <w:t>Consistent with Prediction B, sampling effort was not only geographically clustered but also highly skewed across biomes and host taxa. Within and across countries, research was disproportionately focused on temperate forests and agricultural biomes, while biomes such as tropical and subtropical grasslands, savannas, and shrublands were under-sampled (Figure 2). This finding carries the caveat that biome-level information is often missing from abstracts, so our analysis likely underestimates the full extent of this bias.</w:t>
      </w:r>
    </w:p>
    <w:p w14:paraId="0D4B9990" w14:textId="60D5DD42" w:rsidR="00760974" w:rsidRDefault="0028066A" w:rsidP="00760974">
      <w:pPr>
        <w:pStyle w:val="BodyText"/>
      </w:pPr>
      <w:r>
        <w:rPr>
          <w:noProof/>
        </w:rPr>
        <w:lastRenderedPageBreak/>
        <w:drawing>
          <wp:inline distT="0" distB="0" distL="0" distR="0" wp14:anchorId="425AC796" wp14:editId="60AB4854">
            <wp:extent cx="5943600" cy="4322445"/>
            <wp:effectExtent l="0" t="0" r="0" b="0"/>
            <wp:docPr id="1752377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p>
    <w:p w14:paraId="2E8822F5" w14:textId="762A3BEB" w:rsidR="00760974" w:rsidRPr="00760974" w:rsidRDefault="00760974" w:rsidP="00760974">
      <w:pPr>
        <w:pStyle w:val="BodyText"/>
      </w:pPr>
      <w:r>
        <w:rPr>
          <w:b/>
          <w:bCs/>
        </w:rPr>
        <w:t>Figure 2.</w:t>
      </w:r>
      <w:r>
        <w:t xml:space="preserve"> Heatmap of study counts by biome and country</w:t>
      </w:r>
      <w:r w:rsidR="007156AF">
        <w:t>, displaying the top 10 categories of each</w:t>
      </w:r>
      <w:r>
        <w:t>. This figure reveals that research effort is not only geographically clustered but also heavily skewed toward certain biomes. Temperate forests and agricultural systems are overrepresented in the literature, while biomes such as tropical and subtropical grasslands, savannas, and shrublands are significantly underrepresented, even within well-studied countries.</w:t>
      </w:r>
    </w:p>
    <w:p w14:paraId="0F139E08" w14:textId="000746D8" w:rsidR="00C5156E" w:rsidRDefault="00F10295">
      <w:pPr>
        <w:pStyle w:val="BodyText"/>
      </w:pPr>
      <w:r>
        <w:t xml:space="preserve">Host taxonomic representation was similarly imbalanced (Figure </w:t>
      </w:r>
      <w:r w:rsidR="009F15C5">
        <w:t>3</w:t>
      </w:r>
      <w:r>
        <w:t xml:space="preserve">). A small number of plant families, notably </w:t>
      </w:r>
      <w:r>
        <w:rPr>
          <w:i/>
          <w:iCs/>
        </w:rPr>
        <w:t>Poaceae</w:t>
      </w:r>
      <w:r>
        <w:t xml:space="preserve"> and </w:t>
      </w:r>
      <w:r>
        <w:rPr>
          <w:i/>
          <w:iCs/>
        </w:rPr>
        <w:t>Fabaceae</w:t>
      </w:r>
      <w:r>
        <w:t xml:space="preserve">, have received the vast majority of research attention. </w:t>
      </w:r>
      <w:r w:rsidR="00D34264">
        <w:t>The</w:t>
      </w:r>
      <w:r>
        <w:t xml:space="preserve"> analysis, which standardized host taxonomy against the GBIF backbone</w:t>
      </w:r>
      <w:r w:rsidR="0086675E">
        <w:t xml:space="preserve"> </w:t>
      </w:r>
      <w:r w:rsidR="0086675E">
        <w:fldChar w:fldCharType="begin"/>
      </w:r>
      <w:r w:rsidR="0086675E">
        <w:instrText xml:space="preserve"> ADDIN ZOTERO_ITEM CSL_CITATION {"citationID":"qHuPbdnn","properties":{"unsorted":false,"formattedCitation":"(GBIF Secretariat, 2023)","plainCitation":"(GBIF Secretariat, 2023)","noteIndex":0},"citationItems":[{"id":45208,"uris":["http://zotero.org/users/6275788/items/VGXIXQC6"],"itemData":{"id":45208,"type":"dataset","abstract":"The GBIF Backbone Taxonomy is a single, synthetic management classification with the goal of covering all names GBIF is dealing with. It's the taxonomic backbone that allows GBIF to integrate name based information from different resources, no matter if these are occurrence datasets, species pages, names from nomenclators or external sources like EOL, Genbank or IUCN. This backbone allows taxonomic search, browse and reporting operations across all those resources in a consistent way and to provide means to crosswalk names from one source to another. It is updated regulary through an automated process in which the Catalogue of Life acts as a starting point also providing the complete higher classification above families. Additional scientific names only found in other authoritative nomenclatural and taxonomic datasets are then merged into the tree, thus extending the original catalogue and broadening the backbones name coverage. The GBIF Backbone taxonomy also includes identifiers for Operational Taxonomic Units (OTUs) drawn from the barcoding resources iBOL and UNITE. International Barcode of Life project (iBOL), Barcode Index Numbers (BINs). BINs are connected to a taxon name and its classification by taking into account all names applied to the BIN and picking names with at least 80% consensus. If there is no consensus of name at the species level, the selection process is repeated moving up the major Linnaean ranks until consensus is achieved. UNITE - Unified system for the DNA based fungal species, Species Hypotheses (SHs). SHs are connected to a taxon name and its classification based on the determination of the RefS (reference sequence) if present or the RepS (representative sequence). In the latter case, if there is no match in the UNITE taxonomy, the lowest rank with 100% consensus within the SH will be used. The GBIF Backbone Taxonomy is available for download at https://hosted-datasets.gbif.org/datasets/backbone/ in different formats together with an archive of all previous versions. The following 105 sources have been used to assemble the GBIF backbone with number of names given in brackets: Catalogue of Life Checklist - 4766428 namesInternational Barcode of Life project (iBOL) Barcode Index Numbers (BINs) - 635951 namesUNITE - Unified system for the DNA based fungal species linked to the classification - 611208 namesThe Paleobiology Database - 212054 namesWorld Register of Marine Species - 188857 namesThe Interim Register of Marine and Nonmarine Genera - 183894 namesThe World Checklist of Vascular Plants (WCVP) - 131891 namesGBIF Backbone Taxonomy - 114350 namesTAXREF - 109374 namesThe Leipzig catalogue of vascular plants - 75380 namesZooBank - 73549 namesIntegrated Taxonomic Information System (ITIS) - 68377 namesPlazi.org taxonomic treatments database - 61346 namesGenome Taxonomy Database r207 - 60545 namesInternational Plant Names Index - 52329 namesFauna Europaea - 45077 namesThe National Checklist of Taiwan (Catalogue of Life in Taiwan, TaiCoL) - 36193 namesDyntaxa. Svensk taxonomisk databas - 35892 namesThe Plant List with literature - 32692 namesUnited Kingdom Species Inventory (UKSI) - 29643 namesArtsnavnebasen - 29208 namesThe IUCN Red List of Threatened Species - 21221 namesAfromoths, online database of Afrotropical moth species (Lepidoptera) - 13961 namesBrazilian Flora 2020 project - Projeto Flora do Brasil 2020 - 13829 namesProkaryotic Nomenclature Up-to-Date (PNU) - 10079 namesChecklist Dutch Species Register - Nederlands Soortenregister - 8814 namesICTV Master Species List (MSL) - 7852 namesCockroach Species File - 6020 namesGRIN Taxonomy - 5882 namesTaxon list of fungi and fungal-like organisms from Germany compiled by the DGfM - 4570 namesCatalogue of Afrotropical Bees - 3623 namesCatalogue of Tenebrionidae (Coleoptera) of North America - 3327 namesChecklist of Beetles (Coleoptera) of Canada and Alaska. Second Edition. - 3312 namesSystema Dipterorum - 2850 namesCatalogue of the Pterophoroidea of the World - 2807 namesThe Clements Checklist - 2675 namesTaxon list of Hymenoptera from Germany compiled in the context of the GBOL project - 2496 namesIOC World Bird List, v13.2 - 2366 namesOfficial Lists and Indexes of Names in Zoology - 2310 namesNational checklist of all species occurring in Denmark - 1922 namesMyriatrix - 1876 namesDatabase of Vascular Plants of Canada (VASCAN) - 1822 namesTaxon list of vascular plants from Bavaria, Germany compiled in the context of the BFL project - 1771 namesOrthoptera Species File - 1742 namesA list of the terrestrial fungi, flora and fauna of Madeira and Selvagens archipelagos - 1602 namesAphid Species File - 1565 namesWorld Spider Catalog - 1561 namesTaxon list of Jurassic Pisces of the Tethys Palaeo-Environment compiled at the SNSB-JME - 1270 namesBackbone Family Classification Patch - 1143 namesGBIF Algae Classification - 1100 namesInternational Cichorieae Network (ICN): Cichorieae Portal - 975 namesPsocodea Species File - 803 namesNew Zealand Marine Macroalgae Species Checklist - 787 namesAnnotated checklist of endemic species from the Western Balkans - 754 namesTaxon list of animals with German names (worldwide) compiled at the SMNS - 503 namesCatalogue of the Alucitoidea of the World - 472 namesLygaeoidea Species File - 462 namesCatálogo de Plantas y Líquenes de Colombia - 422 namesGBIF Backbone Patch - 317 namesPhasmida Species File - 259 namesCortinariaceae fetched from the Index Fungorum API - 234 namesCoreoidea Species File - 233 namesGTDB supplement - 139 namesMantodea Species File - 119 namesEndemic species in Taiwan - 93 namesTaxon list of Araneae from Germany compiled in the context of the GBOL project - 88 namesSpecies of Hominidae - 78 namesTaxon list of Sternorrhyncha from Germany compiled in the context of the GBOL project - 77 namesTaxon list of mosses from Germany compiled in the context of the GBOL project - 75 namesMammal Species of the World - 73 namesPlecoptera Species File - 71 namesSpecies Fungorum Plus - 64 namesCatalogue of the type specimens of Cosmopterigidae (Lepidoptera: Gelechioidea) from research collections of the Zoological Institute, Russian Academy of Sciences - 47 namesSpecies named after famous people - 41 namesDermaptera Species File - 36 namesTaxon list of Trichoptera from Germany compiled in the context of the GBOL project - 34 namesTrue Fruit Flies (Diptera, Tephritidae) of the Afrotropical Region - 33 namesRange and Regularities in the Distribution of Earthworms of the Earthworms of the USSR Fauna. Perel, 1979 - 32 namesTaxon list of Diplura from Germany compiled in the context of the GBOL project - 30 namesLista de referencia de especies de aves de Colombia - 2022 - 24 namesTaxon list of Auchenorrhyncha from Germany compiled in the context of the GBOL project - 20 namesCatalogue of the type specimens of Polycestinae (Coleoptera: Buprestidae) from research collections of the Zoological Institute, Russian Academy of Sciences - 19 namesTaxon list of Thysanoptera from Germany compiled in the context of the GBOL project - 19 namesLista de especies de vertebrados registrados en jurisdicción del Departamento del Huila - 18 namesTaxon list of Microcoryphia (Archaeognatha) from Germany compiled in the context of the GBOL project - 15 namesCatalogue of the type specimens of Bufonidae and Megophryidae (Amphibia: Anura) from research collections of the Zoological Institute, Russian Academy of Sciences - 12 namesGrylloblattodea Species File - 11 namesColeorrhyncha Species File - 9 namesTaxon list of liverworts from Germany compiled in the context of the GBOL project - 9 namesEmbioptera Species File - 7 namesTaxon list of Pisces and Cyclostoma from Germany compiled in the context of the GBOL project - 6 namesTaxon list of Pteridophyta from Germany compiled in the context of the GBOL project - 6 namesTaxon list of Siphonaptera from Germany compiled in the context of the GBOL project - 5 namesThe Earthworms of the Fauna of Russia. Perel, 1997 - 5 namesTaxon list of Zygentoma from Germany compiled in the context of the GBOL project - 4 namesAsiloid Flies: new taxa of Diptera: Apioceridae, Asilidae, and Mydidae - 3 namesTaxon list of Protura from Germany compiled in the context of the GBOL project - 3 namesTaxon list of hornworts from Germany compiled in the context of the GBOL project - 2 namesChrysididae Species File - 1 namesTaxon list of Dermaptera from Germany compiled in the context of the GBOL project - 1 namesTaxon list of Diplopoda from Germany in the context of the GBOL project - 1 namesTaxon list of Orthoptera (Grashoppers) from Germany compiled at the SNSB - 1 namesTaxon list of Pscoptera from Germany compiled in the context of the GBOL project - 1 namesTaxon list of Pseudoscorpiones from Germany compiled in the context of the GBOL project - 1 namesTaxon list of Raphidioptera from Germany compiled in the context of the GBOL project - 1 names","DOI":"10.15468/39OMEI","language":"en","license":"Creative Commons Attribution 4.0 International","medium":"Dataset Checklist","publisher":"GBIF Secretariat","source":"DOI.org (Datacite)","title":"GBIF Backbone Taxonomy","URL":"https://www.gbif.org/dataset/d7dddbf4-2cf0-4f39-9b2a-bb099caae36c","author":[{"literal":"GBIF Secretariat"}],"accessed":{"date-parts":[["2023",8,28]]},"issued":{"date-parts":[["2023"]]}}}],"schema":"https://github.com/citation-style-language/schema/raw/master/csl-citation.json"} </w:instrText>
      </w:r>
      <w:r w:rsidR="0086675E">
        <w:fldChar w:fldCharType="separate"/>
      </w:r>
      <w:r w:rsidR="00425F6B" w:rsidRPr="00425F6B">
        <w:rPr>
          <w:rFonts w:ascii="Aptos" w:hAnsi="Aptos"/>
        </w:rPr>
        <w:t>(GBIF Secretariat, 2023)</w:t>
      </w:r>
      <w:r w:rsidR="0086675E">
        <w:fldChar w:fldCharType="end"/>
      </w:r>
      <w:r>
        <w:t xml:space="preserve">, revealed that numerous plant </w:t>
      </w:r>
      <w:r w:rsidR="005774DE">
        <w:t>phyla</w:t>
      </w:r>
      <w:r>
        <w:t xml:space="preserve"> and families have no recorded endophyte studies, representing major gaps in our knowledge of host-fungus interactions.</w:t>
      </w:r>
      <w:r w:rsidR="00CA1FCE">
        <w:t xml:space="preserve"> </w:t>
      </w:r>
      <w:r w:rsidR="00C5156E" w:rsidRPr="00C5156E">
        <w:t xml:space="preserve">A strong taxonomic bias is also evident in the choice of </w:t>
      </w:r>
      <w:r w:rsidR="00313494">
        <w:t xml:space="preserve">studied host </w:t>
      </w:r>
      <w:r w:rsidR="00C5156E" w:rsidRPr="00C5156E">
        <w:t xml:space="preserve">plants. The research landscape is dominated by a few economically important agricultural grass species. </w:t>
      </w:r>
      <w:r w:rsidR="00886979" w:rsidRPr="00886979">
        <w:t xml:space="preserve">The top four most-studied host plants, </w:t>
      </w:r>
      <w:r w:rsidR="00886979" w:rsidRPr="00886979">
        <w:rPr>
          <w:i/>
          <w:iCs/>
        </w:rPr>
        <w:t>Lolium arundinaceum</w:t>
      </w:r>
      <w:r w:rsidR="00886979" w:rsidRPr="00886979">
        <w:t xml:space="preserve"> (tall fescue), </w:t>
      </w:r>
      <w:r w:rsidR="00886979" w:rsidRPr="00886979">
        <w:rPr>
          <w:i/>
          <w:iCs/>
        </w:rPr>
        <w:t>Oryza sativa</w:t>
      </w:r>
      <w:r w:rsidR="00886979" w:rsidRPr="00886979">
        <w:t xml:space="preserve"> (rice), </w:t>
      </w:r>
      <w:r w:rsidR="00886979" w:rsidRPr="00886979">
        <w:rPr>
          <w:i/>
          <w:iCs/>
        </w:rPr>
        <w:t>Zea mays</w:t>
      </w:r>
      <w:r w:rsidR="00886979" w:rsidRPr="00886979">
        <w:t xml:space="preserve"> (corn), and </w:t>
      </w:r>
      <w:r w:rsidR="00886979" w:rsidRPr="00886979">
        <w:rPr>
          <w:i/>
          <w:iCs/>
        </w:rPr>
        <w:t>Lolium perenne</w:t>
      </w:r>
      <w:r w:rsidR="00886979" w:rsidRPr="00886979">
        <w:t xml:space="preserve"> (perennial ryegrass), all belong to the family Poaceae</w:t>
      </w:r>
      <w:r w:rsidR="00C5156E" w:rsidRPr="00C5156E">
        <w:t>. This narrow focus on agricultural systems leaves the vast majority of plant diversity unsampled.</w:t>
      </w:r>
      <w:r w:rsidR="00C5156E">
        <w:t xml:space="preserve"> </w:t>
      </w:r>
    </w:p>
    <w:p w14:paraId="25561D43" w14:textId="0A38A355" w:rsidR="009F4D6D" w:rsidRDefault="00C5156E">
      <w:pPr>
        <w:pStyle w:val="BodyText"/>
      </w:pPr>
      <w:r w:rsidRPr="00C5156E">
        <w:t xml:space="preserve">This pattern of narrow focus extends to the fungal partners. The most frequently studied fungal genera are those with well-known roles as agricultural pathogens, plant mutualists, </w:t>
      </w:r>
      <w:r w:rsidRPr="00C5156E">
        <w:lastRenderedPageBreak/>
        <w:t>or human health concerns. Genera such as </w:t>
      </w:r>
      <w:r w:rsidRPr="00C5156E">
        <w:rPr>
          <w:i/>
          <w:iCs/>
        </w:rPr>
        <w:t>Fusarium</w:t>
      </w:r>
      <w:r w:rsidRPr="00C5156E">
        <w:t>, </w:t>
      </w:r>
      <w:r w:rsidRPr="00C5156E">
        <w:rPr>
          <w:i/>
          <w:iCs/>
        </w:rPr>
        <w:t>Aspergillus</w:t>
      </w:r>
      <w:r w:rsidRPr="00C5156E">
        <w:t>, and the grass symbiont </w:t>
      </w:r>
      <w:r w:rsidRPr="00552E2D">
        <w:rPr>
          <w:i/>
          <w:iCs/>
        </w:rPr>
        <w:t>Epichlo</w:t>
      </w:r>
      <w:r w:rsidR="00552E2D" w:rsidRPr="00552E2D">
        <w:rPr>
          <w:i/>
          <w:iCs/>
        </w:rPr>
        <w:t>ë</w:t>
      </w:r>
      <w:r w:rsidRPr="00C5156E">
        <w:t> dominate the literature, while the broader diversity of fungal life remains largely unexplored in the context of endophytism.</w:t>
      </w:r>
    </w:p>
    <w:p w14:paraId="5E3DD303" w14:textId="55E488D7" w:rsidR="005A5761" w:rsidRDefault="009F15C5">
      <w:pPr>
        <w:pStyle w:val="BodyText"/>
      </w:pPr>
      <w:r>
        <w:rPr>
          <w:noProof/>
        </w:rPr>
        <w:drawing>
          <wp:inline distT="0" distB="0" distL="0" distR="0" wp14:anchorId="5225E062" wp14:editId="0811A8CB">
            <wp:extent cx="5943600" cy="3396615"/>
            <wp:effectExtent l="0" t="0" r="0" b="0"/>
            <wp:docPr id="57413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1D1C5B1C" w14:textId="5ECE117F" w:rsidR="005A5761" w:rsidRDefault="005A5761">
      <w:pPr>
        <w:pStyle w:val="BodyText"/>
      </w:pPr>
      <w:r>
        <w:rPr>
          <w:b/>
          <w:bCs/>
        </w:rPr>
        <w:t>Figure 3.</w:t>
      </w:r>
      <w:r>
        <w:t xml:space="preserve"> </w:t>
      </w:r>
      <w:r w:rsidR="009F15C5">
        <w:t xml:space="preserve">Host taxonomic representation in the endophyte literature. This </w:t>
      </w:r>
      <w:commentRangeStart w:id="36"/>
      <w:commentRangeStart w:id="37"/>
      <w:r w:rsidR="009F15C5">
        <w:t>heatmap</w:t>
      </w:r>
      <w:commentRangeEnd w:id="36"/>
      <w:r w:rsidR="006A7159">
        <w:rPr>
          <w:rStyle w:val="CommentReference"/>
          <w:sz w:val="24"/>
          <w:szCs w:val="24"/>
        </w:rPr>
        <w:commentReference w:id="36"/>
      </w:r>
      <w:commentRangeEnd w:id="37"/>
      <w:r w:rsidR="00EE7991">
        <w:rPr>
          <w:rStyle w:val="CommentReference"/>
          <w:sz w:val="24"/>
          <w:szCs w:val="24"/>
        </w:rPr>
        <w:commentReference w:id="37"/>
      </w:r>
      <w:r w:rsidR="009F15C5">
        <w:t xml:space="preserve"> shows the concentration of studies on a limited number of plant </w:t>
      </w:r>
      <w:r w:rsidR="00727AED">
        <w:t xml:space="preserve">species, genera, and </w:t>
      </w:r>
      <w:r w:rsidR="009F15C5">
        <w:t xml:space="preserve">families. Research is heavily biased toward economically important families such as </w:t>
      </w:r>
      <w:r w:rsidR="009F15C5">
        <w:rPr>
          <w:i/>
          <w:iCs/>
        </w:rPr>
        <w:t>Poaceae</w:t>
      </w:r>
      <w:r w:rsidR="009F15C5">
        <w:t xml:space="preserve"> and </w:t>
      </w:r>
      <w:r w:rsidR="009F15C5">
        <w:rPr>
          <w:i/>
          <w:iCs/>
        </w:rPr>
        <w:t>Fabaceae</w:t>
      </w:r>
      <w:r w:rsidR="009F15C5">
        <w:t xml:space="preserve">, while numerous other plant </w:t>
      </w:r>
      <w:r w:rsidR="00727AED">
        <w:t xml:space="preserve">phyla </w:t>
      </w:r>
      <w:r w:rsidR="009F15C5">
        <w:t xml:space="preserve">and families, including early-diverging lineages like </w:t>
      </w:r>
      <w:r w:rsidR="009F15C5">
        <w:rPr>
          <w:i/>
          <w:iCs/>
        </w:rPr>
        <w:t>Charophyta</w:t>
      </w:r>
      <w:r w:rsidR="009F15C5">
        <w:t xml:space="preserve"> and </w:t>
      </w:r>
      <w:r w:rsidR="009F15C5">
        <w:rPr>
          <w:i/>
          <w:iCs/>
        </w:rPr>
        <w:t>Bryophyta</w:t>
      </w:r>
      <w:r w:rsidR="009F15C5">
        <w:t xml:space="preserve">, have </w:t>
      </w:r>
      <w:r w:rsidR="005B79C9">
        <w:t>few</w:t>
      </w:r>
      <w:r w:rsidR="009F15C5">
        <w:t xml:space="preserve"> recorded endophyte studies.</w:t>
      </w:r>
    </w:p>
    <w:p w14:paraId="25561D44" w14:textId="77777777" w:rsidR="009F4D6D" w:rsidRDefault="00F10295">
      <w:pPr>
        <w:pStyle w:val="Heading3"/>
      </w:pPr>
      <w:bookmarkStart w:id="38" w:name="X23ff396f6319c66185a3b610d3dc317dab3bf41"/>
      <w:bookmarkEnd w:id="35"/>
      <w:r>
        <w:t>Prediction C: Study Intensity Increases with GDP</w:t>
      </w:r>
    </w:p>
    <w:p w14:paraId="714B636F" w14:textId="0D669649" w:rsidR="00F46073" w:rsidRDefault="0024060E" w:rsidP="009F15C5">
      <w:pPr>
        <w:pStyle w:val="BodyText"/>
      </w:pPr>
      <w:r w:rsidRPr="0024060E">
        <w:t xml:space="preserve">In line with Prediction C, we found a strong, positive correlation between a country's economic output and its endophyte research intensity. A country's log-transformed Gross Domestic Product (GDP) was a significant predictor of its log-transformed study count (Spearman's ρ = 0.83, </w:t>
      </w:r>
      <w:r w:rsidR="005E5130">
        <w:rPr>
          <w:i/>
          <w:iCs/>
        </w:rPr>
        <w:t>P</w:t>
      </w:r>
      <w:r w:rsidRPr="0024060E">
        <w:t xml:space="preserve"> &lt; 0.001), indicating that wealthier nations are studied more frequently (Figure </w:t>
      </w:r>
      <w:r w:rsidR="00F46073">
        <w:t>4</w:t>
      </w:r>
      <w:r w:rsidRPr="0024060E">
        <w:t>). Further multiple regression modeling revealed that GDP was a vastly superior predictor of study count compared to ecological metrics. When modeled</w:t>
      </w:r>
      <w:r>
        <w:t xml:space="preserve"> </w:t>
      </w:r>
      <w:r w:rsidR="00F46073" w:rsidRPr="00F46073">
        <w:t>together, the predictive coefficient for economic status (log10 GDP:</w:t>
      </w:r>
      <w:r w:rsidR="005C6DD3">
        <w:t xml:space="preserve"> coefficient</w:t>
      </w:r>
      <w:r w:rsidR="00F46073" w:rsidRPr="00F46073">
        <w:t xml:space="preserve"> ~0.56, </w:t>
      </w:r>
      <w:r w:rsidR="005E5130">
        <w:rPr>
          <w:i/>
          <w:iCs/>
        </w:rPr>
        <w:t>P</w:t>
      </w:r>
      <w:r w:rsidR="00F46073" w:rsidRPr="00F46073">
        <w:t xml:space="preserve"> &lt; 0.001) overwhelmingly dominated the predictive effect of raw biodiversity (total species richness: </w:t>
      </w:r>
      <w:r w:rsidR="005C6DD3">
        <w:t xml:space="preserve">coefficient </w:t>
      </w:r>
      <w:r w:rsidR="00F46073" w:rsidRPr="00F46073">
        <w:t xml:space="preserve">&lt; 0.001, </w:t>
      </w:r>
      <w:r w:rsidR="005E5130">
        <w:rPr>
          <w:i/>
          <w:iCs/>
        </w:rPr>
        <w:t>P</w:t>
      </w:r>
      <w:r w:rsidR="00F46073" w:rsidRPr="00F46073">
        <w:t xml:space="preserve"> = 0.003). Likewise, independent non-parametric assessments confirmed that economic output (Spearman's ρ = 0.83) correlates much more robustly with sampling intensity than does absolute species richness (Spearman's ρ = 0.58). This indicates that the global distribution of endophyte research is more a map of economic capacity than it is a map of biodiversity. This creates a critical knowledge gap, as </w:t>
      </w:r>
      <w:r w:rsidR="00F46073" w:rsidRPr="00F46073">
        <w:lastRenderedPageBreak/>
        <w:t>high-biodiversity, low-GDP countries are systematically under-represented in the current body of endophyte research.</w:t>
      </w:r>
    </w:p>
    <w:p w14:paraId="2779D5F4" w14:textId="64462020" w:rsidR="009F15C5" w:rsidRPr="009F15C5" w:rsidRDefault="00F17B7F" w:rsidP="009F15C5">
      <w:pPr>
        <w:pStyle w:val="BodyText"/>
      </w:pPr>
      <w:r>
        <w:rPr>
          <w:noProof/>
        </w:rPr>
        <w:drawing>
          <wp:inline distT="0" distB="0" distL="0" distR="0" wp14:anchorId="7B4B337E" wp14:editId="099F5D75">
            <wp:extent cx="3945348" cy="3207702"/>
            <wp:effectExtent l="0" t="0" r="0" b="0"/>
            <wp:docPr id="774259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55933" cy="3216308"/>
                    </a:xfrm>
                    <a:prstGeom prst="rect">
                      <a:avLst/>
                    </a:prstGeom>
                    <a:noFill/>
                    <a:ln>
                      <a:noFill/>
                    </a:ln>
                  </pic:spPr>
                </pic:pic>
              </a:graphicData>
            </a:graphic>
          </wp:inline>
        </w:drawing>
      </w:r>
    </w:p>
    <w:p w14:paraId="03349582" w14:textId="66860700" w:rsidR="009F15C5" w:rsidRPr="009F15C5" w:rsidRDefault="009F15C5" w:rsidP="009F15C5">
      <w:pPr>
        <w:pStyle w:val="BodyText"/>
      </w:pPr>
      <w:r>
        <w:rPr>
          <w:b/>
          <w:bCs/>
        </w:rPr>
        <w:t>Figure 4.</w:t>
      </w:r>
      <w:r>
        <w:t xml:space="preserve"> </w:t>
      </w:r>
      <w:r w:rsidR="0020061A" w:rsidRPr="0020061A">
        <w:t>Relationship between a country's economic status and its endophyte research effort. A strong, positive correlation exists between a country's log-transformed Gross Domestic Product (GDP) and its log-transformed study count (Spearman’s ρ = 0.8</w:t>
      </w:r>
      <w:r w:rsidR="006D41A3">
        <w:t>4</w:t>
      </w:r>
      <w:r w:rsidR="0020061A" w:rsidRPr="0020061A">
        <w:t xml:space="preserve">, </w:t>
      </w:r>
      <w:r w:rsidR="005E5130">
        <w:rPr>
          <w:i/>
          <w:iCs/>
        </w:rPr>
        <w:t>P</w:t>
      </w:r>
      <w:r w:rsidR="0020061A" w:rsidRPr="0020061A">
        <w:t xml:space="preserve"> &lt; 0.001), indicating that </w:t>
      </w:r>
      <w:commentRangeStart w:id="39"/>
      <w:r w:rsidR="0020061A" w:rsidRPr="0020061A">
        <w:t>wealthier</w:t>
      </w:r>
      <w:commentRangeEnd w:id="39"/>
      <w:r w:rsidR="00A07834" w:rsidRPr="0020061A">
        <w:rPr>
          <w:rStyle w:val="CommentReference"/>
          <w:sz w:val="24"/>
          <w:szCs w:val="24"/>
        </w:rPr>
        <w:commentReference w:id="39"/>
      </w:r>
      <w:r w:rsidR="0020061A" w:rsidRPr="0020061A">
        <w:t xml:space="preserve"> countries receive </w:t>
      </w:r>
      <w:r w:rsidR="00CD0B77">
        <w:t>rob</w:t>
      </w:r>
      <w:r w:rsidR="0020061A" w:rsidRPr="0020061A">
        <w:t>more research attention. The line represents a linear regression fit (lm), with the shaded area showing the 95% confidence interval.</w:t>
      </w:r>
    </w:p>
    <w:p w14:paraId="25561D46" w14:textId="77777777" w:rsidR="009F4D6D" w:rsidRDefault="00F10295" w:rsidP="00FB7CEC">
      <w:pPr>
        <w:pStyle w:val="Style1"/>
      </w:pPr>
      <w:bookmarkStart w:id="40" w:name="priority-outputs-for-future-sampling"/>
      <w:bookmarkEnd w:id="38"/>
      <w:r>
        <w:lastRenderedPageBreak/>
        <w:t xml:space="preserve">Priority Outputs for Future </w:t>
      </w:r>
      <w:commentRangeStart w:id="41"/>
      <w:r>
        <w:t>Sampling</w:t>
      </w:r>
      <w:commentRangeEnd w:id="41"/>
      <w:r w:rsidR="00A2475B">
        <w:rPr>
          <w:rStyle w:val="CommentReference"/>
          <w:sz w:val="28"/>
          <w:szCs w:val="28"/>
        </w:rPr>
        <w:commentReference w:id="41"/>
      </w:r>
    </w:p>
    <w:p w14:paraId="39277789" w14:textId="3AD4D28C" w:rsidR="00085BBB" w:rsidRDefault="00085BBB">
      <w:pPr>
        <w:pStyle w:val="Heading2"/>
        <w:rPr>
          <w:rFonts w:asciiTheme="minorHAnsi" w:eastAsiaTheme="minorHAnsi" w:hAnsiTheme="minorHAnsi" w:cstheme="minorBidi"/>
          <w:color w:val="auto"/>
          <w:sz w:val="24"/>
          <w:szCs w:val="24"/>
        </w:rPr>
      </w:pPr>
      <w:bookmarkStart w:id="42" w:name="discussion"/>
      <w:bookmarkEnd w:id="27"/>
      <w:bookmarkEnd w:id="40"/>
      <w:r w:rsidRPr="00085BBB">
        <w:rPr>
          <w:rFonts w:asciiTheme="minorHAnsi" w:eastAsiaTheme="minorHAnsi" w:hAnsiTheme="minorHAnsi" w:cstheme="minorBidi"/>
          <w:color w:val="auto"/>
          <w:sz w:val="24"/>
          <w:szCs w:val="24"/>
        </w:rPr>
        <w:t xml:space="preserve">Based on these identified gaps, </w:t>
      </w:r>
      <w:r w:rsidR="009C7418">
        <w:rPr>
          <w:rFonts w:asciiTheme="minorHAnsi" w:eastAsiaTheme="minorHAnsi" w:hAnsiTheme="minorHAnsi" w:cstheme="minorBidi"/>
          <w:color w:val="auto"/>
          <w:sz w:val="24"/>
          <w:szCs w:val="24"/>
        </w:rPr>
        <w:t>the</w:t>
      </w:r>
      <w:r w:rsidRPr="00085BBB">
        <w:rPr>
          <w:rFonts w:asciiTheme="minorHAnsi" w:eastAsiaTheme="minorHAnsi" w:hAnsiTheme="minorHAnsi" w:cstheme="minorBidi"/>
          <w:color w:val="auto"/>
          <w:sz w:val="24"/>
          <w:szCs w:val="24"/>
        </w:rPr>
        <w:t xml:space="preserve"> pipeline generated priority lists of understudied </w:t>
      </w:r>
      <w:r w:rsidR="00431824">
        <w:rPr>
          <w:rFonts w:asciiTheme="minorHAnsi" w:eastAsiaTheme="minorHAnsi" w:hAnsiTheme="minorHAnsi" w:cstheme="minorBidi"/>
          <w:color w:val="auto"/>
          <w:sz w:val="24"/>
          <w:szCs w:val="24"/>
        </w:rPr>
        <w:t xml:space="preserve">(n&lt;5 studies) </w:t>
      </w:r>
      <w:r w:rsidRPr="00085BBB">
        <w:rPr>
          <w:rFonts w:asciiTheme="minorHAnsi" w:eastAsiaTheme="minorHAnsi" w:hAnsiTheme="minorHAnsi" w:cstheme="minorBidi"/>
          <w:color w:val="auto"/>
          <w:sz w:val="24"/>
          <w:szCs w:val="24"/>
        </w:rPr>
        <w:t xml:space="preserve">countries and host taxa. The results highlight numerous plant genera and families with </w:t>
      </w:r>
      <w:r w:rsidR="00431824">
        <w:rPr>
          <w:rFonts w:asciiTheme="minorHAnsi" w:eastAsiaTheme="minorHAnsi" w:hAnsiTheme="minorHAnsi" w:cstheme="minorBidi"/>
          <w:color w:val="auto"/>
          <w:sz w:val="24"/>
          <w:szCs w:val="24"/>
        </w:rPr>
        <w:t>minimal</w:t>
      </w:r>
      <w:r w:rsidRPr="00085BBB">
        <w:rPr>
          <w:rFonts w:asciiTheme="minorHAnsi" w:eastAsiaTheme="minorHAnsi" w:hAnsiTheme="minorHAnsi" w:cstheme="minorBidi"/>
          <w:color w:val="auto"/>
          <w:sz w:val="24"/>
          <w:szCs w:val="24"/>
        </w:rPr>
        <w:t xml:space="preserve"> representation in the literature, including early-diverging lineages such as </w:t>
      </w:r>
      <w:r w:rsidRPr="00085BBB">
        <w:rPr>
          <w:rFonts w:asciiTheme="minorHAnsi" w:eastAsiaTheme="minorHAnsi" w:hAnsiTheme="minorHAnsi" w:cstheme="minorBidi"/>
          <w:i/>
          <w:iCs/>
          <w:color w:val="auto"/>
          <w:sz w:val="24"/>
          <w:szCs w:val="24"/>
        </w:rPr>
        <w:t>Charophyta</w:t>
      </w:r>
      <w:r w:rsidRPr="00085BBB">
        <w:rPr>
          <w:rFonts w:asciiTheme="minorHAnsi" w:eastAsiaTheme="minorHAnsi" w:hAnsiTheme="minorHAnsi" w:cstheme="minorBidi"/>
          <w:color w:val="auto"/>
          <w:sz w:val="24"/>
          <w:szCs w:val="24"/>
        </w:rPr>
        <w:t> and </w:t>
      </w:r>
      <w:r w:rsidRPr="00085BBB">
        <w:rPr>
          <w:rFonts w:asciiTheme="minorHAnsi" w:eastAsiaTheme="minorHAnsi" w:hAnsiTheme="minorHAnsi" w:cstheme="minorBidi"/>
          <w:i/>
          <w:iCs/>
          <w:color w:val="auto"/>
          <w:sz w:val="24"/>
          <w:szCs w:val="24"/>
        </w:rPr>
        <w:t>Bryophyta</w:t>
      </w:r>
      <w:r w:rsidR="00A2475B">
        <w:rPr>
          <w:rFonts w:asciiTheme="minorHAnsi" w:eastAsiaTheme="minorHAnsi" w:hAnsiTheme="minorHAnsi" w:cstheme="minorBidi"/>
          <w:color w:val="auto"/>
          <w:sz w:val="24"/>
          <w:szCs w:val="24"/>
        </w:rPr>
        <w:t xml:space="preserve"> (Figure 3)</w:t>
      </w:r>
      <w:r w:rsidRPr="00085BBB">
        <w:rPr>
          <w:rFonts w:asciiTheme="minorHAnsi" w:eastAsiaTheme="minorHAnsi" w:hAnsiTheme="minorHAnsi" w:cstheme="minorBidi"/>
          <w:color w:val="auto"/>
          <w:sz w:val="24"/>
          <w:szCs w:val="24"/>
        </w:rPr>
        <w:t xml:space="preserve">. </w:t>
      </w:r>
      <w:r w:rsidR="00A366BC" w:rsidRPr="00A366BC">
        <w:rPr>
          <w:rFonts w:asciiTheme="minorHAnsi" w:eastAsiaTheme="minorHAnsi" w:hAnsiTheme="minorHAnsi" w:cstheme="minorBidi"/>
          <w:color w:val="auto"/>
          <w:sz w:val="24"/>
          <w:szCs w:val="24"/>
        </w:rPr>
        <w:t>Likewise, many countries</w:t>
      </w:r>
      <w:r w:rsidR="009F6377">
        <w:rPr>
          <w:rFonts w:asciiTheme="minorHAnsi" w:eastAsiaTheme="minorHAnsi" w:hAnsiTheme="minorHAnsi" w:cstheme="minorBidi"/>
          <w:color w:val="auto"/>
          <w:sz w:val="24"/>
          <w:szCs w:val="24"/>
        </w:rPr>
        <w:t xml:space="preserve">, </w:t>
      </w:r>
      <w:r w:rsidR="00A366BC" w:rsidRPr="00A366BC">
        <w:rPr>
          <w:rFonts w:asciiTheme="minorHAnsi" w:eastAsiaTheme="minorHAnsi" w:hAnsiTheme="minorHAnsi" w:cstheme="minorBidi"/>
          <w:color w:val="auto"/>
          <w:sz w:val="24"/>
          <w:szCs w:val="24"/>
        </w:rPr>
        <w:t>including Angola, Armenia, and the Bahamas</w:t>
      </w:r>
      <w:r w:rsidR="00A2475B">
        <w:rPr>
          <w:rFonts w:asciiTheme="minorHAnsi" w:eastAsiaTheme="minorHAnsi" w:hAnsiTheme="minorHAnsi" w:cstheme="minorBidi"/>
          <w:color w:val="auto"/>
          <w:sz w:val="24"/>
          <w:szCs w:val="24"/>
        </w:rPr>
        <w:t xml:space="preserve"> (Figure 1)</w:t>
      </w:r>
      <w:r w:rsidR="009F6377">
        <w:rPr>
          <w:rFonts w:asciiTheme="minorHAnsi" w:eastAsiaTheme="minorHAnsi" w:hAnsiTheme="minorHAnsi" w:cstheme="minorBidi"/>
          <w:color w:val="auto"/>
          <w:sz w:val="24"/>
          <w:szCs w:val="24"/>
        </w:rPr>
        <w:t>, r</w:t>
      </w:r>
      <w:r w:rsidR="00A366BC" w:rsidRPr="00A366BC">
        <w:rPr>
          <w:rFonts w:asciiTheme="minorHAnsi" w:eastAsiaTheme="minorHAnsi" w:hAnsiTheme="minorHAnsi" w:cstheme="minorBidi"/>
          <w:color w:val="auto"/>
          <w:sz w:val="24"/>
          <w:szCs w:val="24"/>
        </w:rPr>
        <w:t>emain severely understudied, with fewer than five studies captured in our global dataset.</w:t>
      </w:r>
      <w:r w:rsidRPr="00085BBB">
        <w:rPr>
          <w:rFonts w:asciiTheme="minorHAnsi" w:eastAsiaTheme="minorHAnsi" w:hAnsiTheme="minorHAnsi" w:cstheme="minorBidi"/>
          <w:color w:val="auto"/>
          <w:sz w:val="24"/>
          <w:szCs w:val="24"/>
        </w:rPr>
        <w:t xml:space="preserve"> These outputs provide a concrete roadmap for targeted sampling efforts designed to fill the most significant gaps in our current understanding of global endophyte diversity.</w:t>
      </w:r>
      <w:r w:rsidR="00820BAB">
        <w:rPr>
          <w:rFonts w:asciiTheme="minorHAnsi" w:eastAsiaTheme="minorHAnsi" w:hAnsiTheme="minorHAnsi" w:cstheme="minorBidi"/>
          <w:color w:val="auto"/>
          <w:sz w:val="24"/>
          <w:szCs w:val="24"/>
        </w:rPr>
        <w:t xml:space="preserve"> </w:t>
      </w:r>
      <w:r w:rsidR="0083299E" w:rsidRPr="0083299E">
        <w:rPr>
          <w:rFonts w:asciiTheme="minorHAnsi" w:eastAsiaTheme="minorHAnsi" w:hAnsiTheme="minorHAnsi" w:cstheme="minorBidi"/>
          <w:color w:val="auto"/>
          <w:sz w:val="24"/>
          <w:szCs w:val="24"/>
        </w:rPr>
        <w:t>These gaps reveal a significant disconnect between research effort and actual biodiversity patterns. Numerous countries recognized for their high conservation priority receive disproportionately little attention. For example, nations with high endemic species densities, such as Belize, remain critically understudied, yielding fewer than five captured records. This geographic bias extends even to high-biodiversity microstates like Liechtenstein and Monaco, highlighting severe blind spots in the global understanding of endophyte distribution.</w:t>
      </w:r>
    </w:p>
    <w:p w14:paraId="57C366A5" w14:textId="77777777" w:rsidR="003A6160" w:rsidRDefault="003A6160" w:rsidP="00FB7CEC">
      <w:pPr>
        <w:pStyle w:val="Style1"/>
      </w:pPr>
      <w:r w:rsidRPr="003A6160">
        <w:t xml:space="preserve">Functional Guild Representation in the Literature </w:t>
      </w:r>
    </w:p>
    <w:p w14:paraId="3E6D34A4" w14:textId="7750864A" w:rsidR="003A6160" w:rsidRPr="003A6160" w:rsidRDefault="00FB24E9" w:rsidP="003A6160">
      <w:pPr>
        <w:pStyle w:val="BodyText"/>
      </w:pPr>
      <w:r w:rsidRPr="00FB24E9">
        <w:t>While geographic and taxonomic gaps represent a critical limitation of the current evidence ba</w:t>
      </w:r>
      <w:r w:rsidRPr="009C7418">
        <w:t xml:space="preserve">se, </w:t>
      </w:r>
      <w:r w:rsidR="009C7418" w:rsidRPr="009C7418">
        <w:t>it was also necessary to determine if the literature was functionally constrained. To evaluate the functional focus of the global evidence base, the primary ecological guilds reported across the extracted plant-fungus interactions were categorized. Results indicate that the literature is not monolithically</w:t>
      </w:r>
      <w:r w:rsidR="003A6160" w:rsidRPr="003A6160">
        <w:t xml:space="preserve"> focused on benign commensalism; rather, it reflects a broad functional continuum. While purely endophytic (asymptomatic) relationships comprised the plurality of documented interactions (42.5%; representing 50.9% of studies), a substantial proportion of the literature focuses on pathogenic relationships (35.1% of interactions; 27.1% of studies). Furthermore, the dataset captured significant functional overlap with other established guilds, with 10.3% of documented endophyte interactions explicitly involving mycorrhizal contexts, and 4.9% focused on antagonistic or biocontrol applications. </w:t>
      </w:r>
      <w:r w:rsidR="00F92D40" w:rsidRPr="00F92D40">
        <w:t>Furthermore, cross-referencing these guilds against geographic and anatomical data revealed that while fungal phyla are not studied equally across continents (</w:t>
      </w:r>
      <w:r w:rsidR="00F92D40" w:rsidRPr="00F92D40">
        <w:rPr>
          <w:i/>
          <w:iCs/>
        </w:rPr>
        <w:t>P</w:t>
      </w:r>
      <w:r w:rsidR="00F92D40" w:rsidRPr="00F92D40">
        <w:t xml:space="preserve"> = 0.008), there is no significant taxonomic bias in which host tissues </w:t>
      </w:r>
      <w:r w:rsidR="00BE1876">
        <w:t xml:space="preserve">(leaves, roots, etc.) </w:t>
      </w:r>
      <w:r w:rsidR="00F92D40" w:rsidRPr="00F92D40">
        <w:t>are sampled (</w:t>
      </w:r>
      <w:r w:rsidR="00F92D40" w:rsidRPr="00F92D40">
        <w:rPr>
          <w:i/>
          <w:iCs/>
        </w:rPr>
        <w:t>P</w:t>
      </w:r>
      <w:r w:rsidR="00F92D40" w:rsidRPr="00F92D40">
        <w:t xml:space="preserve"> = 0.074)</w:t>
      </w:r>
      <w:r w:rsidR="00034A20">
        <w:t>(Figure S2)</w:t>
      </w:r>
      <w:r w:rsidR="00F92D40" w:rsidRPr="00F92D40">
        <w:t>.</w:t>
      </w:r>
    </w:p>
    <w:p w14:paraId="25561D48" w14:textId="6D7B959C" w:rsidR="009F4D6D" w:rsidRDefault="00F10295">
      <w:pPr>
        <w:pStyle w:val="Heading2"/>
      </w:pPr>
      <w:r>
        <w:t>Discussion</w:t>
      </w:r>
    </w:p>
    <w:p w14:paraId="25561D49" w14:textId="23A0726B" w:rsidR="009F4D6D" w:rsidRDefault="00F10295">
      <w:pPr>
        <w:pStyle w:val="FirstParagraph"/>
      </w:pPr>
      <w:r>
        <w:t xml:space="preserve">Our analysis of the global endophyte literature reveals a research landscape that is geographically and taxonomically constrained. The patterns of data availability are not random; instead, they are strongly shaped by economic factors that are decoupled from the planet’s biological richness. </w:t>
      </w:r>
      <w:r w:rsidR="002C7856" w:rsidRPr="002C7856">
        <w:t xml:space="preserve">This uneven distribution has profound implications for the robustness of </w:t>
      </w:r>
      <w:commentRangeStart w:id="43"/>
      <w:commentRangeStart w:id="44"/>
      <w:r w:rsidR="002C7856" w:rsidRPr="002C7856">
        <w:t>endophyte ecological theory,</w:t>
      </w:r>
      <w:commentRangeEnd w:id="43"/>
      <w:r w:rsidR="00CD0B77" w:rsidRPr="002C7856">
        <w:rPr>
          <w:rStyle w:val="CommentReference"/>
          <w:sz w:val="24"/>
          <w:szCs w:val="24"/>
        </w:rPr>
        <w:commentReference w:id="43"/>
      </w:r>
      <w:commentRangeEnd w:id="44"/>
      <w:r w:rsidR="0033447F" w:rsidRPr="002C7856">
        <w:rPr>
          <w:rStyle w:val="CommentReference"/>
          <w:sz w:val="24"/>
          <w:szCs w:val="24"/>
        </w:rPr>
        <w:commentReference w:id="44"/>
      </w:r>
      <w:r w:rsidR="002C7856" w:rsidRPr="002C7856">
        <w:t xml:space="preserve"> necessitating a critical re-evaluation of how we interpret ubiquity in the context of sampling effort</w:t>
      </w:r>
      <w:r w:rsidR="008649D1">
        <w:t>.</w:t>
      </w:r>
    </w:p>
    <w:p w14:paraId="25561D4A" w14:textId="77777777" w:rsidR="009F4D6D" w:rsidRDefault="00F10295">
      <w:pPr>
        <w:pStyle w:val="Heading3"/>
      </w:pPr>
      <w:bookmarkStart w:id="45" w:name="interpreting-the-evidence-gaps"/>
      <w:r>
        <w:lastRenderedPageBreak/>
        <w:t>Interpreting the Evidence Gaps</w:t>
      </w:r>
    </w:p>
    <w:p w14:paraId="2A8348E5" w14:textId="76B9356D" w:rsidR="00160FBA" w:rsidRDefault="00160FBA">
      <w:pPr>
        <w:pStyle w:val="Heading3"/>
        <w:rPr>
          <w:rFonts w:eastAsiaTheme="minorHAnsi" w:cstheme="minorBidi"/>
          <w:color w:val="auto"/>
          <w:sz w:val="24"/>
          <w:szCs w:val="24"/>
        </w:rPr>
      </w:pPr>
      <w:bookmarkStart w:id="46" w:name="ecological-implications-of-sampling-bias"/>
      <w:bookmarkEnd w:id="45"/>
      <w:r w:rsidRPr="00160FBA">
        <w:rPr>
          <w:rFonts w:eastAsiaTheme="minorHAnsi" w:cstheme="minorBidi"/>
          <w:color w:val="auto"/>
          <w:sz w:val="24"/>
          <w:szCs w:val="24"/>
        </w:rPr>
        <w:t>A primary finding of our study is the vast number of countries</w:t>
      </w:r>
      <w:r w:rsidR="000A56A7">
        <w:rPr>
          <w:rFonts w:eastAsiaTheme="minorHAnsi" w:cstheme="minorBidi"/>
          <w:color w:val="auto"/>
          <w:sz w:val="24"/>
          <w:szCs w:val="24"/>
        </w:rPr>
        <w:t xml:space="preserve">, </w:t>
      </w:r>
      <w:r w:rsidRPr="00160FBA">
        <w:rPr>
          <w:rFonts w:eastAsiaTheme="minorHAnsi" w:cstheme="minorBidi"/>
          <w:color w:val="auto"/>
          <w:sz w:val="24"/>
          <w:szCs w:val="24"/>
        </w:rPr>
        <w:t>biomes</w:t>
      </w:r>
      <w:r w:rsidR="000A56A7">
        <w:rPr>
          <w:rFonts w:eastAsiaTheme="minorHAnsi" w:cstheme="minorBidi"/>
          <w:color w:val="auto"/>
          <w:sz w:val="24"/>
          <w:szCs w:val="24"/>
        </w:rPr>
        <w:t>, and plant taxa</w:t>
      </w:r>
      <w:r w:rsidRPr="00160FBA">
        <w:rPr>
          <w:rFonts w:eastAsiaTheme="minorHAnsi" w:cstheme="minorBidi"/>
          <w:color w:val="auto"/>
          <w:sz w:val="24"/>
          <w:szCs w:val="24"/>
        </w:rPr>
        <w:t xml:space="preserve"> with fewer than five recorded endophyte studies in our corpus. This deficit reveals critical thematic blind spots in the global research effort. The absence of accessible data from these regions limits the validity of broad-scale generalizations and creates a systematic geographic bias in the published record. Ultimately, these gaps highlight areas where our collective knowledge is simply too sparse to support sweeping claims about fungal distribution and function.</w:t>
      </w:r>
    </w:p>
    <w:p w14:paraId="25561D4C" w14:textId="2A195FF7" w:rsidR="009F4D6D" w:rsidRDefault="00F10295">
      <w:pPr>
        <w:pStyle w:val="Heading3"/>
      </w:pPr>
      <w:r>
        <w:t>Ecological Implications of Sampling Bias</w:t>
      </w:r>
    </w:p>
    <w:p w14:paraId="25561D4D" w14:textId="7BE631CA" w:rsidR="009F4D6D" w:rsidRDefault="00F10295">
      <w:pPr>
        <w:pStyle w:val="FirstParagraph"/>
      </w:pPr>
      <w:r>
        <w:t>The concentration of research in temperate, high-GDP nations has significant ecological consequences. Fungal biogeography is structured by strong environmental gradients and historical factors</w:t>
      </w:r>
      <w:r w:rsidR="00FC1F2B">
        <w:t xml:space="preserve"> </w:t>
      </w:r>
      <w:r w:rsidR="00FC1F2B">
        <w:fldChar w:fldCharType="begin"/>
      </w:r>
      <w:r w:rsidR="00AB2456">
        <w:instrText xml:space="preserve"> ADDIN ZOTERO_ITEM CSL_CITATION {"citationID":"eU3evwoM","properties":{"unsorted":false,"formattedCitation":"(Tedersoo {\\i{}et al.}, 2014)","plainCitation":"(Tedersoo et al., 2014)","noteIndex":0},"citationItems":[{"id":43870,"uris":["http://zotero.org/groups/5769825/items/MD6XVZD4"],"itemData":{"id":43870,"type":"article-journal","abstract":"Fungi play major roles in ecosystem processes, but the determinants of fungal diversity and biogeographic patterns remain poorly understood. Using DNA metabarcoding data from hundreds of globally distributed soil samples, we demonstrate that fungal richness is decoupled from plant diversity. The plant-to-fungus richness ratio declines exponentially toward the poles. Climatic factors, followed by edaphic and spatial variables, constitute the best predictors of fungal richness and community composition at the global scale. Fungi show similar latitudinal diversity gradients to other organisms, with several notable exceptions. These findings advance our understanding of global fungal diversity patterns and permit integration of fungi into a general macroecological framework.","container-title":"Science","DOI":"10.1126/science.1256688","issue":"6213","page":"1256688","publisher":"American Association for the Advancement of Science","source":"science.org (Atypon)","title":"Global diversity and geography of soil fungi","volume":"346","author":[{"family":"Tedersoo","given":"Leho"},{"family":"Bahram","given":"Mohammad"},{"family":"Põlme","given":"Sergei"},{"family":"Kõljalg","given":"Urmas"},{"family":"Yorou","given":"Nourou S."},{"family":"Wijesundera","given":"Ravi"},{"family":"Ruiz","given":"Luis Villarreal"},{"family":"Vasco-Palacios","given":"Aída M."},{"family":"Thu","given":"Pham Quang"},{"family":"Suija","given":"Ave"},{"family":"Smith","given":"Matthew E."},{"family":"Sharp","given":"Cathy"},{"family":"Saluveer","given":"Erki"},{"family":"Saitta","given":"Alessandro"},{"family":"Rosas","given":"Miguel"},{"family":"Riit","given":"Taavi"},{"family":"Ratkowsky","given":"David"},{"family":"Pritsch","given":"Karin"},{"family":"Põldmaa","given":"Kadri"},{"family":"Piepenbring","given":"Meike"},{"family":"Phosri","given":"Cherdchai"},{"family":"Peterson","given":"Marko"},{"family":"Parts","given":"Kaarin"},{"family":"Pärtel","given":"Kadri"},{"family":"Otsing","given":"Eveli"},{"family":"Nouhra","given":"Eduardo"},{"family":"Njouonkou","given":"André L."},{"family":"Nilsson","given":"R. Henrik"},{"family":"Morgado","given":"Luis N."},{"family":"Mayor","given":"Jordan"},{"family":"May","given":"Tom W."},{"family":"Majuakim","given":"Luiza"},{"family":"Lodge","given":"D. Jean"},{"family":"Lee","given":"Su See"},{"family":"Larsson","given":"Karl-Henrik"},{"family":"Kohout","given":"Petr"},{"family":"Hosaka","given":"Kentaro"},{"family":"Hiiesalu","given":"Indrek"},{"family":"Henkel","given":"Terry W."},{"family":"Harend","given":"Helery"},{"family":"Guo","given":"Liang-dong"},{"family":"Greslebin","given":"Alina"},{"family":"Grelet","given":"Gwen"},{"family":"Geml","given":"Jozsef"},{"family":"Gates","given":"Genevieve"},{"family":"Dunstan","given":"William"},{"family":"Dunk","given":"Chris"},{"family":"Drenkhan","given":"Rein"},{"family":"Dearnaley","given":"John"},{"family":"De Kesel","given":"André"},{"family":"Dang","given":"Tan"},{"family":"Chen","given":"Xin"},{"family":"Buegger","given":"Franz"},{"family":"Brearley","given":"Francis Q."},{"family":"Bonito","given":"Gregory"},{"family":"Anslan","given":"Sten"},{"family":"Abell","given":"Sandra"},{"family":"Abarenkov","given":"Kessy"}],"issued":{"date-parts":[["2014",11,28]]}}}],"schema":"https://github.com/citation-style-language/schema/raw/master/csl-citation.json"} </w:instrText>
      </w:r>
      <w:r w:rsidR="00FC1F2B">
        <w:fldChar w:fldCharType="separate"/>
      </w:r>
      <w:r w:rsidR="00425F6B" w:rsidRPr="00425F6B">
        <w:rPr>
          <w:rFonts w:ascii="Aptos" w:hAnsi="Aptos" w:cs="Times New Roman"/>
        </w:rPr>
        <w:t xml:space="preserve">(Tedersoo </w:t>
      </w:r>
      <w:r w:rsidR="00425F6B" w:rsidRPr="00425F6B">
        <w:rPr>
          <w:rFonts w:ascii="Aptos" w:hAnsi="Aptos" w:cs="Times New Roman"/>
          <w:i/>
          <w:iCs/>
        </w:rPr>
        <w:t>et al.</w:t>
      </w:r>
      <w:r w:rsidR="00425F6B" w:rsidRPr="00425F6B">
        <w:rPr>
          <w:rFonts w:ascii="Aptos" w:hAnsi="Aptos" w:cs="Times New Roman"/>
        </w:rPr>
        <w:t>, 2014)</w:t>
      </w:r>
      <w:r w:rsidR="00FC1F2B">
        <w:fldChar w:fldCharType="end"/>
      </w:r>
      <w:r>
        <w:t>. By over-sampling a narrow range of temperate and agricultural systems, the field risks inflating its confidence in patterns of endophyte diversity, host affinity, and ecological function that may not hold true in other contexts. For example, conclusions about community assembly or transmission modes derived predominantly from North American and European forests may be poor predictors of the dynamics in under-sampled tropical systems, which harbor a vastly different suite of host plants and environmental pressures</w:t>
      </w:r>
      <w:r w:rsidR="00FF5C0F">
        <w:t xml:space="preserve"> </w:t>
      </w:r>
      <w:r w:rsidR="00FF5C0F">
        <w:fldChar w:fldCharType="begin"/>
      </w:r>
      <w:r w:rsidR="00FF5C0F">
        <w:instrText xml:space="preserve"> ADDIN ZOTERO_ITEM CSL_CITATION {"citationID":"9N3zuvOr","properties":{"unsorted":false,"formattedCitation":"(Townsend {\\i{}et al.}, 2008; Myers {\\i{}et al.}, 2013; Zuk, 2016)","plainCitation":"(Townsend et al., 2008; Myers et al., 2013; Zuk, 2016)","noteIndex":0},"citationItems":[{"id":46599,"uris":["http://zotero.org/users/6275788/items/N72BHZNF"],"itemData":{"id":46599,"type":"article-journal","container-title":"Trends in Ecology &amp; Evolution","DOI":"10.1016/j.tree.2008.04.009","ISSN":"01695347","issue":"8","journalAbbreviation":"Trends in Ecology &amp; Evolution","language":"en","license":"https://www.elsevier.com/tdm/userlicense/1.0/","page":"424-431","source":"DOI.org (Crossref)","title":"The biogeochemical heterogeneity of tropical forests","volume":"23","author":[{"family":"Townsend","given":"A"},{"family":"Asner","given":"G"},{"family":"Cleveland","given":"C"}],"issued":{"date-parts":[["2008",8]]}}},{"id":46600,"uris":["http://zotero.org/users/6275788/items/TYFH5WLV"],"itemData":{"id":46600,"type":"article-journal","abstract":"Abstract\n            Site</w:instrText>
      </w:r>
      <w:r w:rsidR="00FF5C0F">
        <w:rPr>
          <w:rFonts w:ascii="Cambria Math" w:hAnsi="Cambria Math" w:cs="Cambria Math"/>
        </w:rPr>
        <w:instrText>‐</w:instrText>
      </w:r>
      <w:r w:rsidR="00FF5C0F">
        <w:instrText>to</w:instrText>
      </w:r>
      <w:r w:rsidR="00FF5C0F">
        <w:rPr>
          <w:rFonts w:ascii="Cambria Math" w:hAnsi="Cambria Math" w:cs="Cambria Math"/>
        </w:rPr>
        <w:instrText>‐</w:instrText>
      </w:r>
      <w:r w:rsidR="00FF5C0F">
        <w:instrText>site variation in species composition (</w:instrText>
      </w:r>
      <w:r w:rsidR="00FF5C0F">
        <w:rPr>
          <w:rFonts w:ascii="Aptos" w:hAnsi="Aptos" w:cs="Aptos"/>
        </w:rPr>
        <w:instrText>β</w:instrText>
      </w:r>
      <w:r w:rsidR="00FF5C0F">
        <w:rPr>
          <w:rFonts w:ascii="Cambria Math" w:hAnsi="Cambria Math" w:cs="Cambria Math"/>
        </w:rPr>
        <w:instrText>‐</w:instrText>
      </w:r>
      <w:r w:rsidR="00FF5C0F">
        <w:instrText>diversity) generally increases from low</w:instrText>
      </w:r>
      <w:r w:rsidR="00FF5C0F">
        <w:rPr>
          <w:rFonts w:ascii="Cambria Math" w:hAnsi="Cambria Math" w:cs="Cambria Math"/>
        </w:rPr>
        <w:instrText>‐</w:instrText>
      </w:r>
      <w:r w:rsidR="00FF5C0F">
        <w:instrText xml:space="preserve"> to high</w:instrText>
      </w:r>
      <w:r w:rsidR="00FF5C0F">
        <w:rPr>
          <w:rFonts w:ascii="Cambria Math" w:hAnsi="Cambria Math" w:cs="Cambria Math"/>
        </w:rPr>
        <w:instrText>‐</w:instrText>
      </w:r>
      <w:r w:rsidR="00FF5C0F">
        <w:instrText xml:space="preserve">diversity regions. Although biogeographical differences in community assembly mechanisms may explain this pattern, random sampling effects can create this pattern through differences in regional species pools. Here, we compared assembly mechanisms between spatially extensive networks of temperate and tropical forest plots with highly divergent species pools (46 vs. 607 species). After controlling for sampling effects, </w:instrText>
      </w:r>
      <w:r w:rsidR="00FF5C0F">
        <w:rPr>
          <w:rFonts w:ascii="Aptos" w:hAnsi="Aptos" w:cs="Aptos"/>
        </w:rPr>
        <w:instrText>β</w:instrText>
      </w:r>
      <w:r w:rsidR="00FF5C0F">
        <w:rPr>
          <w:rFonts w:ascii="Cambria Math" w:hAnsi="Cambria Math" w:cs="Cambria Math"/>
        </w:rPr>
        <w:instrText>‐</w:instrText>
      </w:r>
      <w:r w:rsidR="00FF5C0F">
        <w:instrText>diversity of woody plants was similar and higher than expected by chance in both forests, reflecting strong intraspecific aggregation. However, different mechanisms appeared to explain aggregation in the two forests. In the temperate forest, aggregation reflected stronger environmental correlations, suggesting an important role for species</w:instrText>
      </w:r>
      <w:r w:rsidR="00FF5C0F">
        <w:rPr>
          <w:rFonts w:ascii="Cambria Math" w:hAnsi="Cambria Math" w:cs="Cambria Math"/>
        </w:rPr>
        <w:instrText>‐</w:instrText>
      </w:r>
      <w:r w:rsidR="00FF5C0F">
        <w:instrText>sorting (e.g. environmental filtering) processes, whereas in the tropics, aggregation reflected stronger spatial correlations, more likely reflecting dispersal limitation. We suggest that biogeographical differences in the relative importance of different community assembly mechanisms contribute to these striking gradients in global biodiversity.","container-title":"Ecology Letters","DOI":"10.1111/ele.12021","ISSN":"1461-023X, 1461-0248","issue":"2","journalAbbreviation":"Ecology Letters","language":"en","page":"151-157","source":"DOI.org (Crossref)","title":"Beta</w:instrText>
      </w:r>
      <w:r w:rsidR="00FF5C0F">
        <w:rPr>
          <w:rFonts w:ascii="Cambria Math" w:hAnsi="Cambria Math" w:cs="Cambria Math"/>
        </w:rPr>
        <w:instrText>‐</w:instrText>
      </w:r>
      <w:r w:rsidR="00FF5C0F">
        <w:instrText>diversity in temperate and tropical forests reflects dissimilar mechanisms of community assembly","volume":"16","author":[{"family":"Myers","given":"Jonathan A."},{"family":"Chase","given":"Jonathan M."},{"family":"Jim</w:instrText>
      </w:r>
      <w:r w:rsidR="00FF5C0F">
        <w:rPr>
          <w:rFonts w:ascii="Aptos" w:hAnsi="Aptos" w:cs="Aptos"/>
        </w:rPr>
        <w:instrText>é</w:instrText>
      </w:r>
      <w:r w:rsidR="00FF5C0F">
        <w:instrText>nez","given":"Iv</w:instrText>
      </w:r>
      <w:r w:rsidR="00FF5C0F">
        <w:rPr>
          <w:rFonts w:ascii="Aptos" w:hAnsi="Aptos" w:cs="Aptos"/>
        </w:rPr>
        <w:instrText>á</w:instrText>
      </w:r>
      <w:r w:rsidR="00FF5C0F">
        <w:instrText>n"},{"family":"J</w:instrText>
      </w:r>
      <w:r w:rsidR="00FF5C0F">
        <w:rPr>
          <w:rFonts w:ascii="Aptos" w:hAnsi="Aptos" w:cs="Aptos"/>
        </w:rPr>
        <w:instrText>ø</w:instrText>
      </w:r>
      <w:r w:rsidR="00FF5C0F">
        <w:instrText>rgensen","given":"Peter M."},{"family":"Araujo</w:instrText>
      </w:r>
      <w:r w:rsidR="00FF5C0F">
        <w:rPr>
          <w:rFonts w:ascii="Cambria Math" w:hAnsi="Cambria Math" w:cs="Cambria Math"/>
        </w:rPr>
        <w:instrText>‐</w:instrText>
      </w:r>
      <w:r w:rsidR="00FF5C0F">
        <w:instrText>Murakami","given":"Alejandro"},{"family":"Paniagua</w:instrText>
      </w:r>
      <w:r w:rsidR="00FF5C0F">
        <w:rPr>
          <w:rFonts w:ascii="Cambria Math" w:hAnsi="Cambria Math" w:cs="Cambria Math"/>
        </w:rPr>
        <w:instrText>‐</w:instrText>
      </w:r>
      <w:r w:rsidR="00FF5C0F">
        <w:instrText xml:space="preserve">Zambrana","given":"Narel"},{"family":"Seidel","given":"Renate"}],"editor":[{"family":"Cornell","given":"Howard"}],"issued":{"date-parts":[["2013",2]]}}},{"id":46601,"uris":["http://zotero.org/users/6275788/items/BTDI3FVT"],"itemData":{"id":46601,"type":"article-journal","container-title":"The American Naturalist","DOI":"10.1086/687546","ISSN":"0003-0147, 1537-5323","issue":"S1","journalAbbreviation":"The American Naturalist","language":"en","page":"S1-S7","source":"DOI.org (Crossref)","title":"Temperate Assumptions: How Where We Work Influences How We Think","title-short":"Temperate Assumptions","volume":"188","author":[{"family":"Zuk","given":"Marlene"}],"issued":{"date-parts":[["2016",9]]}}}],"schema":"https://github.com/citation-style-language/schema/raw/master/csl-citation.json"} </w:instrText>
      </w:r>
      <w:r w:rsidR="00FF5C0F">
        <w:fldChar w:fldCharType="separate"/>
      </w:r>
      <w:r w:rsidR="00FF5C0F" w:rsidRPr="00FF5C0F">
        <w:rPr>
          <w:rFonts w:ascii="Aptos" w:hAnsi="Aptos" w:cs="Times New Roman"/>
        </w:rPr>
        <w:t xml:space="preserve">(Townsend </w:t>
      </w:r>
      <w:r w:rsidR="00FF5C0F" w:rsidRPr="00FF5C0F">
        <w:rPr>
          <w:rFonts w:ascii="Aptos" w:hAnsi="Aptos" w:cs="Times New Roman"/>
          <w:i/>
          <w:iCs/>
        </w:rPr>
        <w:t>et al.</w:t>
      </w:r>
      <w:r w:rsidR="00FF5C0F" w:rsidRPr="00FF5C0F">
        <w:rPr>
          <w:rFonts w:ascii="Aptos" w:hAnsi="Aptos" w:cs="Times New Roman"/>
        </w:rPr>
        <w:t xml:space="preserve">, 2008; Myers </w:t>
      </w:r>
      <w:r w:rsidR="00FF5C0F" w:rsidRPr="00FF5C0F">
        <w:rPr>
          <w:rFonts w:ascii="Aptos" w:hAnsi="Aptos" w:cs="Times New Roman"/>
          <w:i/>
          <w:iCs/>
        </w:rPr>
        <w:t>et al.</w:t>
      </w:r>
      <w:r w:rsidR="00FF5C0F" w:rsidRPr="00FF5C0F">
        <w:rPr>
          <w:rFonts w:ascii="Aptos" w:hAnsi="Aptos" w:cs="Times New Roman"/>
        </w:rPr>
        <w:t>, 2013; Zuk, 2016)</w:t>
      </w:r>
      <w:r w:rsidR="00FF5C0F">
        <w:fldChar w:fldCharType="end"/>
      </w:r>
      <w:r>
        <w:t>. This bias represents a</w:t>
      </w:r>
      <w:r w:rsidR="00A14650">
        <w:t>n untapped</w:t>
      </w:r>
      <w:r>
        <w:t xml:space="preserve"> opportunity to understand the full spectrum of endophyte symbioses and their roles in ecosystem processes across the globe.</w:t>
      </w:r>
    </w:p>
    <w:p w14:paraId="25561D4E" w14:textId="77777777" w:rsidR="009F4D6D" w:rsidRDefault="00F10295">
      <w:pPr>
        <w:pStyle w:val="Heading3"/>
      </w:pPr>
      <w:bookmarkStart w:id="47" w:name="X6e474aebd9916d91616fed83507395dbc2487f9"/>
      <w:bookmarkEnd w:id="46"/>
      <w:r>
        <w:t>Economic Privilege as a Driver of Research Effort</w:t>
      </w:r>
    </w:p>
    <w:p w14:paraId="25561D4F" w14:textId="12A888D4" w:rsidR="009F4D6D" w:rsidRDefault="00F10295">
      <w:pPr>
        <w:pStyle w:val="FirstParagraph"/>
      </w:pPr>
      <w:commentRangeStart w:id="48"/>
      <w:r>
        <w:t>Our results demonstrate that research effort follows economic privilege rather than biological richness. The strong positive correlation between a country’s GDP and its study count indicates that the current map of endophyte knowledge is more a reflection of funding and infrastructure than of a strategic effort to explore global biodiversity.</w:t>
      </w:r>
      <w:r w:rsidR="008C6CE7">
        <w:t xml:space="preserve"> </w:t>
      </w:r>
      <w:r w:rsidR="008C6CE7" w:rsidRPr="008C6CE7">
        <w:t>Consequently, the global map of endophyte ecology is a reflection of institutional capacity rather than biological distribution, resulting in a systematic blind spot in regions where fungal novelty and ecosystem service potential are likely highest.</w:t>
      </w:r>
      <w:r>
        <w:t xml:space="preserve"> This is a critical </w:t>
      </w:r>
      <w:r w:rsidR="00AA0BA7">
        <w:t>missed</w:t>
      </w:r>
      <w:r>
        <w:t xml:space="preserve"> opportunity, as these under-explored ecosystems may harbor unique fungal lineages with novel ecological functions and potential for bioprospecting</w:t>
      </w:r>
      <w:r w:rsidR="00C27E41">
        <w:t xml:space="preserve"> </w:t>
      </w:r>
      <w:r w:rsidR="00C27E41">
        <w:fldChar w:fldCharType="begin"/>
      </w:r>
      <w:r w:rsidR="00425F6B">
        <w:instrText xml:space="preserve"> ADDIN ZOTERO_ITEM CSL_CITATION {"citationID":"DvbwvzZS","properties":{"unsorted":false,"formattedCitation":"(Newman &amp; Cragg, 2012; Bertini {\\i{}et al.}, 2022)","plainCitation":"(Newman &amp; Cragg, 2012; Bertini et al., 2022)","noteIndex":0},"citationItems":[{"id":6798,"uris":["http://zotero.org/users/6275788/items/XZ78VHDY"],"itemData":{"id":6798,"type":"article-journal","archive_location":"WOS:000858251300001","container-title":"Journal of Fungi","DOI":"10.3390/jof8090979","ISSN":"2309-608X","issue":"9","title":"Biodiversity and Bioprospecting of Fungal Endophytes from the Antarctic Plant Colobanthus quitensis","volume":"8","author":[{"family":"Bertini","given":"L"},{"family":"Perazzolli","given":"M"},{"family":"Proietti","given":"S"},{"family":"Capaldi","given":"G"},{"family":"Savatin","given":"DV"},{"family":"Bigini","given":"V"},{"family":"Longa","given":"CMO"},{"family":"Basaglia","given":"M"},{"family":"Favaro","given":"L"},{"family":"Casella","given":"S"},{"family":"Fongaro","given":"B"},{"family":"Laureto","given":"PP","non-dropping-particle":"de"},{"family":"Caruso","given":"C"}],"issued":{"date-parts":[["2022",9]]}}},{"id":45209,"uris":["http://zotero.org/users/6275788/items/KEMU4CY2"],"itemData":{"id":45209,"type":"article-journal","container-title":"Journal of Natural Products","DOI":"10.1021/np200906s","ISSN":"0163-3864, 1520-6025","issue":"3","journalAbbreviation":"J. Nat. Prod.","language":"en","page":"311-335","source":"DOI.org (Crossref)","title":"Natural Products As Sources of New Drugs over the 30 Years from 1981 to 2010","volume":"75","author":[{"family":"Newman","given":"David J."},{"family":"Cragg","given":"Gordon M."}],"issued":{"date-parts":[["2012",3,23]]}}}],"schema":"https://github.com/citation-style-language/schema/raw/master/csl-citation.json"} </w:instrText>
      </w:r>
      <w:r w:rsidR="00C27E41">
        <w:fldChar w:fldCharType="separate"/>
      </w:r>
      <w:r w:rsidR="00425F6B" w:rsidRPr="00425F6B">
        <w:rPr>
          <w:rFonts w:ascii="Aptos" w:hAnsi="Aptos" w:cs="Times New Roman"/>
        </w:rPr>
        <w:t xml:space="preserve">(Newman &amp; Cragg, 2012; Bertini </w:t>
      </w:r>
      <w:r w:rsidR="00425F6B" w:rsidRPr="00425F6B">
        <w:rPr>
          <w:rFonts w:ascii="Aptos" w:hAnsi="Aptos" w:cs="Times New Roman"/>
          <w:i/>
          <w:iCs/>
        </w:rPr>
        <w:t>et al.</w:t>
      </w:r>
      <w:r w:rsidR="00425F6B" w:rsidRPr="00425F6B">
        <w:rPr>
          <w:rFonts w:ascii="Aptos" w:hAnsi="Aptos" w:cs="Times New Roman"/>
        </w:rPr>
        <w:t>, 2022)</w:t>
      </w:r>
      <w:r w:rsidR="00C27E41">
        <w:fldChar w:fldCharType="end"/>
      </w:r>
      <w:r>
        <w:t>.</w:t>
      </w:r>
      <w:commentRangeEnd w:id="48"/>
      <w:r w:rsidR="00566ED1">
        <w:rPr>
          <w:rStyle w:val="CommentReference"/>
          <w:sz w:val="24"/>
          <w:szCs w:val="24"/>
        </w:rPr>
        <w:commentReference w:id="48"/>
      </w:r>
    </w:p>
    <w:p w14:paraId="233F944D" w14:textId="38871205" w:rsidR="00EF7681" w:rsidRDefault="00EF7681" w:rsidP="00EF7681">
      <w:pPr>
        <w:pStyle w:val="Style1"/>
      </w:pPr>
      <w:r w:rsidRPr="00EF7681">
        <w:t xml:space="preserve">The Functional Continuum: Beyond Benign Ubiquity </w:t>
      </w:r>
    </w:p>
    <w:p w14:paraId="107CF1D8" w14:textId="05102848" w:rsidR="00EF7681" w:rsidRPr="00EF7681" w:rsidRDefault="00EF7681" w:rsidP="00EF7681">
      <w:pPr>
        <w:pStyle w:val="BodyText"/>
      </w:pPr>
      <w:r w:rsidRPr="00EF7681">
        <w:t>A critical consequence of relying on the generalized claim of ubiquity is that it masks the immense functional diversity</w:t>
      </w:r>
      <w:r w:rsidR="00435ED8">
        <w:t xml:space="preserve"> </w:t>
      </w:r>
      <w:r w:rsidRPr="00EF7681">
        <w:t xml:space="preserve">of the fungi being studied. Our classification of interaction types reveals that over one-third (35.1%) of the specific plant-fungus interactions captured in the endophyte literature are fundamentally focused on pathology. This suggests that a significant portion of our global understanding of </w:t>
      </w:r>
      <w:r w:rsidR="00CC32F0">
        <w:t xml:space="preserve">fungal </w:t>
      </w:r>
      <w:r w:rsidRPr="00EF7681">
        <w:t>endophytes is actually derived from studies of latent pathogens, agricultural disease vectors, and biocontrol antagonists, rather than asymptomatic residents of natural ecosystems.</w:t>
      </w:r>
      <w:r>
        <w:t xml:space="preserve"> </w:t>
      </w:r>
      <w:r w:rsidR="008953BD" w:rsidRPr="008953BD">
        <w:t xml:space="preserve">This functional blurring </w:t>
      </w:r>
      <w:r w:rsidR="008953BD" w:rsidRPr="008953BD">
        <w:lastRenderedPageBreak/>
        <w:t>indicates an inconsistent and often ambiguous application of the term 'endophyte' across the literature.</w:t>
      </w:r>
    </w:p>
    <w:p w14:paraId="6836E266" w14:textId="01AD03E0" w:rsidR="00EF7681" w:rsidRPr="00EF7681" w:rsidRDefault="00EF7681" w:rsidP="00EF7681">
      <w:pPr>
        <w:pStyle w:val="BodyText"/>
      </w:pPr>
      <w:r w:rsidRPr="00EF7681">
        <w:t xml:space="preserve">Furthermore, the explicit capture of mycorrhizal interactions (10.3%) within the endophyte search parameters highlights a pervasive blurring of functional boundaries in the literature. As noted by previous authors </w:t>
      </w:r>
      <w:r w:rsidR="0096791E">
        <w:fldChar w:fldCharType="begin"/>
      </w:r>
      <w:r w:rsidR="0096791E">
        <w:instrText xml:space="preserve"> ADDIN ZOTERO_ITEM CSL_CITATION {"citationID":"UFTC43KE","properties":{"unsorted":false,"formattedCitation":"(Jumpponen, 2001; Schulz &amp; Boyle, 2005; Mandyam &amp; Jumpponen, 2015)","plainCitation":"(Jumpponen, 2001; Schulz &amp; Boyle, 2005; Mandyam &amp; Jumpponen, 2015)","noteIndex":0},"citationItems":[{"id":38516,"uris":["http://zotero.org/users/6275788/items/6AU66H6T"],"itemData":{"id":38516,"type":"article-journal","abstract":"Dark septate endophytes (DSE) are a miscellaneous group of ascomycetous anamorphic fungi that colonize root tissues intracellularly and intercellularly. The limited selection of studies quoted here exemplifies the range of host responses to symbiotic DSE fungi. Like mycorrhizal associations, DSE associations vary from negative to neutral and positive when measured by host performance or host tissue nutrient concentrations. This range of host responses is partially attributable to variation between different fungus taxa and strains. Similarly, hosts differ in their responses to a single DSE strain. Experimental conditions may also govern the nature of the symbiotic association. It is concluded that DSE are capable of forming mutualistic associations functionally similar to mycorrhizas. If the variation in host response to mycorrhizal fungi is considered to represent a continuum ranging from parasitism to mutualism, DSE symbiosis must be considered mycorrhizal, at least under some conditions.","container-title":"Mycorrhiza","DOI":"10.1007/s005720100112","ISSN":"0940-6360, 1432-1890","issue":"4","journalAbbreviation":"Mycorrhiza","language":"en","note":"makes the case for DSE to be classified as mycorrhizal because function is the same. \"Reasonable evidence also exists to show that DSE fungi can, under some environmental or experimental conditions, enhance host growth and nutrient uptake, hence functioning in a manner typical of mycorrhizal associations.\"","page":"207-211","source":"DOI.org (Crossref)","title":"Dark septate endophytes - are they mycorrhizal?","volume":"11","author":[{"family":"Jumpponen","given":"Ari"}],"issued":{"date-parts":[["2001",9,1]]}}},{"id":2589,"uris":["http://zotero.org/users/6275788/items/VHUJWCPQ"],"itemData":{"id":2589,"type":"article-journal","container-title":"Mycological Research","DOI":"10.1017/S095375620500273X","ISSN":"09537562","issue":"6","journalAbbreviation":"Mycological Research","language":"en","note":"hypothesize that fungal endophytes always have some degree of virulence. Balance of antagonism, no neutral interactions.","page":"661-686","source":"DOI.org (Crossref)","title":"The endophytic continuum","volume":"109","author":[{"family":"Schulz","given":"Barbara"},{"family":"Boyle","given":"Christine"}],"issued":{"date-parts":[["2005",6]]}}},{"id":38521,"uris":["http://zotero.org/users/6275788/items/WTJRS9LK"],"itemData":{"id":38521,"type":"article-journal","abstract":"Plant tissues host a variety of fungi. One important group is the dark septate endophytes (DSEs) that colonize plant roots and form characteristic intracellular structures – melanized hyphae and microsclerotia. The DSE associations are common and frequently observed in various biomes and plant taxa. Reviews suggest that the proportion of plant species colonized by DSE equal that colonized by AM and microscopic studies show that the proportion of the root system colonized by fungi DSE can equal, or even exceed, the colonization by AM fungi. Despite the high frequency and suspected ecological importance, the effects of DSE colonization on plant growth and performance have remained unclear. Here, we draw from over a decade of experimentation with the obscure DSE symbiosis and synthesize across large bodies of published and unpublished data from Arabidopsis thaliana and Allium porrum model systems as well as from experiments that use native plants to better resolve the host responses to DSE colonization. The data indicate similar distribution of host responses in model and native plant studies, validating the use of model plants for tractable dissection of DSE symbioses. The available data also permit empirical testing of the environmental modulation of host responses to DSE colonization and reﬁning the “mutualism-parasitism-continuum” paradigm for DSE symbioses. These data highlight the context dependency of the DSE symbioses: not only plant species but also ecotypes vary in their responses to populations of conspeciﬁc DSE fungi – environmental conditions further shift the host responses similar to those predicted based on the mutualismparasitism-continuum paradigm. The model systems provide several established avenues of inquiry that permit more detailed molecular and functional dissection of fungal endophyte symbioses, identifying thus likely mechanisms that may underlie the observed host responses to endophyte colonization.","container-title":"Frontiers in Microbiology","DOI":"10.3389/fmicb.2014.00776","ISSN":"1664-302X","journalAbbreviation":"Front. Microbiol.","language":"en","note":"DSE on mutualism-parasitism continuum","source":"DOI.org (Crossref)","title":"Mutualism-parasitism paradigm synthesized from results of root-endophyte models","URL":"http://journal.frontiersin.org/article/10.3389/fmicb.2014.00776/abstract","volume":"5","author":[{"family":"Mandyam","given":"Keerthi G."},{"family":"Jumpponen","given":"Ari"}],"accessed":{"date-parts":[["2023",7,19]]},"issued":{"date-parts":[["2015",1,12]]}}}],"schema":"https://github.com/citation-style-language/schema/raw/master/csl-citation.json"} </w:instrText>
      </w:r>
      <w:r w:rsidR="0096791E">
        <w:fldChar w:fldCharType="separate"/>
      </w:r>
      <w:r w:rsidR="0096791E" w:rsidRPr="0096791E">
        <w:rPr>
          <w:rFonts w:ascii="Aptos" w:hAnsi="Aptos"/>
        </w:rPr>
        <w:t>(Jumpponen, 2001; Schulz &amp; Boyle, 2005; Mandyam &amp; Jumpponen, 2015)</w:t>
      </w:r>
      <w:r w:rsidR="0096791E">
        <w:fldChar w:fldCharType="end"/>
      </w:r>
      <w:r w:rsidRPr="00EF7681">
        <w:t xml:space="preserve">, the endophytic continuum frequently overlaps with both latent pathogenicity and mycorrhizal mutualisms. </w:t>
      </w:r>
      <w:r w:rsidR="005E5DB9" w:rsidRPr="005E5DB9">
        <w:t xml:space="preserve">By demonstrating that the global evidence base is heavily weighted toward applied and overlapping guilds, we propose a critical biological caveat: the 'ubiquity' of </w:t>
      </w:r>
      <w:r w:rsidR="00CC32F0">
        <w:t xml:space="preserve">fungal </w:t>
      </w:r>
      <w:r w:rsidR="005E5DB9" w:rsidRPr="005E5DB9">
        <w:t>endophytes is a construct that cannot be decoupled from the agricultural and pathogenic contexts in which these fungi are primarily studied.</w:t>
      </w:r>
    </w:p>
    <w:p w14:paraId="25561D50" w14:textId="2B14E97F" w:rsidR="009F4D6D" w:rsidRDefault="00F10295">
      <w:pPr>
        <w:pStyle w:val="Heading3"/>
      </w:pPr>
      <w:bookmarkStart w:id="49" w:name="X74ce0a8a37492e58df89abadb7679730f33fc06"/>
      <w:bookmarkEnd w:id="47"/>
      <w:r>
        <w:t>The Utility and Limitations of an Abstract-</w:t>
      </w:r>
      <w:r w:rsidR="00470874">
        <w:t>Dominated</w:t>
      </w:r>
      <w:r>
        <w:t xml:space="preserve"> Audit</w:t>
      </w:r>
    </w:p>
    <w:p w14:paraId="25561D51" w14:textId="5466ED84" w:rsidR="009F4D6D" w:rsidRDefault="002748B5">
      <w:pPr>
        <w:pStyle w:val="FirstParagraph"/>
      </w:pPr>
      <w:r w:rsidRPr="002748B5">
        <w:t>Given that over 83% of the analyzed corpus remains behind paywalls, relying on abstracts</w:t>
      </w:r>
      <w:r w:rsidR="00D263B6">
        <w:t xml:space="preserve"> when full texts are not available</w:t>
      </w:r>
      <w:r w:rsidRPr="002748B5">
        <w:t xml:space="preserve"> is a necessary limitation of this study. This approach inherently misses endophyte occurrences buried in full texts or supplementary next-generation sequencing (NGS) tables. However, this method serves as a conservative field audit of the most visible evidence</w:t>
      </w:r>
      <w:r>
        <w:t>. If a study’s core findings on endophyte presence are not mentioned in the abstract, their utility for broad-scale synthesis is inherently limited. Furthermore, this approach highlights the systematic barriers created by paywalled science; by relying on the most commonly accessible part of a publication, our analysis maps the boundaries of our default knowledge, which is shaped by what is readily available to the global research community.</w:t>
      </w:r>
    </w:p>
    <w:p w14:paraId="25561D52" w14:textId="2D2BAD58" w:rsidR="009F4D6D" w:rsidRDefault="00F10295">
      <w:pPr>
        <w:pStyle w:val="Heading3"/>
      </w:pPr>
      <w:bookmarkStart w:id="50" w:name="a-roadmap-for-future-sampling"/>
      <w:bookmarkEnd w:id="49"/>
      <w:r>
        <w:t>A Roadmap for Future Sampling</w:t>
      </w:r>
    </w:p>
    <w:p w14:paraId="25561D53" w14:textId="3565D8F4" w:rsidR="009F4D6D" w:rsidRDefault="00F10295">
      <w:pPr>
        <w:pStyle w:val="FirstParagraph"/>
      </w:pPr>
      <w:r>
        <w:t xml:space="preserve">Based on these findings, we propose a strategic roadmap for future endophyte research. To build a more robust and representative understanding of endophyte ecology, sampling efforts should be intentionally directed toward two key areas. First, there is a critical need to explore host lineages that are currently underrepresented in the literature. Our analysis shows a heavy concentration on economically important plant families. A concerted effort to sample early-diverging and non-vascular plant lineages, such as </w:t>
      </w:r>
      <w:r>
        <w:rPr>
          <w:i/>
          <w:iCs/>
        </w:rPr>
        <w:t>Charophyta</w:t>
      </w:r>
      <w:r>
        <w:t xml:space="preserve"> and </w:t>
      </w:r>
      <w:r>
        <w:rPr>
          <w:i/>
          <w:iCs/>
        </w:rPr>
        <w:t>Bryophyta</w:t>
      </w:r>
      <w:r>
        <w:t>, would provide crucial insights into the evolutionary history of endophytism. Second, research must expand into high-biodiversity, low-GDP regions. Countries such as Tonga and large portions of Africa and Central Asia represent significant gaps in our knowledge. A targeted, collaborative effort to sample in these regions is essential for discovering novel fungal diversity and for testing the generality of ecological theories developed in temperate zones. Such a program would not only advance the field of endophyte ecology but also contribute to global biodiversity conservation goals.</w:t>
      </w:r>
    </w:p>
    <w:p w14:paraId="5200AB08" w14:textId="4E6B17C0" w:rsidR="00267A70" w:rsidRDefault="00234BDB" w:rsidP="00267A70">
      <w:pPr>
        <w:pStyle w:val="Style1"/>
      </w:pPr>
      <w:r>
        <w:t>Acknowledgements</w:t>
      </w:r>
    </w:p>
    <w:p w14:paraId="289555AA" w14:textId="7EAE2DC4" w:rsidR="00234BDB" w:rsidRDefault="00267A70" w:rsidP="00267A70">
      <w:r>
        <w:t xml:space="preserve">This work was supported by National Science Foundation (NSF)  MacroSystems grant DEB-1340852 (C.A.G.), US Department of Energy program in Systems Biology Research to </w:t>
      </w:r>
      <w:r>
        <w:lastRenderedPageBreak/>
        <w:t>Advance Sustainable Bioenergy Crop Development (DE-FOA-0002214)(N.C.J.), the Lucking Family Professorship (C.A.G.), the ARCS Foundation (B.M.B.), the Presidential Fellowship Program at NAU (B.M.B.), the Arizona Mushroom Society (B.M.B.), the Support for Graduate Students program at NAU (B.M.B.), and the American Association of University Women’s American Dissertation Fellowship (B.M.B.).</w:t>
      </w:r>
    </w:p>
    <w:p w14:paraId="03275C56" w14:textId="0F7A2045" w:rsidR="00234BDB" w:rsidRDefault="00234BDB" w:rsidP="00234BDB">
      <w:pPr>
        <w:pStyle w:val="Style1"/>
      </w:pPr>
      <w:r>
        <w:t>Author Contributions</w:t>
      </w:r>
    </w:p>
    <w:p w14:paraId="571865AE" w14:textId="417FE0BB" w:rsidR="00234BDB" w:rsidRPr="00234BDB" w:rsidRDefault="00D81CB9" w:rsidP="00234BDB">
      <w:pPr>
        <w:pStyle w:val="BodyText"/>
      </w:pPr>
      <w:r w:rsidRPr="00D81CB9">
        <w:t>B</w:t>
      </w:r>
      <w:r w:rsidR="00584AEA">
        <w:t>.</w:t>
      </w:r>
      <w:r>
        <w:t>M</w:t>
      </w:r>
      <w:r w:rsidR="00584AEA">
        <w:t>.</w:t>
      </w:r>
      <w:r w:rsidRPr="00D81CB9">
        <w:t>B</w:t>
      </w:r>
      <w:r w:rsidR="00584AEA">
        <w:t>.</w:t>
      </w:r>
      <w:r w:rsidRPr="00D81CB9">
        <w:t xml:space="preserve"> conceived the study</w:t>
      </w:r>
      <w:r w:rsidR="00584AEA">
        <w:t xml:space="preserve">, </w:t>
      </w:r>
      <w:r w:rsidRPr="00D81CB9">
        <w:t>developed the pipeline</w:t>
      </w:r>
      <w:r w:rsidR="00584AEA">
        <w:t>, and wrote the manuscript</w:t>
      </w:r>
      <w:r w:rsidRPr="00D81CB9">
        <w:t>.</w:t>
      </w:r>
      <w:r w:rsidR="00584AEA">
        <w:t xml:space="preserve"> N.M., N.C.J., and C.A.G. </w:t>
      </w:r>
      <w:r w:rsidR="00830434">
        <w:t>advised throughout the project and edited the manuscript.</w:t>
      </w:r>
    </w:p>
    <w:p w14:paraId="25561D54" w14:textId="12152C23" w:rsidR="009F4D6D" w:rsidRDefault="001431F9">
      <w:pPr>
        <w:pStyle w:val="Heading2"/>
      </w:pPr>
      <w:bookmarkStart w:id="51" w:name="figure-captions"/>
      <w:bookmarkEnd w:id="42"/>
      <w:bookmarkEnd w:id="50"/>
      <w:r>
        <w:t>Supplementary Figures</w:t>
      </w:r>
    </w:p>
    <w:p w14:paraId="48303B21" w14:textId="6D95D7EB" w:rsidR="009F15C5" w:rsidRDefault="001A1879">
      <w:pPr>
        <w:pStyle w:val="BodyText"/>
      </w:pPr>
      <w:r>
        <w:rPr>
          <w:noProof/>
        </w:rPr>
        <w:drawing>
          <wp:inline distT="0" distB="0" distL="0" distR="0" wp14:anchorId="0406F372" wp14:editId="3C5C69BC">
            <wp:extent cx="5943600" cy="2122805"/>
            <wp:effectExtent l="0" t="0" r="0" b="0"/>
            <wp:docPr id="1733292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25561D59" w14:textId="77777777" w:rsidR="009F4D6D" w:rsidRDefault="00F10295">
      <w:pPr>
        <w:pStyle w:val="BodyText"/>
      </w:pPr>
      <w:r>
        <w:rPr>
          <w:b/>
          <w:bCs/>
        </w:rPr>
        <w:t>Figure S1.</w:t>
      </w:r>
      <w:r>
        <w:t xml:space="preserve"> Correlation heatmap of research effort, economic status, and biodiversity metrics. This figure shows the pairwise correlations between a country’s study count, its Gross Domestic Product (GDP), and various metrics of biodiversity. GDP is the variable most strongly correlated with study count, indicating that economic factors are a primary driver of research intensity.</w:t>
      </w:r>
      <w:bookmarkEnd w:id="3"/>
      <w:bookmarkEnd w:id="51"/>
    </w:p>
    <w:p w14:paraId="343DB548" w14:textId="35C252F9" w:rsidR="00526817" w:rsidRDefault="00322EC2">
      <w:pPr>
        <w:pStyle w:val="BodyText"/>
      </w:pPr>
      <w:r>
        <w:rPr>
          <w:noProof/>
        </w:rPr>
        <w:lastRenderedPageBreak/>
        <w:drawing>
          <wp:inline distT="0" distB="0" distL="0" distR="0" wp14:anchorId="4565052C" wp14:editId="2F41FF21">
            <wp:extent cx="5943600" cy="3962400"/>
            <wp:effectExtent l="0" t="0" r="0" b="0"/>
            <wp:docPr id="11294023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87FF40" w14:textId="0A970763" w:rsidR="00322EC2" w:rsidRPr="00322EC2" w:rsidRDefault="00322EC2">
      <w:pPr>
        <w:pStyle w:val="BodyText"/>
      </w:pPr>
      <w:r>
        <w:rPr>
          <w:b/>
          <w:bCs/>
        </w:rPr>
        <w:t xml:space="preserve">Figure S2: </w:t>
      </w:r>
      <w:r w:rsidR="00034A20">
        <w:t xml:space="preserve">Most frequently studied plant tissues for fungal endophytes. </w:t>
      </w:r>
    </w:p>
    <w:p w14:paraId="67F9C495" w14:textId="77777777" w:rsidR="00526817" w:rsidRDefault="00E942C8">
      <w:pPr>
        <w:pStyle w:val="BodyText"/>
        <w:rPr>
          <w:ins w:id="52" w:author="Beatrice Bock" w:date="2026-05-20T13:04:00Z" w16du:dateUtc="2026-05-20T20:04:00Z"/>
        </w:rPr>
      </w:pPr>
      <w:ins w:id="53" w:author="Beatrice Bock" w:date="2026-05-20T13:04:00Z" w16du:dateUtc="2026-05-20T20:04:00Z">
        <w:r>
          <w:t>Other potential supplemental figures we can include:</w:t>
        </w:r>
      </w:ins>
    </w:p>
    <w:p w14:paraId="73F7894D" w14:textId="77777777" w:rsidR="00E942C8" w:rsidRDefault="00E942C8">
      <w:pPr>
        <w:pStyle w:val="BodyText"/>
        <w:rPr>
          <w:ins w:id="54" w:author="Beatrice Bock" w:date="2026-05-20T13:04:00Z" w16du:dateUtc="2026-05-20T20:04:00Z"/>
        </w:rPr>
      </w:pPr>
    </w:p>
    <w:p w14:paraId="7A5B54DE" w14:textId="77777777" w:rsidR="00E942C8" w:rsidRDefault="006C06B3">
      <w:pPr>
        <w:pStyle w:val="BodyText"/>
        <w:rPr>
          <w:ins w:id="55" w:author="Beatrice Bock" w:date="2026-05-20T13:04:00Z" w16du:dateUtc="2026-05-20T20:04:00Z"/>
        </w:rPr>
      </w:pPr>
      <w:ins w:id="56" w:author="Beatrice Bock" w:date="2026-05-20T13:04:00Z" w16du:dateUtc="2026-05-20T20:04:00Z">
        <w:r>
          <w:rPr>
            <w:noProof/>
          </w:rPr>
          <w:lastRenderedPageBreak/>
          <w:drawing>
            <wp:inline distT="0" distB="0" distL="0" distR="0" wp14:anchorId="5F2DB793" wp14:editId="77E85D96">
              <wp:extent cx="5943600" cy="3782060"/>
              <wp:effectExtent l="0" t="0" r="0" b="0"/>
              <wp:docPr id="11587846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1CD3B945" w14:textId="77777777" w:rsidR="006C06B3" w:rsidRDefault="000D6FC5">
      <w:pPr>
        <w:pStyle w:val="BodyText"/>
        <w:rPr>
          <w:ins w:id="57" w:author="Beatrice Bock" w:date="2026-05-20T13:04:00Z" w16du:dateUtc="2026-05-20T20:04:00Z"/>
        </w:rPr>
      </w:pPr>
      <w:ins w:id="58" w:author="Beatrice Bock" w:date="2026-05-20T13:04:00Z" w16du:dateUtc="2026-05-20T20:04:00Z">
        <w:r>
          <w:rPr>
            <w:noProof/>
          </w:rPr>
          <w:drawing>
            <wp:inline distT="0" distB="0" distL="0" distR="0" wp14:anchorId="285B45DF" wp14:editId="50943196">
              <wp:extent cx="5943600" cy="3467100"/>
              <wp:effectExtent l="0" t="0" r="0" b="0"/>
              <wp:docPr id="117954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ins>
    </w:p>
    <w:p w14:paraId="01773FD9" w14:textId="77777777" w:rsidR="00E942C8" w:rsidRDefault="004A28CD">
      <w:pPr>
        <w:pStyle w:val="BodyText"/>
        <w:rPr>
          <w:ins w:id="59" w:author="Beatrice Bock" w:date="2026-05-20T13:04:00Z" w16du:dateUtc="2026-05-20T20:04:00Z"/>
        </w:rPr>
      </w:pPr>
      <w:ins w:id="60" w:author="Beatrice Bock" w:date="2026-05-20T13:04:00Z" w16du:dateUtc="2026-05-20T20:04:00Z">
        <w:r>
          <w:rPr>
            <w:noProof/>
          </w:rPr>
          <w:lastRenderedPageBreak/>
          <w:drawing>
            <wp:inline distT="0" distB="0" distL="0" distR="0" wp14:anchorId="603F1C76" wp14:editId="7033B3F4">
              <wp:extent cx="5943600" cy="3782060"/>
              <wp:effectExtent l="0" t="0" r="0" b="0"/>
              <wp:docPr id="2076061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ins>
    </w:p>
    <w:p w14:paraId="56D908A6" w14:textId="77777777" w:rsidR="00450237" w:rsidRDefault="007E681B">
      <w:pPr>
        <w:pStyle w:val="BodyText"/>
        <w:rPr>
          <w:ins w:id="61" w:author="Beatrice Bock" w:date="2026-05-20T13:04:00Z" w16du:dateUtc="2026-05-20T20:04:00Z"/>
        </w:rPr>
      </w:pPr>
      <w:ins w:id="62" w:author="Beatrice Bock" w:date="2026-05-20T13:04:00Z" w16du:dateUtc="2026-05-20T20:04:00Z">
        <w:r>
          <w:rPr>
            <w:noProof/>
          </w:rPr>
          <w:drawing>
            <wp:inline distT="0" distB="0" distL="0" distR="0" wp14:anchorId="0A8B96B9" wp14:editId="2821ED15">
              <wp:extent cx="5943600" cy="4160520"/>
              <wp:effectExtent l="0" t="0" r="0" b="0"/>
              <wp:docPr id="12799791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160520"/>
                      </a:xfrm>
                      <a:prstGeom prst="rect">
                        <a:avLst/>
                      </a:prstGeom>
                      <a:noFill/>
                      <a:ln>
                        <a:noFill/>
                      </a:ln>
                    </pic:spPr>
                  </pic:pic>
                </a:graphicData>
              </a:graphic>
            </wp:inline>
          </w:drawing>
        </w:r>
      </w:ins>
    </w:p>
    <w:p w14:paraId="10BC5715" w14:textId="77777777" w:rsidR="00526817" w:rsidRDefault="00526817">
      <w:pPr>
        <w:pStyle w:val="BodyText"/>
      </w:pPr>
    </w:p>
    <w:p w14:paraId="0A94B73F" w14:textId="0F4B3D24" w:rsidR="00526817" w:rsidRDefault="00526817">
      <w:pPr>
        <w:pStyle w:val="BodyText"/>
      </w:pPr>
      <w:r>
        <w:t xml:space="preserve">Works </w:t>
      </w:r>
      <w:commentRangeStart w:id="63"/>
      <w:r>
        <w:t>Cited</w:t>
      </w:r>
      <w:commentRangeEnd w:id="63"/>
      <w:r>
        <w:rPr>
          <w:rStyle w:val="CommentReference"/>
          <w:sz w:val="24"/>
          <w:szCs w:val="24"/>
        </w:rPr>
        <w:commentReference w:id="63"/>
      </w:r>
    </w:p>
    <w:p w14:paraId="44F0CC17" w14:textId="77777777" w:rsidR="0096791E" w:rsidRPr="0096791E" w:rsidRDefault="00526817" w:rsidP="0096791E">
      <w:pPr>
        <w:pStyle w:val="Bibliography"/>
      </w:pPr>
      <w:r>
        <w:fldChar w:fldCharType="begin"/>
      </w:r>
      <w:r w:rsidR="00285150">
        <w:instrText xml:space="preserve"> ADDIN ZOTERO_BIBL {"uncited":[],"omitted":[],"custom":[]} CSL_BIBLIOGRAPHY </w:instrText>
      </w:r>
      <w:r>
        <w:fldChar w:fldCharType="separate"/>
      </w:r>
      <w:r w:rsidR="0096791E" w:rsidRPr="0096791E">
        <w:rPr>
          <w:b/>
          <w:bCs/>
        </w:rPr>
        <w:t>Arnold A, Lutzoni F</w:t>
      </w:r>
      <w:r w:rsidR="0096791E" w:rsidRPr="0096791E">
        <w:t xml:space="preserve">. </w:t>
      </w:r>
      <w:r w:rsidR="0096791E" w:rsidRPr="0096791E">
        <w:rPr>
          <w:b/>
          <w:bCs/>
        </w:rPr>
        <w:t>2007</w:t>
      </w:r>
      <w:r w:rsidR="0096791E" w:rsidRPr="0096791E">
        <w:t xml:space="preserve">. Diversity and host range of foliar fungal endophytes: Are tropical leaves biodiversity hotspots? </w:t>
      </w:r>
      <w:r w:rsidR="0096791E" w:rsidRPr="0096791E">
        <w:rPr>
          <w:i/>
          <w:iCs/>
        </w:rPr>
        <w:t>Ecology</w:t>
      </w:r>
      <w:r w:rsidR="0096791E" w:rsidRPr="0096791E">
        <w:t xml:space="preserve"> </w:t>
      </w:r>
      <w:r w:rsidR="0096791E" w:rsidRPr="0096791E">
        <w:rPr>
          <w:b/>
          <w:bCs/>
        </w:rPr>
        <w:t>88</w:t>
      </w:r>
      <w:r w:rsidR="0096791E" w:rsidRPr="0096791E">
        <w:t>: 541–549.</w:t>
      </w:r>
    </w:p>
    <w:p w14:paraId="64D26F63" w14:textId="77777777" w:rsidR="0096791E" w:rsidRPr="0096791E" w:rsidRDefault="0096791E" w:rsidP="0096791E">
      <w:pPr>
        <w:pStyle w:val="Bibliography"/>
      </w:pPr>
      <w:r w:rsidRPr="0096791E">
        <w:rPr>
          <w:b/>
          <w:bCs/>
        </w:rPr>
        <w:t>Artifex Software Inc</w:t>
      </w:r>
      <w:r w:rsidRPr="0096791E">
        <w:t xml:space="preserve">. </w:t>
      </w:r>
      <w:r w:rsidRPr="0096791E">
        <w:rPr>
          <w:b/>
          <w:bCs/>
        </w:rPr>
        <w:t>2026</w:t>
      </w:r>
      <w:r w:rsidRPr="0096791E">
        <w:t>. PyMuPDF Documentation.</w:t>
      </w:r>
    </w:p>
    <w:p w14:paraId="78080B6B" w14:textId="77777777" w:rsidR="0096791E" w:rsidRPr="0096791E" w:rsidRDefault="0096791E" w:rsidP="0096791E">
      <w:pPr>
        <w:pStyle w:val="Bibliography"/>
      </w:pPr>
      <w:r w:rsidRPr="0096791E">
        <w:rPr>
          <w:b/>
          <w:bCs/>
        </w:rPr>
        <w:t>Baker C</w:t>
      </w:r>
      <w:r w:rsidRPr="0096791E">
        <w:t xml:space="preserve">. </w:t>
      </w:r>
      <w:r w:rsidRPr="0096791E">
        <w:rPr>
          <w:b/>
          <w:bCs/>
        </w:rPr>
        <w:t>2018</w:t>
      </w:r>
      <w:r w:rsidRPr="0096791E">
        <w:t xml:space="preserve">. </w:t>
      </w:r>
      <w:r w:rsidRPr="0096791E">
        <w:rPr>
          <w:i/>
          <w:iCs/>
        </w:rPr>
        <w:t>wosr: Clients to the ‘Web of Science’ and ‘InCites’ APIs</w:t>
      </w:r>
      <w:r w:rsidRPr="0096791E">
        <w:t>.</w:t>
      </w:r>
    </w:p>
    <w:p w14:paraId="67AAFBA2" w14:textId="77777777" w:rsidR="0096791E" w:rsidRPr="0096791E" w:rsidRDefault="0096791E" w:rsidP="0096791E">
      <w:pPr>
        <w:pStyle w:val="Bibliography"/>
      </w:pPr>
      <w:r w:rsidRPr="0096791E">
        <w:rPr>
          <w:b/>
          <w:bCs/>
        </w:rPr>
        <w:t xml:space="preserve">Bertini L, Perazzolli M, Proietti S, Capaldi G, Savatin D, Bigini V, Longa C, Basaglia M, Favaro L, Casella S, </w:t>
      </w:r>
      <w:r w:rsidRPr="0096791E">
        <w:rPr>
          <w:b/>
          <w:bCs/>
          <w:i/>
          <w:iCs/>
        </w:rPr>
        <w:t>et al.</w:t>
      </w:r>
      <w:r w:rsidRPr="0096791E">
        <w:t xml:space="preserve"> </w:t>
      </w:r>
      <w:r w:rsidRPr="0096791E">
        <w:rPr>
          <w:b/>
          <w:bCs/>
        </w:rPr>
        <w:t>2022</w:t>
      </w:r>
      <w:r w:rsidRPr="0096791E">
        <w:t xml:space="preserve">. Biodiversity and Bioprospecting of Fungal Endophytes from the Antarctic Plant Colobanthus quitensis. </w:t>
      </w:r>
      <w:r w:rsidRPr="0096791E">
        <w:rPr>
          <w:i/>
          <w:iCs/>
        </w:rPr>
        <w:t>Journal of Fungi</w:t>
      </w:r>
      <w:r w:rsidRPr="0096791E">
        <w:t xml:space="preserve"> </w:t>
      </w:r>
      <w:r w:rsidRPr="0096791E">
        <w:rPr>
          <w:b/>
          <w:bCs/>
        </w:rPr>
        <w:t>8</w:t>
      </w:r>
      <w:r w:rsidRPr="0096791E">
        <w:t>.</w:t>
      </w:r>
    </w:p>
    <w:p w14:paraId="2584681F" w14:textId="77777777" w:rsidR="0096791E" w:rsidRPr="0096791E" w:rsidRDefault="0096791E" w:rsidP="0096791E">
      <w:pPr>
        <w:pStyle w:val="Bibliography"/>
      </w:pPr>
      <w:r w:rsidRPr="0096791E">
        <w:rPr>
          <w:b/>
          <w:bCs/>
        </w:rPr>
        <w:t>Christie AP, Amano T, Martin PA, Petrovan SO, Shackelford GE, Simmons BI, Smith RK, Williams DR, Wordley CFR, Sutherland WJ</w:t>
      </w:r>
      <w:r w:rsidRPr="0096791E">
        <w:t xml:space="preserve">. </w:t>
      </w:r>
      <w:r w:rsidRPr="0096791E">
        <w:rPr>
          <w:b/>
          <w:bCs/>
        </w:rPr>
        <w:t>2021</w:t>
      </w:r>
      <w:r w:rsidRPr="0096791E">
        <w:t xml:space="preserve">. The challenge of biased evidence in conservation. </w:t>
      </w:r>
      <w:r w:rsidRPr="0096791E">
        <w:rPr>
          <w:i/>
          <w:iCs/>
        </w:rPr>
        <w:t>Conservation Biology</w:t>
      </w:r>
      <w:r w:rsidRPr="0096791E">
        <w:t xml:space="preserve"> </w:t>
      </w:r>
      <w:r w:rsidRPr="0096791E">
        <w:rPr>
          <w:b/>
          <w:bCs/>
        </w:rPr>
        <w:t>35</w:t>
      </w:r>
      <w:r w:rsidRPr="0096791E">
        <w:t>: 249–262.</w:t>
      </w:r>
    </w:p>
    <w:p w14:paraId="639B20CF" w14:textId="77777777" w:rsidR="0096791E" w:rsidRPr="0096791E" w:rsidRDefault="0096791E" w:rsidP="0096791E">
      <w:pPr>
        <w:pStyle w:val="Bibliography"/>
      </w:pPr>
      <w:r w:rsidRPr="0096791E">
        <w:rPr>
          <w:b/>
          <w:bCs/>
          <w:i/>
          <w:iCs/>
        </w:rPr>
        <w:t>Codes for the representation of names of countries and their subdivisions — Part 1: Country codes</w:t>
      </w:r>
      <w:r w:rsidRPr="0096791E">
        <w:t xml:space="preserve">. </w:t>
      </w:r>
      <w:r w:rsidRPr="0096791E">
        <w:rPr>
          <w:b/>
          <w:bCs/>
        </w:rPr>
        <w:t>2020</w:t>
      </w:r>
      <w:r w:rsidRPr="0096791E">
        <w:t>. Geneva, Switzerland: International Organization for Standardization.</w:t>
      </w:r>
    </w:p>
    <w:p w14:paraId="5146A434" w14:textId="77777777" w:rsidR="0096791E" w:rsidRPr="0096791E" w:rsidRDefault="0096791E" w:rsidP="0096791E">
      <w:pPr>
        <w:pStyle w:val="Bibliography"/>
      </w:pPr>
      <w:r w:rsidRPr="0096791E">
        <w:rPr>
          <w:b/>
          <w:bCs/>
        </w:rPr>
        <w:t>Cosner J, Pandharikar G, Tremble K, Nash J, Rush TA, Vilgalys R, Veneault-Fourrey C</w:t>
      </w:r>
      <w:r w:rsidRPr="0096791E">
        <w:t xml:space="preserve">. </w:t>
      </w:r>
      <w:r w:rsidRPr="0096791E">
        <w:rPr>
          <w:b/>
          <w:bCs/>
        </w:rPr>
        <w:t>2025</w:t>
      </w:r>
      <w:r w:rsidRPr="0096791E">
        <w:t xml:space="preserve">. Fungal endophytes. </w:t>
      </w:r>
      <w:r w:rsidRPr="0096791E">
        <w:rPr>
          <w:i/>
          <w:iCs/>
        </w:rPr>
        <w:t>Current Biology</w:t>
      </w:r>
      <w:r w:rsidRPr="0096791E">
        <w:t xml:space="preserve"> </w:t>
      </w:r>
      <w:r w:rsidRPr="0096791E">
        <w:rPr>
          <w:b/>
          <w:bCs/>
        </w:rPr>
        <w:t>35</w:t>
      </w:r>
      <w:r w:rsidRPr="0096791E">
        <w:t>: R904–R910.</w:t>
      </w:r>
    </w:p>
    <w:p w14:paraId="1E163429" w14:textId="77777777" w:rsidR="0096791E" w:rsidRPr="0096791E" w:rsidRDefault="0096791E" w:rsidP="0096791E">
      <w:pPr>
        <w:pStyle w:val="Bibliography"/>
      </w:pPr>
      <w:r w:rsidRPr="0096791E">
        <w:rPr>
          <w:b/>
          <w:bCs/>
        </w:rPr>
        <w:t>Cvitanovic C, Fulton CJ, Wilson SK, Van Kerkhoff L, Cripps IL, Muthiga N</w:t>
      </w:r>
      <w:r w:rsidRPr="0096791E">
        <w:t xml:space="preserve">. </w:t>
      </w:r>
      <w:r w:rsidRPr="0096791E">
        <w:rPr>
          <w:b/>
          <w:bCs/>
        </w:rPr>
        <w:t>2014</w:t>
      </w:r>
      <w:r w:rsidRPr="0096791E">
        <w:t xml:space="preserve">. Utility of primary scientific literature to environmental managers: An international case study on coral-dominated marine protected areas. </w:t>
      </w:r>
      <w:r w:rsidRPr="0096791E">
        <w:rPr>
          <w:i/>
          <w:iCs/>
        </w:rPr>
        <w:t>Ocean &amp; Coastal Management</w:t>
      </w:r>
      <w:r w:rsidRPr="0096791E">
        <w:t xml:space="preserve"> </w:t>
      </w:r>
      <w:r w:rsidRPr="0096791E">
        <w:rPr>
          <w:b/>
          <w:bCs/>
        </w:rPr>
        <w:t>102</w:t>
      </w:r>
      <w:r w:rsidRPr="0096791E">
        <w:t>: 72–78.</w:t>
      </w:r>
    </w:p>
    <w:p w14:paraId="54DBD77E" w14:textId="77777777" w:rsidR="0096791E" w:rsidRPr="0096791E" w:rsidRDefault="0096791E" w:rsidP="0096791E">
      <w:pPr>
        <w:pStyle w:val="Bibliography"/>
      </w:pPr>
      <w:r w:rsidRPr="0096791E">
        <w:rPr>
          <w:b/>
          <w:bCs/>
        </w:rPr>
        <w:t>Davis EC, Shaw AJ</w:t>
      </w:r>
      <w:r w:rsidRPr="0096791E">
        <w:t xml:space="preserve">. </w:t>
      </w:r>
      <w:r w:rsidRPr="0096791E">
        <w:rPr>
          <w:b/>
          <w:bCs/>
        </w:rPr>
        <w:t>2008</w:t>
      </w:r>
      <w:r w:rsidRPr="0096791E">
        <w:t>. Biogeographic and phylogenetic patterns in diversity of liverwort</w:t>
      </w:r>
      <w:r w:rsidRPr="0096791E">
        <w:rPr>
          <w:rFonts w:ascii="Cambria Math" w:hAnsi="Cambria Math" w:cs="Cambria Math"/>
        </w:rPr>
        <w:t>‐</w:t>
      </w:r>
      <w:r w:rsidRPr="0096791E">
        <w:t xml:space="preserve">associated endophytes. </w:t>
      </w:r>
      <w:r w:rsidRPr="0096791E">
        <w:rPr>
          <w:i/>
          <w:iCs/>
        </w:rPr>
        <w:t>American Journal of Botany</w:t>
      </w:r>
      <w:r w:rsidRPr="0096791E">
        <w:t xml:space="preserve"> </w:t>
      </w:r>
      <w:r w:rsidRPr="0096791E">
        <w:rPr>
          <w:b/>
          <w:bCs/>
        </w:rPr>
        <w:t>95</w:t>
      </w:r>
      <w:r w:rsidRPr="0096791E">
        <w:t>: 914–924.</w:t>
      </w:r>
    </w:p>
    <w:p w14:paraId="10E6EB5F" w14:textId="77777777" w:rsidR="0096791E" w:rsidRPr="0096791E" w:rsidRDefault="0096791E" w:rsidP="0096791E">
      <w:pPr>
        <w:pStyle w:val="Bibliography"/>
      </w:pPr>
      <w:r w:rsidRPr="0096791E">
        <w:rPr>
          <w:b/>
          <w:bCs/>
        </w:rPr>
        <w:t>GBIF Secretariat</w:t>
      </w:r>
      <w:r w:rsidRPr="0096791E">
        <w:t xml:space="preserve">. </w:t>
      </w:r>
      <w:r w:rsidRPr="0096791E">
        <w:rPr>
          <w:b/>
          <w:bCs/>
        </w:rPr>
        <w:t>2023</w:t>
      </w:r>
      <w:r w:rsidRPr="0096791E">
        <w:t>. GBIF Backbone Taxonomy.</w:t>
      </w:r>
    </w:p>
    <w:p w14:paraId="05E052E3" w14:textId="77777777" w:rsidR="0096791E" w:rsidRPr="0096791E" w:rsidRDefault="0096791E" w:rsidP="0096791E">
      <w:pPr>
        <w:pStyle w:val="Bibliography"/>
      </w:pPr>
      <w:r w:rsidRPr="0096791E">
        <w:rPr>
          <w:b/>
          <w:bCs/>
        </w:rPr>
        <w:t>Harrison JG, Griffin EA</w:t>
      </w:r>
      <w:r w:rsidRPr="0096791E">
        <w:t xml:space="preserve">. </w:t>
      </w:r>
      <w:r w:rsidRPr="0096791E">
        <w:rPr>
          <w:b/>
          <w:bCs/>
        </w:rPr>
        <w:t>2020</w:t>
      </w:r>
      <w:r w:rsidRPr="0096791E">
        <w:t xml:space="preserve">. The diversity and distribution of endophytes across biomes, plant phylogeny and host tissues: how far have we come and where do we go from here? </w:t>
      </w:r>
      <w:r w:rsidRPr="0096791E">
        <w:rPr>
          <w:i/>
          <w:iCs/>
        </w:rPr>
        <w:t>Environmental Microbiology</w:t>
      </w:r>
      <w:r w:rsidRPr="0096791E">
        <w:t xml:space="preserve"> </w:t>
      </w:r>
      <w:r w:rsidRPr="0096791E">
        <w:rPr>
          <w:b/>
          <w:bCs/>
        </w:rPr>
        <w:t>22</w:t>
      </w:r>
      <w:r w:rsidRPr="0096791E">
        <w:t>: 2107–2123.</w:t>
      </w:r>
    </w:p>
    <w:p w14:paraId="09D88ADC" w14:textId="77777777" w:rsidR="0096791E" w:rsidRPr="0096791E" w:rsidRDefault="0096791E" w:rsidP="0096791E">
      <w:pPr>
        <w:pStyle w:val="Bibliography"/>
      </w:pPr>
      <w:r w:rsidRPr="0096791E">
        <w:rPr>
          <w:b/>
          <w:bCs/>
        </w:rPr>
        <w:t>Hughes A, Orr M, Ma K, Costello M, Waller J, Provoost P, Zhu C, Qiao H</w:t>
      </w:r>
      <w:r w:rsidRPr="0096791E">
        <w:t xml:space="preserve">. </w:t>
      </w:r>
      <w:r w:rsidRPr="0096791E">
        <w:rPr>
          <w:b/>
          <w:bCs/>
        </w:rPr>
        <w:t>2020</w:t>
      </w:r>
      <w:r w:rsidRPr="0096791E">
        <w:t>. Sampling biases shape our view of the natural world.</w:t>
      </w:r>
    </w:p>
    <w:p w14:paraId="5353DCD5" w14:textId="77777777" w:rsidR="0096791E" w:rsidRPr="0096791E" w:rsidRDefault="0096791E" w:rsidP="0096791E">
      <w:pPr>
        <w:pStyle w:val="Bibliography"/>
      </w:pPr>
      <w:r w:rsidRPr="0096791E">
        <w:rPr>
          <w:b/>
          <w:bCs/>
        </w:rPr>
        <w:t>International Union for Conservation of Nature (IUCN)</w:t>
      </w:r>
      <w:r w:rsidRPr="0096791E">
        <w:t xml:space="preserve">. </w:t>
      </w:r>
      <w:r w:rsidRPr="0096791E">
        <w:rPr>
          <w:b/>
          <w:bCs/>
        </w:rPr>
        <w:t>2026</w:t>
      </w:r>
      <w:r w:rsidRPr="0096791E">
        <w:t>. The IUCN Red List of Threatened Species.</w:t>
      </w:r>
    </w:p>
    <w:p w14:paraId="534BB916" w14:textId="77777777" w:rsidR="0096791E" w:rsidRPr="0096791E" w:rsidRDefault="0096791E" w:rsidP="0096791E">
      <w:pPr>
        <w:pStyle w:val="Bibliography"/>
      </w:pPr>
      <w:r w:rsidRPr="0096791E">
        <w:rPr>
          <w:b/>
          <w:bCs/>
        </w:rPr>
        <w:t xml:space="preserve">Jiang AQ, Sablayrolles A, Mensch A, Bamford C, Chaplot DS, Casas D de L, Bressand F, Lengyel G, Lample G, Saulnier L, </w:t>
      </w:r>
      <w:r w:rsidRPr="0096791E">
        <w:rPr>
          <w:b/>
          <w:bCs/>
          <w:i/>
          <w:iCs/>
        </w:rPr>
        <w:t>et al.</w:t>
      </w:r>
      <w:r w:rsidRPr="0096791E">
        <w:t xml:space="preserve"> </w:t>
      </w:r>
      <w:r w:rsidRPr="0096791E">
        <w:rPr>
          <w:b/>
          <w:bCs/>
        </w:rPr>
        <w:t>2023</w:t>
      </w:r>
      <w:r w:rsidRPr="0096791E">
        <w:t>. Mistral 7B.</w:t>
      </w:r>
    </w:p>
    <w:p w14:paraId="1B085570" w14:textId="77777777" w:rsidR="0096791E" w:rsidRPr="0096791E" w:rsidRDefault="0096791E" w:rsidP="0096791E">
      <w:pPr>
        <w:pStyle w:val="Bibliography"/>
      </w:pPr>
      <w:r w:rsidRPr="0096791E">
        <w:rPr>
          <w:b/>
          <w:bCs/>
        </w:rPr>
        <w:lastRenderedPageBreak/>
        <w:t>Jumpponen A</w:t>
      </w:r>
      <w:r w:rsidRPr="0096791E">
        <w:t xml:space="preserve">. </w:t>
      </w:r>
      <w:r w:rsidRPr="0096791E">
        <w:rPr>
          <w:b/>
          <w:bCs/>
        </w:rPr>
        <w:t>2001</w:t>
      </w:r>
      <w:r w:rsidRPr="0096791E">
        <w:t xml:space="preserve">. Dark septate endophytes - are they mycorrhizal? </w:t>
      </w:r>
      <w:r w:rsidRPr="0096791E">
        <w:rPr>
          <w:i/>
          <w:iCs/>
        </w:rPr>
        <w:t>Mycorrhiza</w:t>
      </w:r>
      <w:r w:rsidRPr="0096791E">
        <w:t xml:space="preserve"> </w:t>
      </w:r>
      <w:r w:rsidRPr="0096791E">
        <w:rPr>
          <w:b/>
          <w:bCs/>
        </w:rPr>
        <w:t>11</w:t>
      </w:r>
      <w:r w:rsidRPr="0096791E">
        <w:t>: 207–211.</w:t>
      </w:r>
    </w:p>
    <w:p w14:paraId="29C2785D" w14:textId="77777777" w:rsidR="0096791E" w:rsidRPr="0096791E" w:rsidRDefault="0096791E" w:rsidP="0096791E">
      <w:pPr>
        <w:pStyle w:val="Bibliography"/>
      </w:pPr>
      <w:r w:rsidRPr="0096791E">
        <w:rPr>
          <w:b/>
          <w:bCs/>
        </w:rPr>
        <w:t>Kusari S, Hertweck C, Spiteller M</w:t>
      </w:r>
      <w:r w:rsidRPr="0096791E">
        <w:t xml:space="preserve">. </w:t>
      </w:r>
      <w:r w:rsidRPr="0096791E">
        <w:rPr>
          <w:b/>
          <w:bCs/>
        </w:rPr>
        <w:t>2012</w:t>
      </w:r>
      <w:r w:rsidRPr="0096791E">
        <w:t xml:space="preserve">. Chemical Ecology of Endophytic Fungi: Origins of Secondary Metabolites. </w:t>
      </w:r>
      <w:r w:rsidRPr="0096791E">
        <w:rPr>
          <w:i/>
          <w:iCs/>
        </w:rPr>
        <w:t>Chemistry &amp; Biology</w:t>
      </w:r>
      <w:r w:rsidRPr="0096791E">
        <w:t xml:space="preserve"> </w:t>
      </w:r>
      <w:r w:rsidRPr="0096791E">
        <w:rPr>
          <w:b/>
          <w:bCs/>
        </w:rPr>
        <w:t>19</w:t>
      </w:r>
      <w:r w:rsidRPr="0096791E">
        <w:t>: 792–798.</w:t>
      </w:r>
    </w:p>
    <w:p w14:paraId="249056FD" w14:textId="77777777" w:rsidR="0096791E" w:rsidRPr="0096791E" w:rsidRDefault="0096791E" w:rsidP="0096791E">
      <w:pPr>
        <w:pStyle w:val="Bibliography"/>
      </w:pPr>
      <w:r w:rsidRPr="0096791E">
        <w:rPr>
          <w:b/>
          <w:bCs/>
        </w:rPr>
        <w:t>Mandyam KG, Jumpponen A</w:t>
      </w:r>
      <w:r w:rsidRPr="0096791E">
        <w:t xml:space="preserve">. </w:t>
      </w:r>
      <w:r w:rsidRPr="0096791E">
        <w:rPr>
          <w:b/>
          <w:bCs/>
        </w:rPr>
        <w:t>2015</w:t>
      </w:r>
      <w:r w:rsidRPr="0096791E">
        <w:t xml:space="preserve">. Mutualism-parasitism paradigm synthesized from results of root-endophyte models. </w:t>
      </w:r>
      <w:r w:rsidRPr="0096791E">
        <w:rPr>
          <w:i/>
          <w:iCs/>
        </w:rPr>
        <w:t>Frontiers in Microbiology</w:t>
      </w:r>
      <w:r w:rsidRPr="0096791E">
        <w:t xml:space="preserve"> </w:t>
      </w:r>
      <w:r w:rsidRPr="0096791E">
        <w:rPr>
          <w:b/>
          <w:bCs/>
        </w:rPr>
        <w:t>5</w:t>
      </w:r>
      <w:r w:rsidRPr="0096791E">
        <w:t>.</w:t>
      </w:r>
    </w:p>
    <w:p w14:paraId="5065DB29" w14:textId="77777777" w:rsidR="0096791E" w:rsidRPr="0096791E" w:rsidRDefault="0096791E" w:rsidP="0096791E">
      <w:pPr>
        <w:pStyle w:val="Bibliography"/>
      </w:pPr>
      <w:r w:rsidRPr="0096791E">
        <w:rPr>
          <w:b/>
          <w:bCs/>
        </w:rPr>
        <w:t>Massicotte P, South A</w:t>
      </w:r>
      <w:r w:rsidRPr="0096791E">
        <w:t xml:space="preserve">. </w:t>
      </w:r>
      <w:r w:rsidRPr="0096791E">
        <w:rPr>
          <w:b/>
          <w:bCs/>
        </w:rPr>
        <w:t>2026</w:t>
      </w:r>
      <w:r w:rsidRPr="0096791E">
        <w:t xml:space="preserve">. </w:t>
      </w:r>
      <w:r w:rsidRPr="0096791E">
        <w:rPr>
          <w:i/>
          <w:iCs/>
        </w:rPr>
        <w:t>rnaturalearth: World Map Data from Natural Earth</w:t>
      </w:r>
      <w:r w:rsidRPr="0096791E">
        <w:t>.</w:t>
      </w:r>
    </w:p>
    <w:p w14:paraId="6E959706" w14:textId="77777777" w:rsidR="0096791E" w:rsidRPr="0096791E" w:rsidRDefault="0096791E" w:rsidP="0096791E">
      <w:pPr>
        <w:pStyle w:val="Bibliography"/>
      </w:pPr>
      <w:r w:rsidRPr="0096791E">
        <w:rPr>
          <w:b/>
          <w:bCs/>
        </w:rPr>
        <w:t>Microsoft</w:t>
      </w:r>
      <w:r w:rsidRPr="0096791E">
        <w:t xml:space="preserve">. </w:t>
      </w:r>
      <w:r w:rsidRPr="0096791E">
        <w:rPr>
          <w:b/>
          <w:bCs/>
        </w:rPr>
        <w:t>2026</w:t>
      </w:r>
      <w:r w:rsidRPr="0096791E">
        <w:t>. Visual Studio Code.</w:t>
      </w:r>
    </w:p>
    <w:p w14:paraId="7BCFA6EE" w14:textId="77777777" w:rsidR="0096791E" w:rsidRPr="0096791E" w:rsidRDefault="0096791E" w:rsidP="0096791E">
      <w:pPr>
        <w:pStyle w:val="Bibliography"/>
      </w:pPr>
      <w:r w:rsidRPr="0096791E">
        <w:rPr>
          <w:b/>
          <w:bCs/>
        </w:rPr>
        <w:t>Mörsdorf MA, Ravolainen VT, Støvern LE, Yoccoz NG, Jónsdóttir IS, Bråthen KA</w:t>
      </w:r>
      <w:r w:rsidRPr="0096791E">
        <w:t xml:space="preserve">. </w:t>
      </w:r>
      <w:r w:rsidRPr="0096791E">
        <w:rPr>
          <w:b/>
          <w:bCs/>
        </w:rPr>
        <w:t>2015</w:t>
      </w:r>
      <w:r w:rsidRPr="0096791E">
        <w:t xml:space="preserve">. Definition of sampling units begets conclusions in ecology: the case of habitats for plant communities. </w:t>
      </w:r>
      <w:r w:rsidRPr="0096791E">
        <w:rPr>
          <w:i/>
          <w:iCs/>
        </w:rPr>
        <w:t>PeerJ</w:t>
      </w:r>
      <w:r w:rsidRPr="0096791E">
        <w:t xml:space="preserve"> </w:t>
      </w:r>
      <w:r w:rsidRPr="0096791E">
        <w:rPr>
          <w:b/>
          <w:bCs/>
        </w:rPr>
        <w:t>3</w:t>
      </w:r>
      <w:r w:rsidRPr="0096791E">
        <w:t>: e815.</w:t>
      </w:r>
    </w:p>
    <w:p w14:paraId="6843EC13" w14:textId="77777777" w:rsidR="0096791E" w:rsidRPr="0096791E" w:rsidRDefault="0096791E" w:rsidP="0096791E">
      <w:pPr>
        <w:pStyle w:val="Bibliography"/>
      </w:pPr>
      <w:r w:rsidRPr="0096791E">
        <w:rPr>
          <w:b/>
          <w:bCs/>
        </w:rPr>
        <w:t>Muschelli J</w:t>
      </w:r>
      <w:r w:rsidRPr="0096791E">
        <w:t xml:space="preserve">. </w:t>
      </w:r>
      <w:r w:rsidRPr="0096791E">
        <w:rPr>
          <w:b/>
          <w:bCs/>
        </w:rPr>
        <w:t>2025</w:t>
      </w:r>
      <w:r w:rsidRPr="0096791E">
        <w:t xml:space="preserve">. </w:t>
      </w:r>
      <w:r w:rsidRPr="0096791E">
        <w:rPr>
          <w:i/>
          <w:iCs/>
        </w:rPr>
        <w:t>rscopus: Scopus Database ‘API’ Interface</w:t>
      </w:r>
      <w:r w:rsidRPr="0096791E">
        <w:t>.</w:t>
      </w:r>
    </w:p>
    <w:p w14:paraId="10C4793C" w14:textId="77777777" w:rsidR="0096791E" w:rsidRPr="0096791E" w:rsidRDefault="0096791E" w:rsidP="0096791E">
      <w:pPr>
        <w:pStyle w:val="Bibliography"/>
      </w:pPr>
      <w:r w:rsidRPr="0096791E">
        <w:rPr>
          <w:b/>
          <w:bCs/>
        </w:rPr>
        <w:t>Myers JA, Chase JM, Jiménez I, Jørgensen PM, Araujo</w:t>
      </w:r>
      <w:r w:rsidRPr="0096791E">
        <w:rPr>
          <w:rFonts w:ascii="Cambria Math" w:hAnsi="Cambria Math" w:cs="Cambria Math"/>
          <w:b/>
          <w:bCs/>
        </w:rPr>
        <w:t>‐</w:t>
      </w:r>
      <w:r w:rsidRPr="0096791E">
        <w:rPr>
          <w:b/>
          <w:bCs/>
        </w:rPr>
        <w:t>Murakami A, Paniagua</w:t>
      </w:r>
      <w:r w:rsidRPr="0096791E">
        <w:rPr>
          <w:rFonts w:ascii="Cambria Math" w:hAnsi="Cambria Math" w:cs="Cambria Math"/>
          <w:b/>
          <w:bCs/>
        </w:rPr>
        <w:t>‐</w:t>
      </w:r>
      <w:r w:rsidRPr="0096791E">
        <w:rPr>
          <w:b/>
          <w:bCs/>
        </w:rPr>
        <w:t>Zambrana N, Seidel R</w:t>
      </w:r>
      <w:r w:rsidRPr="0096791E">
        <w:t xml:space="preserve">. </w:t>
      </w:r>
      <w:r w:rsidRPr="0096791E">
        <w:rPr>
          <w:b/>
          <w:bCs/>
        </w:rPr>
        <w:t>2013</w:t>
      </w:r>
      <w:r w:rsidRPr="0096791E">
        <w:t>. Beta</w:t>
      </w:r>
      <w:r w:rsidRPr="0096791E">
        <w:rPr>
          <w:rFonts w:ascii="Cambria Math" w:hAnsi="Cambria Math" w:cs="Cambria Math"/>
        </w:rPr>
        <w:t>‐</w:t>
      </w:r>
      <w:r w:rsidRPr="0096791E">
        <w:t xml:space="preserve">diversity in temperate and tropical forests reflects dissimilar mechanisms of community assembly (H Cornell, Ed.). </w:t>
      </w:r>
      <w:r w:rsidRPr="0096791E">
        <w:rPr>
          <w:i/>
          <w:iCs/>
        </w:rPr>
        <w:t>Ecology Letters</w:t>
      </w:r>
      <w:r w:rsidRPr="0096791E">
        <w:t xml:space="preserve"> </w:t>
      </w:r>
      <w:r w:rsidRPr="0096791E">
        <w:rPr>
          <w:b/>
          <w:bCs/>
        </w:rPr>
        <w:t>16</w:t>
      </w:r>
      <w:r w:rsidRPr="0096791E">
        <w:t>: 151–157.</w:t>
      </w:r>
    </w:p>
    <w:p w14:paraId="5C6BAE97" w14:textId="77777777" w:rsidR="0096791E" w:rsidRPr="0096791E" w:rsidRDefault="0096791E" w:rsidP="0096791E">
      <w:pPr>
        <w:pStyle w:val="Bibliography"/>
      </w:pPr>
      <w:r w:rsidRPr="0096791E">
        <w:rPr>
          <w:b/>
          <w:bCs/>
        </w:rPr>
        <w:t>Newman DJ, Cragg GM</w:t>
      </w:r>
      <w:r w:rsidRPr="0096791E">
        <w:t xml:space="preserve">. </w:t>
      </w:r>
      <w:r w:rsidRPr="0096791E">
        <w:rPr>
          <w:b/>
          <w:bCs/>
        </w:rPr>
        <w:t>2012</w:t>
      </w:r>
      <w:r w:rsidRPr="0096791E">
        <w:t xml:space="preserve">. Natural Products As Sources of New Drugs over the 30 Years from 1981 to 2010. </w:t>
      </w:r>
      <w:r w:rsidRPr="0096791E">
        <w:rPr>
          <w:i/>
          <w:iCs/>
        </w:rPr>
        <w:t>Journal of Natural Products</w:t>
      </w:r>
      <w:r w:rsidRPr="0096791E">
        <w:t xml:space="preserve"> </w:t>
      </w:r>
      <w:r w:rsidRPr="0096791E">
        <w:rPr>
          <w:b/>
          <w:bCs/>
        </w:rPr>
        <w:t>75</w:t>
      </w:r>
      <w:r w:rsidRPr="0096791E">
        <w:t>: 311–335.</w:t>
      </w:r>
    </w:p>
    <w:p w14:paraId="2A15AEBF" w14:textId="77777777" w:rsidR="0096791E" w:rsidRPr="0096791E" w:rsidRDefault="0096791E" w:rsidP="0096791E">
      <w:pPr>
        <w:pStyle w:val="Bibliography"/>
      </w:pPr>
      <w:r w:rsidRPr="0096791E">
        <w:rPr>
          <w:b/>
          <w:bCs/>
        </w:rPr>
        <w:t>Nuñez MA, Chiuffo MC, Pauchard A, Zenni RD</w:t>
      </w:r>
      <w:r w:rsidRPr="0096791E">
        <w:t xml:space="preserve">. </w:t>
      </w:r>
      <w:r w:rsidRPr="0096791E">
        <w:rPr>
          <w:b/>
          <w:bCs/>
        </w:rPr>
        <w:t>2021</w:t>
      </w:r>
      <w:r w:rsidRPr="0096791E">
        <w:t xml:space="preserve">. Making ecology really global. </w:t>
      </w:r>
      <w:r w:rsidRPr="0096791E">
        <w:rPr>
          <w:i/>
          <w:iCs/>
        </w:rPr>
        <w:t>Trends in Ecology &amp; Evolution</w:t>
      </w:r>
      <w:r w:rsidRPr="0096791E">
        <w:t xml:space="preserve"> </w:t>
      </w:r>
      <w:r w:rsidRPr="0096791E">
        <w:rPr>
          <w:b/>
          <w:bCs/>
        </w:rPr>
        <w:t>36</w:t>
      </w:r>
      <w:r w:rsidRPr="0096791E">
        <w:t>: 766–769.</w:t>
      </w:r>
    </w:p>
    <w:p w14:paraId="1CDDB1B3" w14:textId="77777777" w:rsidR="0096791E" w:rsidRPr="0096791E" w:rsidRDefault="0096791E" w:rsidP="0096791E">
      <w:pPr>
        <w:pStyle w:val="Bibliography"/>
      </w:pPr>
      <w:r w:rsidRPr="0096791E">
        <w:rPr>
          <w:b/>
          <w:bCs/>
        </w:rPr>
        <w:t>Okabe M, Ito K</w:t>
      </w:r>
      <w:r w:rsidRPr="0096791E">
        <w:t xml:space="preserve">. </w:t>
      </w:r>
      <w:r w:rsidRPr="0096791E">
        <w:rPr>
          <w:b/>
          <w:bCs/>
        </w:rPr>
        <w:t>2008</w:t>
      </w:r>
      <w:r w:rsidRPr="0096791E">
        <w:t>. Color Universal Design (CUD): How to make figures and presentations that are friendly to colorblind people.</w:t>
      </w:r>
    </w:p>
    <w:p w14:paraId="7FF6F179" w14:textId="77777777" w:rsidR="0096791E" w:rsidRPr="0096791E" w:rsidRDefault="0096791E" w:rsidP="0096791E">
      <w:pPr>
        <w:pStyle w:val="Bibliography"/>
      </w:pPr>
      <w:r w:rsidRPr="0096791E">
        <w:rPr>
          <w:b/>
          <w:bCs/>
        </w:rPr>
        <w:t>Ooms J</w:t>
      </w:r>
      <w:r w:rsidRPr="0096791E">
        <w:t xml:space="preserve">. </w:t>
      </w:r>
      <w:r w:rsidRPr="0096791E">
        <w:rPr>
          <w:b/>
          <w:bCs/>
        </w:rPr>
        <w:t>2024</w:t>
      </w:r>
      <w:r w:rsidRPr="0096791E">
        <w:t xml:space="preserve">. </w:t>
      </w:r>
      <w:r w:rsidRPr="0096791E">
        <w:rPr>
          <w:i/>
          <w:iCs/>
        </w:rPr>
        <w:t>jsonlite: A Robust, High-Performance JSON Parser and Generator for R</w:t>
      </w:r>
      <w:r w:rsidRPr="0096791E">
        <w:t>.</w:t>
      </w:r>
    </w:p>
    <w:p w14:paraId="3F9A99CE" w14:textId="77777777" w:rsidR="0096791E" w:rsidRPr="0096791E" w:rsidRDefault="0096791E" w:rsidP="0096791E">
      <w:pPr>
        <w:pStyle w:val="Bibliography"/>
      </w:pPr>
      <w:r w:rsidRPr="00470874">
        <w:rPr>
          <w:b/>
          <w:bCs/>
          <w:lang w:val="sv-SE"/>
        </w:rPr>
        <w:t>Orlando L, Rivera-Rebella C, Pinelli V, Pereira-Garbero R, Hernandez D, Ortiz E, Ziegler L</w:t>
      </w:r>
      <w:r w:rsidRPr="00470874">
        <w:rPr>
          <w:lang w:val="sv-SE"/>
        </w:rPr>
        <w:t xml:space="preserve">. </w:t>
      </w:r>
      <w:r w:rsidRPr="00470874">
        <w:rPr>
          <w:b/>
          <w:bCs/>
          <w:lang w:val="sv-SE"/>
        </w:rPr>
        <w:t>2018</w:t>
      </w:r>
      <w:r w:rsidRPr="00470874">
        <w:rPr>
          <w:lang w:val="sv-SE"/>
        </w:rPr>
        <w:t xml:space="preserve">. </w:t>
      </w:r>
      <w:r w:rsidRPr="0096791E">
        <w:t xml:space="preserve">100 articles every ecologist can actually read? </w:t>
      </w:r>
      <w:r w:rsidRPr="0096791E">
        <w:rPr>
          <w:i/>
          <w:iCs/>
        </w:rPr>
        <w:t>Neotropical Biology and Conservation</w:t>
      </w:r>
      <w:r w:rsidRPr="0096791E">
        <w:t xml:space="preserve"> </w:t>
      </w:r>
      <w:r w:rsidRPr="0096791E">
        <w:rPr>
          <w:b/>
          <w:bCs/>
        </w:rPr>
        <w:t>13</w:t>
      </w:r>
      <w:r w:rsidRPr="0096791E">
        <w:t>: 334–336.</w:t>
      </w:r>
    </w:p>
    <w:p w14:paraId="290B4E93" w14:textId="77777777" w:rsidR="0096791E" w:rsidRPr="0096791E" w:rsidRDefault="0096791E" w:rsidP="0096791E">
      <w:pPr>
        <w:pStyle w:val="Bibliography"/>
      </w:pPr>
      <w:r w:rsidRPr="0096791E">
        <w:rPr>
          <w:b/>
          <w:bCs/>
        </w:rPr>
        <w:t>Pebesma E</w:t>
      </w:r>
      <w:r w:rsidRPr="0096791E">
        <w:t xml:space="preserve">. </w:t>
      </w:r>
      <w:r w:rsidRPr="0096791E">
        <w:rPr>
          <w:b/>
          <w:bCs/>
        </w:rPr>
        <w:t>2018</w:t>
      </w:r>
      <w:r w:rsidRPr="0096791E">
        <w:t xml:space="preserve">. Simple Features for R: Standardized Support for Spatial Vector Data. </w:t>
      </w:r>
      <w:r w:rsidRPr="0096791E">
        <w:rPr>
          <w:i/>
          <w:iCs/>
        </w:rPr>
        <w:t>The R Journal</w:t>
      </w:r>
      <w:r w:rsidRPr="0096791E">
        <w:t xml:space="preserve"> </w:t>
      </w:r>
      <w:r w:rsidRPr="0096791E">
        <w:rPr>
          <w:b/>
          <w:bCs/>
        </w:rPr>
        <w:t>10</w:t>
      </w:r>
      <w:r w:rsidRPr="0096791E">
        <w:t>: 439–446.</w:t>
      </w:r>
    </w:p>
    <w:p w14:paraId="31D235F8" w14:textId="77777777" w:rsidR="0096791E" w:rsidRPr="0096791E" w:rsidRDefault="0096791E" w:rsidP="0096791E">
      <w:pPr>
        <w:pStyle w:val="Bibliography"/>
      </w:pPr>
      <w:r w:rsidRPr="0096791E">
        <w:rPr>
          <w:b/>
          <w:bCs/>
        </w:rPr>
        <w:t>Petrini O</w:t>
      </w:r>
      <w:r w:rsidRPr="0096791E">
        <w:t xml:space="preserve">. </w:t>
      </w:r>
      <w:r w:rsidRPr="0096791E">
        <w:rPr>
          <w:b/>
          <w:bCs/>
        </w:rPr>
        <w:t>1991</w:t>
      </w:r>
      <w:r w:rsidRPr="0096791E">
        <w:t>. Fungal Endophytes of Tree Leaves. In: Andrews JH, Hirano SS, eds. Brock/Springer Series in Contemporary Bioscience. Microbial Ecology of Leaves. New York, NY: Springer New York, 179–197.</w:t>
      </w:r>
    </w:p>
    <w:p w14:paraId="686D3964" w14:textId="77777777" w:rsidR="0096791E" w:rsidRPr="0096791E" w:rsidRDefault="0096791E" w:rsidP="0096791E">
      <w:pPr>
        <w:pStyle w:val="Bibliography"/>
      </w:pPr>
      <w:r w:rsidRPr="0096791E">
        <w:rPr>
          <w:b/>
          <w:bCs/>
        </w:rPr>
        <w:lastRenderedPageBreak/>
        <w:t>Piwowar H, Priem J, Larivière V, Alperin JP, Matthias L, Norlander B, Farley A, West J, Haustein S</w:t>
      </w:r>
      <w:r w:rsidRPr="0096791E">
        <w:t xml:space="preserve">. </w:t>
      </w:r>
      <w:r w:rsidRPr="0096791E">
        <w:rPr>
          <w:b/>
          <w:bCs/>
        </w:rPr>
        <w:t>2018</w:t>
      </w:r>
      <w:r w:rsidRPr="0096791E">
        <w:t xml:space="preserve">. The state of OA: a large-scale analysis of the prevalence and impact of Open Access articles. </w:t>
      </w:r>
      <w:r w:rsidRPr="0096791E">
        <w:rPr>
          <w:i/>
          <w:iCs/>
        </w:rPr>
        <w:t>PeerJ</w:t>
      </w:r>
      <w:r w:rsidRPr="0096791E">
        <w:t xml:space="preserve"> </w:t>
      </w:r>
      <w:r w:rsidRPr="0096791E">
        <w:rPr>
          <w:b/>
          <w:bCs/>
        </w:rPr>
        <w:t>6</w:t>
      </w:r>
      <w:r w:rsidRPr="0096791E">
        <w:t>: e4375.</w:t>
      </w:r>
    </w:p>
    <w:p w14:paraId="413FAA6A" w14:textId="77777777" w:rsidR="0096791E" w:rsidRPr="0096791E" w:rsidRDefault="0096791E" w:rsidP="0096791E">
      <w:pPr>
        <w:pStyle w:val="Bibliography"/>
      </w:pPr>
      <w:r w:rsidRPr="0096791E">
        <w:rPr>
          <w:b/>
          <w:bCs/>
        </w:rPr>
        <w:t>Priem J, Piwowar H, Orr R</w:t>
      </w:r>
      <w:r w:rsidRPr="0096791E">
        <w:t xml:space="preserve">. </w:t>
      </w:r>
      <w:r w:rsidRPr="0096791E">
        <w:rPr>
          <w:b/>
          <w:bCs/>
        </w:rPr>
        <w:t>2016</w:t>
      </w:r>
      <w:r w:rsidRPr="0096791E">
        <w:t>. Unpaywall API.</w:t>
      </w:r>
    </w:p>
    <w:p w14:paraId="42796C5D" w14:textId="77777777" w:rsidR="0096791E" w:rsidRPr="0096791E" w:rsidRDefault="0096791E" w:rsidP="0096791E">
      <w:pPr>
        <w:pStyle w:val="Bibliography"/>
      </w:pPr>
      <w:r w:rsidRPr="0096791E">
        <w:rPr>
          <w:b/>
          <w:bCs/>
        </w:rPr>
        <w:t>Pyšek P, Richardson DM, Pergl J, Jarošík V, Sixtová Z, Weber E</w:t>
      </w:r>
      <w:r w:rsidRPr="0096791E">
        <w:t xml:space="preserve">. </w:t>
      </w:r>
      <w:r w:rsidRPr="0096791E">
        <w:rPr>
          <w:b/>
          <w:bCs/>
        </w:rPr>
        <w:t>2008</w:t>
      </w:r>
      <w:r w:rsidRPr="0096791E">
        <w:t xml:space="preserve">. Geographical and taxonomic biases in invasion ecology. </w:t>
      </w:r>
      <w:r w:rsidRPr="0096791E">
        <w:rPr>
          <w:i/>
          <w:iCs/>
        </w:rPr>
        <w:t>Trends in Ecology &amp; Evolution</w:t>
      </w:r>
      <w:r w:rsidRPr="0096791E">
        <w:t xml:space="preserve"> </w:t>
      </w:r>
      <w:r w:rsidRPr="0096791E">
        <w:rPr>
          <w:b/>
          <w:bCs/>
        </w:rPr>
        <w:t>23</w:t>
      </w:r>
      <w:r w:rsidRPr="0096791E">
        <w:t>: 237–244.</w:t>
      </w:r>
    </w:p>
    <w:p w14:paraId="473F0D0B" w14:textId="77777777" w:rsidR="0096791E" w:rsidRPr="0096791E" w:rsidRDefault="0096791E" w:rsidP="0096791E">
      <w:pPr>
        <w:pStyle w:val="Bibliography"/>
      </w:pPr>
      <w:r w:rsidRPr="0096791E">
        <w:rPr>
          <w:b/>
          <w:bCs/>
        </w:rPr>
        <w:t>Python Software Foundation</w:t>
      </w:r>
      <w:r w:rsidRPr="0096791E">
        <w:t xml:space="preserve">. </w:t>
      </w:r>
      <w:r w:rsidRPr="0096791E">
        <w:rPr>
          <w:b/>
          <w:bCs/>
        </w:rPr>
        <w:t>2025</w:t>
      </w:r>
      <w:r w:rsidRPr="0096791E">
        <w:t xml:space="preserve">. </w:t>
      </w:r>
      <w:r w:rsidRPr="0096791E">
        <w:rPr>
          <w:i/>
          <w:iCs/>
        </w:rPr>
        <w:t>Python Language Reference, Version 3.13.5</w:t>
      </w:r>
      <w:r w:rsidRPr="0096791E">
        <w:t>.</w:t>
      </w:r>
    </w:p>
    <w:p w14:paraId="58E42FFE" w14:textId="77777777" w:rsidR="0096791E" w:rsidRPr="0096791E" w:rsidRDefault="0096791E" w:rsidP="0096791E">
      <w:pPr>
        <w:pStyle w:val="Bibliography"/>
      </w:pPr>
      <w:r w:rsidRPr="0096791E">
        <w:rPr>
          <w:b/>
          <w:bCs/>
        </w:rPr>
        <w:t>R Core Team</w:t>
      </w:r>
      <w:r w:rsidRPr="0096791E">
        <w:t xml:space="preserve">. </w:t>
      </w:r>
      <w:r w:rsidRPr="0096791E">
        <w:rPr>
          <w:b/>
          <w:bCs/>
        </w:rPr>
        <w:t>2023</w:t>
      </w:r>
      <w:r w:rsidRPr="0096791E">
        <w:t>. R: A Language and Environment for Statistical Computing.</w:t>
      </w:r>
    </w:p>
    <w:p w14:paraId="45120AAD" w14:textId="77777777" w:rsidR="0096791E" w:rsidRPr="0096791E" w:rsidRDefault="0096791E" w:rsidP="0096791E">
      <w:pPr>
        <w:pStyle w:val="Bibliography"/>
      </w:pPr>
      <w:r w:rsidRPr="0096791E">
        <w:rPr>
          <w:b/>
          <w:bCs/>
        </w:rPr>
        <w:t>Rodriguez RJ, White Jr JF, Arnold AE, Redman RS</w:t>
      </w:r>
      <w:r w:rsidRPr="0096791E">
        <w:t xml:space="preserve">. </w:t>
      </w:r>
      <w:r w:rsidRPr="0096791E">
        <w:rPr>
          <w:b/>
          <w:bCs/>
        </w:rPr>
        <w:t>2009</w:t>
      </w:r>
      <w:r w:rsidRPr="0096791E">
        <w:t xml:space="preserve">. Fungal endophytes: diversity and functional roles. </w:t>
      </w:r>
      <w:r w:rsidRPr="0096791E">
        <w:rPr>
          <w:i/>
          <w:iCs/>
        </w:rPr>
        <w:t>New Phytologist</w:t>
      </w:r>
      <w:r w:rsidRPr="0096791E">
        <w:t xml:space="preserve"> </w:t>
      </w:r>
      <w:r w:rsidRPr="0096791E">
        <w:rPr>
          <w:b/>
          <w:bCs/>
        </w:rPr>
        <w:t>182</w:t>
      </w:r>
      <w:r w:rsidRPr="0096791E">
        <w:t>: 314–330.</w:t>
      </w:r>
    </w:p>
    <w:p w14:paraId="60305BCC" w14:textId="77777777" w:rsidR="0096791E" w:rsidRPr="0096791E" w:rsidRDefault="0096791E" w:rsidP="0096791E">
      <w:pPr>
        <w:pStyle w:val="Bibliography"/>
      </w:pPr>
      <w:r w:rsidRPr="0096791E">
        <w:rPr>
          <w:b/>
          <w:bCs/>
        </w:rPr>
        <w:t>Rosenthal R</w:t>
      </w:r>
      <w:r w:rsidRPr="0096791E">
        <w:t xml:space="preserve">. </w:t>
      </w:r>
      <w:r w:rsidRPr="0096791E">
        <w:rPr>
          <w:b/>
          <w:bCs/>
        </w:rPr>
        <w:t>1979</w:t>
      </w:r>
      <w:r w:rsidRPr="0096791E">
        <w:t xml:space="preserve">. The file drawer problem and tolerance for null results. </w:t>
      </w:r>
      <w:r w:rsidRPr="0096791E">
        <w:rPr>
          <w:i/>
          <w:iCs/>
        </w:rPr>
        <w:t>Psychological Bulletin</w:t>
      </w:r>
      <w:r w:rsidRPr="0096791E">
        <w:t xml:space="preserve"> </w:t>
      </w:r>
      <w:r w:rsidRPr="0096791E">
        <w:rPr>
          <w:b/>
          <w:bCs/>
        </w:rPr>
        <w:t>86</w:t>
      </w:r>
      <w:r w:rsidRPr="0096791E">
        <w:t>: 638–641.</w:t>
      </w:r>
    </w:p>
    <w:p w14:paraId="3A3E8FDB" w14:textId="77777777" w:rsidR="0096791E" w:rsidRPr="0096791E" w:rsidRDefault="0096791E" w:rsidP="0096791E">
      <w:pPr>
        <w:pStyle w:val="Bibliography"/>
      </w:pPr>
      <w:r w:rsidRPr="0096791E">
        <w:rPr>
          <w:b/>
          <w:bCs/>
        </w:rPr>
        <w:t>Scherer RW, Meerpohl JJ, Pfeifer N, Schmucker C, Schwarzer G, Von Elm E</w:t>
      </w:r>
      <w:r w:rsidRPr="0096791E">
        <w:t xml:space="preserve">. </w:t>
      </w:r>
      <w:r w:rsidRPr="0096791E">
        <w:rPr>
          <w:b/>
          <w:bCs/>
        </w:rPr>
        <w:t>2018</w:t>
      </w:r>
      <w:r w:rsidRPr="0096791E">
        <w:t xml:space="preserve">. Full publication of results initially presented in abstracts (Cochrane Methodology Review Group, Ed.). </w:t>
      </w:r>
      <w:r w:rsidRPr="0096791E">
        <w:rPr>
          <w:i/>
          <w:iCs/>
        </w:rPr>
        <w:t>Cochrane Database of Systematic Reviews</w:t>
      </w:r>
      <w:r w:rsidRPr="0096791E">
        <w:t xml:space="preserve"> </w:t>
      </w:r>
      <w:r w:rsidRPr="0096791E">
        <w:rPr>
          <w:b/>
          <w:bCs/>
        </w:rPr>
        <w:t>2018</w:t>
      </w:r>
      <w:r w:rsidRPr="0096791E">
        <w:t>.</w:t>
      </w:r>
    </w:p>
    <w:p w14:paraId="0D2189DF" w14:textId="77777777" w:rsidR="0096791E" w:rsidRPr="0096791E" w:rsidRDefault="0096791E" w:rsidP="0096791E">
      <w:pPr>
        <w:pStyle w:val="Bibliography"/>
      </w:pPr>
      <w:r w:rsidRPr="0096791E">
        <w:rPr>
          <w:b/>
          <w:bCs/>
        </w:rPr>
        <w:t>Schulz B, Boyle C</w:t>
      </w:r>
      <w:r w:rsidRPr="0096791E">
        <w:t xml:space="preserve">. </w:t>
      </w:r>
      <w:r w:rsidRPr="0096791E">
        <w:rPr>
          <w:b/>
          <w:bCs/>
        </w:rPr>
        <w:t>2005</w:t>
      </w:r>
      <w:r w:rsidRPr="0096791E">
        <w:t xml:space="preserve">. The endophytic continuum. </w:t>
      </w:r>
      <w:r w:rsidRPr="0096791E">
        <w:rPr>
          <w:i/>
          <w:iCs/>
        </w:rPr>
        <w:t>Mycological Research</w:t>
      </w:r>
      <w:r w:rsidRPr="0096791E">
        <w:t xml:space="preserve"> </w:t>
      </w:r>
      <w:r w:rsidRPr="0096791E">
        <w:rPr>
          <w:b/>
          <w:bCs/>
        </w:rPr>
        <w:t>109</w:t>
      </w:r>
      <w:r w:rsidRPr="0096791E">
        <w:t>: 661–686.</w:t>
      </w:r>
    </w:p>
    <w:p w14:paraId="5AB2E429" w14:textId="77777777" w:rsidR="0096791E" w:rsidRPr="0096791E" w:rsidRDefault="0096791E" w:rsidP="0096791E">
      <w:pPr>
        <w:pStyle w:val="Bibliography"/>
      </w:pPr>
      <w:r w:rsidRPr="0096791E">
        <w:rPr>
          <w:b/>
          <w:bCs/>
        </w:rPr>
        <w:t>Soberon J, Peterson AT</w:t>
      </w:r>
      <w:r w:rsidRPr="0096791E">
        <w:t xml:space="preserve">. </w:t>
      </w:r>
      <w:r w:rsidRPr="0096791E">
        <w:rPr>
          <w:b/>
          <w:bCs/>
        </w:rPr>
        <w:t>2005</w:t>
      </w:r>
      <w:r w:rsidRPr="0096791E">
        <w:t xml:space="preserve">. Interpretation of Models of Fundamental Ecological Niches and Species’ Distributional Areas. </w:t>
      </w:r>
      <w:r w:rsidRPr="0096791E">
        <w:rPr>
          <w:i/>
          <w:iCs/>
        </w:rPr>
        <w:t>Biodiversity Informatics</w:t>
      </w:r>
      <w:r w:rsidRPr="0096791E">
        <w:t xml:space="preserve"> </w:t>
      </w:r>
      <w:r w:rsidRPr="0096791E">
        <w:rPr>
          <w:b/>
          <w:bCs/>
        </w:rPr>
        <w:t>2</w:t>
      </w:r>
      <w:r w:rsidRPr="0096791E">
        <w:t>.</w:t>
      </w:r>
    </w:p>
    <w:p w14:paraId="1BE7E2EC" w14:textId="77777777" w:rsidR="0096791E" w:rsidRPr="0096791E" w:rsidRDefault="0096791E" w:rsidP="0096791E">
      <w:pPr>
        <w:pStyle w:val="Bibliography"/>
      </w:pPr>
      <w:r w:rsidRPr="0096791E">
        <w:rPr>
          <w:b/>
          <w:bCs/>
        </w:rPr>
        <w:t>Stone JK, Bacon CW, White F</w:t>
      </w:r>
      <w:r w:rsidRPr="0096791E">
        <w:t xml:space="preserve">. </w:t>
      </w:r>
      <w:r w:rsidRPr="0096791E">
        <w:rPr>
          <w:b/>
          <w:bCs/>
        </w:rPr>
        <w:t>2000</w:t>
      </w:r>
      <w:r w:rsidRPr="0096791E">
        <w:t>. An Overview of Endophytic Microbes: Endophytism Defined. In: Microbial Endophytes. CRC Press, 1–28.</w:t>
      </w:r>
    </w:p>
    <w:p w14:paraId="29F92C09" w14:textId="77777777" w:rsidR="0096791E" w:rsidRPr="0096791E" w:rsidRDefault="0096791E" w:rsidP="0096791E">
      <w:pPr>
        <w:pStyle w:val="Bibliography"/>
      </w:pPr>
      <w:r w:rsidRPr="0096791E">
        <w:rPr>
          <w:b/>
          <w:bCs/>
        </w:rPr>
        <w:t>Strobel GA</w:t>
      </w:r>
      <w:r w:rsidRPr="0096791E">
        <w:t xml:space="preserve">. </w:t>
      </w:r>
      <w:r w:rsidRPr="0096791E">
        <w:rPr>
          <w:b/>
          <w:bCs/>
        </w:rPr>
        <w:t>2003</w:t>
      </w:r>
      <w:r w:rsidRPr="0096791E">
        <w:t xml:space="preserve">. Endophytes as sources of bioactive products. </w:t>
      </w:r>
      <w:r w:rsidRPr="0096791E">
        <w:rPr>
          <w:i/>
          <w:iCs/>
        </w:rPr>
        <w:t>Microbes and Infection</w:t>
      </w:r>
      <w:r w:rsidRPr="0096791E">
        <w:t xml:space="preserve"> </w:t>
      </w:r>
      <w:r w:rsidRPr="0096791E">
        <w:rPr>
          <w:b/>
          <w:bCs/>
        </w:rPr>
        <w:t>5</w:t>
      </w:r>
      <w:r w:rsidRPr="0096791E">
        <w:t>: 535–544.</w:t>
      </w:r>
    </w:p>
    <w:p w14:paraId="571B26DE" w14:textId="77777777" w:rsidR="0096791E" w:rsidRPr="0096791E" w:rsidRDefault="0096791E" w:rsidP="0096791E">
      <w:pPr>
        <w:pStyle w:val="Bibliography"/>
      </w:pPr>
      <w:r w:rsidRPr="0096791E">
        <w:rPr>
          <w:b/>
          <w:bCs/>
        </w:rPr>
        <w:t xml:space="preserve">Tedersoo L, Bahram M, Põlme S, Kõljalg U, Yorou NS, Wijesundera R, Ruiz LV, Vasco-Palacios AM, Thu PQ, Suija A, </w:t>
      </w:r>
      <w:r w:rsidRPr="0096791E">
        <w:rPr>
          <w:b/>
          <w:bCs/>
          <w:i/>
          <w:iCs/>
        </w:rPr>
        <w:t>et al.</w:t>
      </w:r>
      <w:r w:rsidRPr="0096791E">
        <w:t xml:space="preserve"> </w:t>
      </w:r>
      <w:r w:rsidRPr="0096791E">
        <w:rPr>
          <w:b/>
          <w:bCs/>
        </w:rPr>
        <w:t>2014</w:t>
      </w:r>
      <w:r w:rsidRPr="0096791E">
        <w:t xml:space="preserve">. Global diversity and geography of soil fungi. </w:t>
      </w:r>
      <w:r w:rsidRPr="0096791E">
        <w:rPr>
          <w:i/>
          <w:iCs/>
        </w:rPr>
        <w:t>Science</w:t>
      </w:r>
      <w:r w:rsidRPr="0096791E">
        <w:t xml:space="preserve"> </w:t>
      </w:r>
      <w:r w:rsidRPr="0096791E">
        <w:rPr>
          <w:b/>
          <w:bCs/>
        </w:rPr>
        <w:t>346</w:t>
      </w:r>
      <w:r w:rsidRPr="0096791E">
        <w:t>: 1256688.</w:t>
      </w:r>
    </w:p>
    <w:p w14:paraId="47AEE512" w14:textId="77777777" w:rsidR="0096791E" w:rsidRPr="0096791E" w:rsidRDefault="0096791E" w:rsidP="0096791E">
      <w:pPr>
        <w:pStyle w:val="Bibliography"/>
      </w:pPr>
      <w:r w:rsidRPr="0096791E">
        <w:rPr>
          <w:b/>
          <w:bCs/>
        </w:rPr>
        <w:t>Townsend A, Asner G, Cleveland C</w:t>
      </w:r>
      <w:r w:rsidRPr="0096791E">
        <w:t xml:space="preserve">. </w:t>
      </w:r>
      <w:r w:rsidRPr="0096791E">
        <w:rPr>
          <w:b/>
          <w:bCs/>
        </w:rPr>
        <w:t>2008</w:t>
      </w:r>
      <w:r w:rsidRPr="0096791E">
        <w:t xml:space="preserve">. The biogeochemical heterogeneity of tropical forests. </w:t>
      </w:r>
      <w:r w:rsidRPr="0096791E">
        <w:rPr>
          <w:i/>
          <w:iCs/>
        </w:rPr>
        <w:t>Trends in Ecology &amp; Evolution</w:t>
      </w:r>
      <w:r w:rsidRPr="0096791E">
        <w:t xml:space="preserve"> </w:t>
      </w:r>
      <w:r w:rsidRPr="0096791E">
        <w:rPr>
          <w:b/>
          <w:bCs/>
        </w:rPr>
        <w:t>23</w:t>
      </w:r>
      <w:r w:rsidRPr="0096791E">
        <w:t>: 424–431.</w:t>
      </w:r>
    </w:p>
    <w:p w14:paraId="1B96B5E3" w14:textId="77777777" w:rsidR="0096791E" w:rsidRPr="0096791E" w:rsidRDefault="0096791E" w:rsidP="0096791E">
      <w:pPr>
        <w:pStyle w:val="Bibliography"/>
      </w:pPr>
      <w:r w:rsidRPr="0096791E">
        <w:rPr>
          <w:b/>
          <w:bCs/>
        </w:rPr>
        <w:t>U’Ren JM, Lutzoni F, Miadlikowska J, Laetsch AD, Arnold AE</w:t>
      </w:r>
      <w:r w:rsidRPr="0096791E">
        <w:t xml:space="preserve">. </w:t>
      </w:r>
      <w:r w:rsidRPr="0096791E">
        <w:rPr>
          <w:b/>
          <w:bCs/>
        </w:rPr>
        <w:t>2012</w:t>
      </w:r>
      <w:r w:rsidRPr="0096791E">
        <w:t xml:space="preserve">. Host and geographic structure of endophytic and endolichenic fungi at a continental scale. </w:t>
      </w:r>
      <w:r w:rsidRPr="0096791E">
        <w:rPr>
          <w:i/>
          <w:iCs/>
        </w:rPr>
        <w:t>American Journal of Botany</w:t>
      </w:r>
      <w:r w:rsidRPr="0096791E">
        <w:t xml:space="preserve"> </w:t>
      </w:r>
      <w:r w:rsidRPr="0096791E">
        <w:rPr>
          <w:b/>
          <w:bCs/>
        </w:rPr>
        <w:t>99</w:t>
      </w:r>
      <w:r w:rsidRPr="0096791E">
        <w:t>: 898–914.</w:t>
      </w:r>
    </w:p>
    <w:p w14:paraId="7FCC90D7" w14:textId="77777777" w:rsidR="0096791E" w:rsidRPr="0096791E" w:rsidRDefault="0096791E" w:rsidP="0096791E">
      <w:pPr>
        <w:pStyle w:val="Bibliography"/>
      </w:pPr>
      <w:r w:rsidRPr="0096791E">
        <w:rPr>
          <w:b/>
          <w:bCs/>
        </w:rPr>
        <w:lastRenderedPageBreak/>
        <w:t>Wickham H</w:t>
      </w:r>
      <w:r w:rsidRPr="0096791E">
        <w:t xml:space="preserve">. </w:t>
      </w:r>
      <w:r w:rsidRPr="0096791E">
        <w:rPr>
          <w:b/>
          <w:bCs/>
        </w:rPr>
        <w:t>2007</w:t>
      </w:r>
      <w:r w:rsidRPr="0096791E">
        <w:t xml:space="preserve">. Reshaping Data with the reshape Package. </w:t>
      </w:r>
      <w:r w:rsidRPr="0096791E">
        <w:rPr>
          <w:i/>
          <w:iCs/>
        </w:rPr>
        <w:t>Journal of Statistical Software</w:t>
      </w:r>
      <w:r w:rsidRPr="0096791E">
        <w:t xml:space="preserve"> </w:t>
      </w:r>
      <w:r w:rsidRPr="0096791E">
        <w:rPr>
          <w:b/>
          <w:bCs/>
        </w:rPr>
        <w:t>21</w:t>
      </w:r>
      <w:r w:rsidRPr="0096791E">
        <w:t>: 1–20.</w:t>
      </w:r>
    </w:p>
    <w:p w14:paraId="65DD7DF7" w14:textId="77777777" w:rsidR="0096791E" w:rsidRPr="0096791E" w:rsidRDefault="0096791E" w:rsidP="0096791E">
      <w:pPr>
        <w:pStyle w:val="Bibliography"/>
      </w:pPr>
      <w:r w:rsidRPr="0096791E">
        <w:rPr>
          <w:b/>
          <w:bCs/>
        </w:rPr>
        <w:t>Wickham H</w:t>
      </w:r>
      <w:r w:rsidRPr="0096791E">
        <w:t xml:space="preserve">. </w:t>
      </w:r>
      <w:r w:rsidRPr="0096791E">
        <w:rPr>
          <w:b/>
          <w:bCs/>
        </w:rPr>
        <w:t>2016</w:t>
      </w:r>
      <w:r w:rsidRPr="0096791E">
        <w:t xml:space="preserve">. </w:t>
      </w:r>
      <w:r w:rsidRPr="0096791E">
        <w:rPr>
          <w:i/>
          <w:iCs/>
        </w:rPr>
        <w:t>ggplot2: elegant graphics for data analysis</w:t>
      </w:r>
      <w:r w:rsidRPr="0096791E">
        <w:t>. Cham: Springer international publishing.</w:t>
      </w:r>
    </w:p>
    <w:p w14:paraId="7D36624A" w14:textId="77777777" w:rsidR="0096791E" w:rsidRPr="0096791E" w:rsidRDefault="0096791E" w:rsidP="0096791E">
      <w:pPr>
        <w:pStyle w:val="Bibliography"/>
      </w:pPr>
      <w:r w:rsidRPr="0096791E">
        <w:rPr>
          <w:b/>
          <w:bCs/>
        </w:rPr>
        <w:t>Wickham H, Vaughan D, Girlich M</w:t>
      </w:r>
      <w:r w:rsidRPr="0096791E">
        <w:t xml:space="preserve">. </w:t>
      </w:r>
      <w:r w:rsidRPr="0096791E">
        <w:rPr>
          <w:b/>
          <w:bCs/>
        </w:rPr>
        <w:t>2014</w:t>
      </w:r>
      <w:r w:rsidRPr="0096791E">
        <w:t>. tidyr: Tidy Messy Data. : 1.3.1.</w:t>
      </w:r>
    </w:p>
    <w:p w14:paraId="2A65B0DD" w14:textId="77777777" w:rsidR="0096791E" w:rsidRPr="0096791E" w:rsidRDefault="0096791E" w:rsidP="0096791E">
      <w:pPr>
        <w:pStyle w:val="Bibliography"/>
      </w:pPr>
      <w:r w:rsidRPr="0096791E">
        <w:rPr>
          <w:b/>
          <w:bCs/>
        </w:rPr>
        <w:t>Wilson D</w:t>
      </w:r>
      <w:r w:rsidRPr="0096791E">
        <w:t xml:space="preserve">. </w:t>
      </w:r>
      <w:r w:rsidRPr="0096791E">
        <w:rPr>
          <w:b/>
          <w:bCs/>
        </w:rPr>
        <w:t>1995</w:t>
      </w:r>
      <w:r w:rsidRPr="0096791E">
        <w:t xml:space="preserve">. Fungal Endophytes Which Invade Insect Galls - Insect Pathogens, Benign Saprophytes, or Fungal Inquilines. </w:t>
      </w:r>
      <w:r w:rsidRPr="0096791E">
        <w:rPr>
          <w:i/>
          <w:iCs/>
        </w:rPr>
        <w:t>Oecologia</w:t>
      </w:r>
      <w:r w:rsidRPr="0096791E">
        <w:t xml:space="preserve"> </w:t>
      </w:r>
      <w:r w:rsidRPr="0096791E">
        <w:rPr>
          <w:b/>
          <w:bCs/>
        </w:rPr>
        <w:t>103</w:t>
      </w:r>
      <w:r w:rsidRPr="0096791E">
        <w:t>: 255–260.</w:t>
      </w:r>
    </w:p>
    <w:p w14:paraId="1A3ECB0E" w14:textId="77777777" w:rsidR="0096791E" w:rsidRPr="0096791E" w:rsidRDefault="0096791E" w:rsidP="0096791E">
      <w:pPr>
        <w:pStyle w:val="Bibliography"/>
      </w:pPr>
      <w:r w:rsidRPr="0096791E">
        <w:rPr>
          <w:b/>
          <w:bCs/>
        </w:rPr>
        <w:t>Winter D J</w:t>
      </w:r>
      <w:r w:rsidRPr="0096791E">
        <w:t xml:space="preserve">. </w:t>
      </w:r>
      <w:r w:rsidRPr="0096791E">
        <w:rPr>
          <w:b/>
          <w:bCs/>
        </w:rPr>
        <w:t>2017</w:t>
      </w:r>
      <w:r w:rsidRPr="0096791E">
        <w:t xml:space="preserve">. rentrez: An R package for the NCBI eUtils API. </w:t>
      </w:r>
      <w:r w:rsidRPr="0096791E">
        <w:rPr>
          <w:i/>
          <w:iCs/>
        </w:rPr>
        <w:t>The R Journal</w:t>
      </w:r>
      <w:r w:rsidRPr="0096791E">
        <w:t xml:space="preserve"> </w:t>
      </w:r>
      <w:r w:rsidRPr="0096791E">
        <w:rPr>
          <w:b/>
          <w:bCs/>
        </w:rPr>
        <w:t>9</w:t>
      </w:r>
      <w:r w:rsidRPr="0096791E">
        <w:t>: 520.</w:t>
      </w:r>
    </w:p>
    <w:p w14:paraId="76009779" w14:textId="77777777" w:rsidR="0096791E" w:rsidRPr="0096791E" w:rsidRDefault="0096791E" w:rsidP="0096791E">
      <w:pPr>
        <w:pStyle w:val="Bibliography"/>
      </w:pPr>
      <w:r w:rsidRPr="0096791E">
        <w:rPr>
          <w:b/>
          <w:bCs/>
        </w:rPr>
        <w:t>World Bank</w:t>
      </w:r>
      <w:r w:rsidRPr="0096791E">
        <w:t xml:space="preserve">. </w:t>
      </w:r>
      <w:r w:rsidRPr="0096791E">
        <w:rPr>
          <w:b/>
          <w:bCs/>
        </w:rPr>
        <w:t>2024</w:t>
      </w:r>
      <w:r w:rsidRPr="0096791E">
        <w:t>. GDP (current US$).</w:t>
      </w:r>
    </w:p>
    <w:p w14:paraId="0FBFF06D" w14:textId="77777777" w:rsidR="0096791E" w:rsidRPr="0096791E" w:rsidRDefault="0096791E" w:rsidP="0096791E">
      <w:pPr>
        <w:pStyle w:val="Bibliography"/>
      </w:pPr>
      <w:r w:rsidRPr="0096791E">
        <w:rPr>
          <w:b/>
          <w:bCs/>
        </w:rPr>
        <w:t>World Bank</w:t>
      </w:r>
      <w:r w:rsidRPr="0096791E">
        <w:t xml:space="preserve">. </w:t>
      </w:r>
      <w:r w:rsidRPr="0096791E">
        <w:rPr>
          <w:b/>
          <w:bCs/>
        </w:rPr>
        <w:t>2026</w:t>
      </w:r>
      <w:r w:rsidRPr="0096791E">
        <w:t>. World Bank Open Data: GDP (Current US$).</w:t>
      </w:r>
    </w:p>
    <w:p w14:paraId="517735A0" w14:textId="77777777" w:rsidR="0096791E" w:rsidRPr="0096791E" w:rsidRDefault="0096791E" w:rsidP="0096791E">
      <w:pPr>
        <w:pStyle w:val="Bibliography"/>
      </w:pPr>
      <w:r w:rsidRPr="0096791E">
        <w:rPr>
          <w:b/>
          <w:bCs/>
        </w:rPr>
        <w:t>Zuk M</w:t>
      </w:r>
      <w:r w:rsidRPr="0096791E">
        <w:t xml:space="preserve">. </w:t>
      </w:r>
      <w:r w:rsidRPr="0096791E">
        <w:rPr>
          <w:b/>
          <w:bCs/>
        </w:rPr>
        <w:t>2016</w:t>
      </w:r>
      <w:r w:rsidRPr="0096791E">
        <w:t xml:space="preserve">. Temperate Assumptions: How Where We Work Influences How We Think. </w:t>
      </w:r>
      <w:r w:rsidRPr="0096791E">
        <w:rPr>
          <w:i/>
          <w:iCs/>
        </w:rPr>
        <w:t>The American Naturalist</w:t>
      </w:r>
      <w:r w:rsidRPr="0096791E">
        <w:t xml:space="preserve"> </w:t>
      </w:r>
      <w:r w:rsidRPr="0096791E">
        <w:rPr>
          <w:b/>
          <w:bCs/>
        </w:rPr>
        <w:t>188</w:t>
      </w:r>
      <w:r w:rsidRPr="0096791E">
        <w:t>: S1–S7.</w:t>
      </w:r>
    </w:p>
    <w:p w14:paraId="274FB4CB" w14:textId="75195CD2" w:rsidR="00526817" w:rsidRDefault="00526817">
      <w:pPr>
        <w:pStyle w:val="BodyText"/>
      </w:pPr>
      <w:r>
        <w:fldChar w:fldCharType="end"/>
      </w:r>
    </w:p>
    <w:sectPr w:rsidR="00526817">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eatrice Bock" w:date="2026-06-01T09:51:00Z" w:initials="BB">
    <w:p w14:paraId="5AE61F39" w14:textId="77777777" w:rsidR="009166C0" w:rsidRDefault="009166C0" w:rsidP="009166C0">
      <w:pPr>
        <w:pStyle w:val="CommentText"/>
      </w:pPr>
      <w:r>
        <w:rPr>
          <w:rStyle w:val="CommentReference"/>
        </w:rPr>
        <w:annotationRef/>
      </w:r>
      <w:r>
        <w:t xml:space="preserve">Kitty comment: When I read the word economies, I thought of fungal-plant economics not human economics. Otherwise i like this second title better. </w:t>
      </w:r>
    </w:p>
  </w:comment>
  <w:comment w:id="2" w:author="Beatrice Bock" w:date="2026-06-01T09:52:00Z" w:initials="BB">
    <w:p w14:paraId="1207D032" w14:textId="77777777" w:rsidR="00B000A4" w:rsidRDefault="00B000A4" w:rsidP="00B000A4">
      <w:pPr>
        <w:pStyle w:val="CommentText"/>
      </w:pPr>
      <w:r>
        <w:rPr>
          <w:rStyle w:val="CommentReference"/>
        </w:rPr>
        <w:annotationRef/>
      </w:r>
      <w:r>
        <w:t>Kitty: I suggest revising this last section as for many biological reality and economics are the same thing (the need to feed the humans on the planet). I think a small change would fix it such as replacing biological reality with the functional breadth and importance of endophytes.</w:t>
      </w:r>
    </w:p>
  </w:comment>
  <w:comment w:id="4" w:author="Beatrice Bock" w:date="2026-06-01T09:52:00Z" w:initials="BB">
    <w:p w14:paraId="0750B676" w14:textId="77777777" w:rsidR="00D20A1B" w:rsidRDefault="00D20A1B" w:rsidP="00D20A1B">
      <w:pPr>
        <w:pStyle w:val="CommentText"/>
      </w:pPr>
      <w:r>
        <w:rPr>
          <w:rStyle w:val="CommentReference"/>
        </w:rPr>
        <w:annotationRef/>
      </w:r>
      <w:r>
        <w:t>Kitty:  assume that U is for ubiquity, but A, B and C are not linked to a topic, correct. Perhaps link them all to a topic.  A could be G for geography, B could be NR for nonrandom and C could be a $ sign, for example</w:t>
      </w:r>
    </w:p>
  </w:comment>
  <w:comment w:id="8" w:author="Beatrice Bock" w:date="2026-06-01T09:53:00Z" w:initials="BB">
    <w:p w14:paraId="337CB6C2" w14:textId="77777777" w:rsidR="00796C64" w:rsidRDefault="00796C64" w:rsidP="00796C64">
      <w:pPr>
        <w:pStyle w:val="CommentText"/>
      </w:pPr>
      <w:r>
        <w:rPr>
          <w:rStyle w:val="CommentReference"/>
        </w:rPr>
        <w:annotationRef/>
      </w:r>
      <w:r>
        <w:t>maybe say something like "focused on endophytes" here to clearly distinguish the datasets in case someone is reading the paragraph quickly.</w:t>
      </w:r>
    </w:p>
  </w:comment>
  <w:comment w:id="12" w:author="Beatrice Bock" w:date="2026-06-01T09:53:00Z" w:initials="BB">
    <w:p w14:paraId="2B99078A" w14:textId="77777777" w:rsidR="00D87F70" w:rsidRDefault="00D87F70" w:rsidP="00D87F70">
      <w:pPr>
        <w:pStyle w:val="CommentText"/>
      </w:pPr>
      <w:r>
        <w:rPr>
          <w:rStyle w:val="CommentReference"/>
        </w:rPr>
        <w:annotationRef/>
      </w:r>
      <w:r>
        <w:t>Do you need to say what data based you used for this? I see now that is all described in the supplementary methods so you might say that in the first sentence of the Core Analyses paragraph.</w:t>
      </w:r>
    </w:p>
  </w:comment>
  <w:comment w:id="13" w:author="Beatrice Bock" w:date="2026-06-01T10:00:00Z" w:initials="BB">
    <w:p w14:paraId="754210E1" w14:textId="77777777" w:rsidR="00FA743E" w:rsidRDefault="00FA743E" w:rsidP="00FA743E">
      <w:pPr>
        <w:pStyle w:val="CommentText"/>
      </w:pPr>
      <w:r>
        <w:rPr>
          <w:rStyle w:val="CommentReference"/>
        </w:rPr>
        <w:annotationRef/>
      </w:r>
      <w:r>
        <w:t>Can you make this (study count) more specific. I am assuming that it is the count of publications on endophytes, but it could be other counts as well.</w:t>
      </w:r>
    </w:p>
  </w:comment>
  <w:comment w:id="15" w:author="Beatrice Bock" w:date="2026-05-19T09:45:00Z" w:initials="BB">
    <w:p w14:paraId="4DCF4252" w14:textId="3A8B8E0B" w:rsidR="001E430A" w:rsidRDefault="001E430A" w:rsidP="001E430A">
      <w:pPr>
        <w:pStyle w:val="CommentText"/>
      </w:pPr>
      <w:r>
        <w:rPr>
          <w:rStyle w:val="CommentReference"/>
        </w:rPr>
        <w:annotationRef/>
      </w:r>
      <w:r>
        <w:t>I need to update the README and documentation on this repo. Also, since changing methods, all new methods are in the repo folder within Endo_Review_Ollama</w:t>
      </w:r>
    </w:p>
  </w:comment>
  <w:comment w:id="16" w:author="Beatrice Bock" w:date="2026-05-19T10:20:00Z" w:initials="BB">
    <w:p w14:paraId="26803446" w14:textId="77777777" w:rsidR="00420A06" w:rsidRDefault="00420A06" w:rsidP="00420A06">
      <w:pPr>
        <w:pStyle w:val="CommentText"/>
      </w:pPr>
      <w:r>
        <w:rPr>
          <w:rStyle w:val="CommentReference"/>
        </w:rPr>
        <w:annotationRef/>
      </w:r>
      <w:r>
        <w:t>I decided to have a pretty general methods section in the main text and then the super detailed methods in the supplementary because original reviewers felt the original text was too technical.</w:t>
      </w:r>
    </w:p>
  </w:comment>
  <w:comment w:id="21" w:author="Beatrice Bock" w:date="2026-06-01T09:54:00Z" w:initials="BB">
    <w:p w14:paraId="11966178" w14:textId="77777777" w:rsidR="00DB0E0E" w:rsidRDefault="00DB0E0E" w:rsidP="00DB0E0E">
      <w:pPr>
        <w:pStyle w:val="CommentText"/>
      </w:pPr>
      <w:r>
        <w:rPr>
          <w:rStyle w:val="CommentReference"/>
        </w:rPr>
        <w:annotationRef/>
      </w:r>
      <w:r>
        <w:t>For everythig with etc. include full list?</w:t>
      </w:r>
    </w:p>
  </w:comment>
  <w:comment w:id="22" w:author="Beatrice Bock" w:date="2026-06-01T09:54:00Z" w:initials="BB">
    <w:p w14:paraId="55E7BB60" w14:textId="77777777" w:rsidR="004A2A52" w:rsidRDefault="004A2A52" w:rsidP="004A2A52">
      <w:pPr>
        <w:pStyle w:val="CommentText"/>
      </w:pPr>
      <w:r>
        <w:rPr>
          <w:rStyle w:val="CommentReference"/>
        </w:rPr>
        <w:annotationRef/>
      </w:r>
      <w:r>
        <w:t>Kitty not sure what this means. clarify</w:t>
      </w:r>
    </w:p>
  </w:comment>
  <w:comment w:id="29" w:author="Beatrice Bock" w:date="2026-05-20T07:44:00Z" w:initials="BB">
    <w:p w14:paraId="0793E1B2" w14:textId="77777777" w:rsidR="00F5597B" w:rsidRDefault="00F5597B" w:rsidP="00F5597B">
      <w:pPr>
        <w:pStyle w:val="CommentText"/>
      </w:pPr>
      <w:r>
        <w:rPr>
          <w:rStyle w:val="CommentReference"/>
        </w:rPr>
        <w:annotationRef/>
      </w:r>
      <w:r>
        <w:t>Too technical for New Phyt?</w:t>
      </w:r>
    </w:p>
  </w:comment>
  <w:comment w:id="30" w:author="Beatrice Bock" w:date="2026-05-20T08:33:00Z" w:initials="BB">
    <w:p w14:paraId="41678735" w14:textId="77777777" w:rsidR="00512A4F" w:rsidRDefault="00512A4F" w:rsidP="00512A4F">
      <w:pPr>
        <w:pStyle w:val="CommentText"/>
      </w:pPr>
      <w:r>
        <w:rPr>
          <w:rStyle w:val="CommentReference"/>
        </w:rPr>
        <w:annotationRef/>
      </w:r>
      <w:r>
        <w:t>I feel like it’s helpful in showing why we needed to do this review</w:t>
      </w:r>
    </w:p>
  </w:comment>
  <w:comment w:id="31" w:author="Beatrice Bock" w:date="2026-06-01T09:55:00Z" w:initials="BB">
    <w:p w14:paraId="435AA533" w14:textId="77777777" w:rsidR="00CA2079" w:rsidRDefault="00CA2079" w:rsidP="00CA2079">
      <w:pPr>
        <w:pStyle w:val="CommentText"/>
      </w:pPr>
      <w:r>
        <w:rPr>
          <w:rStyle w:val="CommentReference"/>
        </w:rPr>
        <w:annotationRef/>
      </w:r>
      <w:r>
        <w:t>Kitty: I like it and understood the point and its importance on first read.</w:t>
      </w:r>
    </w:p>
  </w:comment>
  <w:comment w:id="32" w:author="Beatrice Bock" w:date="2026-06-01T09:56:00Z" w:initials="BB">
    <w:p w14:paraId="0F29341D" w14:textId="77777777" w:rsidR="003D2C92" w:rsidRDefault="003D2C92" w:rsidP="003D2C92">
      <w:pPr>
        <w:pStyle w:val="CommentText"/>
      </w:pPr>
      <w:r>
        <w:rPr>
          <w:rStyle w:val="CommentReference"/>
        </w:rPr>
        <w:annotationRef/>
      </w:r>
      <w:r>
        <w:t>I am a little confused here as to whether you used the full data base (abstracts and full texts) or just full texts for the remaining predictions.</w:t>
      </w:r>
    </w:p>
  </w:comment>
  <w:comment w:id="33" w:author="Beatrice Bock" w:date="2026-06-01T09:56:00Z" w:initials="BB">
    <w:p w14:paraId="5E7578FC" w14:textId="77777777" w:rsidR="004D55E8" w:rsidRDefault="004D55E8" w:rsidP="004D55E8">
      <w:pPr>
        <w:pStyle w:val="CommentText"/>
      </w:pPr>
      <w:r>
        <w:rPr>
          <w:rStyle w:val="CommentReference"/>
        </w:rPr>
        <w:annotationRef/>
      </w:r>
      <w:r>
        <w:t>To address the NP reviewer comments I think you will need an explicit comparison of the abstract only and full text patterns or to show that it is ok to use both as it seems from below that both are used?</w:t>
      </w:r>
    </w:p>
  </w:comment>
  <w:comment w:id="36" w:author="Beatrice Bock" w:date="2026-05-20T08:48:00Z" w:initials="BB">
    <w:p w14:paraId="3F266A52" w14:textId="77777777" w:rsidR="006A7159" w:rsidRDefault="006A7159" w:rsidP="006A7159">
      <w:pPr>
        <w:pStyle w:val="CommentText"/>
      </w:pPr>
      <w:r>
        <w:rPr>
          <w:rStyle w:val="CommentReference"/>
        </w:rPr>
        <w:annotationRef/>
      </w:r>
      <w:r>
        <w:t>I can make the font size larger on this plot</w:t>
      </w:r>
    </w:p>
  </w:comment>
  <w:comment w:id="37" w:author="Beatrice Bock" w:date="2026-06-01T09:49:00Z" w:initials="BB">
    <w:p w14:paraId="3FF4B50C" w14:textId="77777777" w:rsidR="00EE7991" w:rsidRDefault="00EE7991" w:rsidP="00EE7991">
      <w:pPr>
        <w:pStyle w:val="CommentText"/>
      </w:pPr>
      <w:r>
        <w:rPr>
          <w:rStyle w:val="CommentReference"/>
        </w:rPr>
        <w:annotationRef/>
      </w:r>
      <w:r>
        <w:t>Nancy says yes do this</w:t>
      </w:r>
    </w:p>
  </w:comment>
  <w:comment w:id="39" w:author="Beatrice Bock" w:date="2026-06-01T09:57:00Z" w:initials="BB">
    <w:p w14:paraId="3318EFE2" w14:textId="77777777" w:rsidR="00A07834" w:rsidRDefault="00A07834" w:rsidP="00A07834">
      <w:pPr>
        <w:pStyle w:val="CommentText"/>
      </w:pPr>
      <w:r>
        <w:rPr>
          <w:rStyle w:val="CommentReference"/>
        </w:rPr>
        <w:annotationRef/>
      </w:r>
      <w:r>
        <w:t xml:space="preserve">I think this is great but I would increase the font size wherever you can and potentially darken or bold the text to make it easier to see. </w:t>
      </w:r>
    </w:p>
  </w:comment>
  <w:comment w:id="41" w:author="Beatrice Bock" w:date="2026-05-20T08:51:00Z" w:initials="BB">
    <w:p w14:paraId="119E1F60" w14:textId="77777777" w:rsidR="00A2475B" w:rsidRDefault="00A2475B" w:rsidP="00A2475B">
      <w:pPr>
        <w:pStyle w:val="CommentText"/>
      </w:pPr>
      <w:r>
        <w:rPr>
          <w:rStyle w:val="CommentReference"/>
        </w:rPr>
        <w:annotationRef/>
      </w:r>
      <w:r>
        <w:t>Im going to include these lists as supoplementary csv files</w:t>
      </w:r>
    </w:p>
  </w:comment>
  <w:comment w:id="43" w:author="Beatrice Bock" w:date="2026-06-01T09:57:00Z" w:initials="BB">
    <w:p w14:paraId="3EC787AE" w14:textId="77777777" w:rsidR="00CD0B77" w:rsidRDefault="00CD0B77" w:rsidP="00CD0B77">
      <w:pPr>
        <w:pStyle w:val="CommentText"/>
      </w:pPr>
      <w:r>
        <w:rPr>
          <w:rStyle w:val="CommentReference"/>
        </w:rPr>
        <w:annotationRef/>
      </w:r>
      <w:r>
        <w:t>I think you need to expand on what this means and encompasses.</w:t>
      </w:r>
    </w:p>
  </w:comment>
  <w:comment w:id="44" w:author="Beatrice Bock" w:date="2026-06-01T09:58:00Z" w:initials="BB">
    <w:p w14:paraId="27399D01" w14:textId="77777777" w:rsidR="0033447F" w:rsidRDefault="0033447F" w:rsidP="0033447F">
      <w:pPr>
        <w:pStyle w:val="CommentText"/>
      </w:pPr>
      <w:r>
        <w:rPr>
          <w:rStyle w:val="CommentReference"/>
        </w:rPr>
        <w:annotationRef/>
      </w:r>
      <w:r>
        <w:t>Some ideas that are important to include possibly:</w:t>
      </w:r>
    </w:p>
    <w:p w14:paraId="6849041B" w14:textId="77777777" w:rsidR="0033447F" w:rsidRDefault="0033447F" w:rsidP="0033447F">
      <w:pPr>
        <w:pStyle w:val="CommentText"/>
      </w:pPr>
      <w:r>
        <w:t>1. endophyte to pathogen switches and how important they are in a changing climate</w:t>
      </w:r>
    </w:p>
    <w:p w14:paraId="298254BC" w14:textId="77777777" w:rsidR="0033447F" w:rsidRDefault="0033447F" w:rsidP="0033447F">
      <w:pPr>
        <w:pStyle w:val="CommentText"/>
      </w:pPr>
      <w:r>
        <w:t>2. pest defense dynamics and how prevalent they are when so much is known about grasses and only a little about tropical plants.</w:t>
      </w:r>
    </w:p>
  </w:comment>
  <w:comment w:id="48" w:author="Beatrice Bock" w:date="2026-06-01T09:58:00Z" w:initials="BB">
    <w:p w14:paraId="0757B10A" w14:textId="77777777" w:rsidR="00566ED1" w:rsidRDefault="00566ED1" w:rsidP="00566ED1">
      <w:pPr>
        <w:pStyle w:val="CommentText"/>
      </w:pPr>
      <w:r>
        <w:rPr>
          <w:rStyle w:val="CommentReference"/>
        </w:rPr>
        <w:annotationRef/>
      </w:r>
      <w:r>
        <w:t>i suggest adding more about what is found in novel environments rather than restating the results as much for this one. A couple of examples of novel fungal lineages discovered in less well sampled areas would be more informative, I think. But, then I love examples :).</w:t>
      </w:r>
    </w:p>
  </w:comment>
  <w:comment w:id="63" w:author="Beatrice Bock" w:date="2026-05-19T11:06:00Z" w:initials="BB">
    <w:p w14:paraId="24657CB9" w14:textId="1C21701D" w:rsidR="00526817" w:rsidRDefault="00526817" w:rsidP="00526817">
      <w:pPr>
        <w:pStyle w:val="CommentText"/>
      </w:pPr>
      <w:r>
        <w:rPr>
          <w:rStyle w:val="CommentReference"/>
        </w:rPr>
        <w:annotationRef/>
      </w:r>
      <w:r>
        <w:t>I use Zotero for my citatoins, so you can comment if you think anything is missing or needs editing, and I’ll fix it on my 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E61F39" w15:done="0"/>
  <w15:commentEx w15:paraId="1207D032" w15:done="0"/>
  <w15:commentEx w15:paraId="0750B676" w15:done="0"/>
  <w15:commentEx w15:paraId="337CB6C2" w15:done="0"/>
  <w15:commentEx w15:paraId="2B99078A" w15:done="0"/>
  <w15:commentEx w15:paraId="754210E1" w15:paraIdParent="2B99078A" w15:done="0"/>
  <w15:commentEx w15:paraId="4DCF4252" w15:done="0"/>
  <w15:commentEx w15:paraId="26803446" w15:done="0"/>
  <w15:commentEx w15:paraId="11966178" w15:done="0"/>
  <w15:commentEx w15:paraId="55E7BB60" w15:done="0"/>
  <w15:commentEx w15:paraId="0793E1B2" w15:done="0"/>
  <w15:commentEx w15:paraId="41678735" w15:paraIdParent="0793E1B2" w15:done="0"/>
  <w15:commentEx w15:paraId="435AA533" w15:paraIdParent="0793E1B2" w15:done="0"/>
  <w15:commentEx w15:paraId="0F29341D" w15:done="0"/>
  <w15:commentEx w15:paraId="5E7578FC" w15:paraIdParent="0F29341D" w15:done="0"/>
  <w15:commentEx w15:paraId="3F266A52" w15:done="0"/>
  <w15:commentEx w15:paraId="3FF4B50C" w15:paraIdParent="3F266A52" w15:done="0"/>
  <w15:commentEx w15:paraId="3318EFE2" w15:done="0"/>
  <w15:commentEx w15:paraId="119E1F60" w15:done="0"/>
  <w15:commentEx w15:paraId="3EC787AE" w15:done="0"/>
  <w15:commentEx w15:paraId="298254BC" w15:paraIdParent="3EC787AE" w15:done="0"/>
  <w15:commentEx w15:paraId="0757B10A" w15:done="0"/>
  <w15:commentEx w15:paraId="24657C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DA6A00" w16cex:dateUtc="2026-06-01T16:51:00Z"/>
  <w16cex:commentExtensible w16cex:durableId="65C06920" w16cex:dateUtc="2026-06-01T16:52:00Z"/>
  <w16cex:commentExtensible w16cex:durableId="160686CD" w16cex:dateUtc="2026-06-01T16:52:00Z"/>
  <w16cex:commentExtensible w16cex:durableId="4D273B77" w16cex:dateUtc="2026-06-01T16:53:00Z"/>
  <w16cex:commentExtensible w16cex:durableId="4B3D0E36" w16cex:dateUtc="2026-06-01T16:53:00Z"/>
  <w16cex:commentExtensible w16cex:durableId="4C6F41AC" w16cex:dateUtc="2026-06-01T17:00:00Z"/>
  <w16cex:commentExtensible w16cex:durableId="2E07B74B" w16cex:dateUtc="2026-05-19T16:45:00Z"/>
  <w16cex:commentExtensible w16cex:durableId="2BCEBFDA" w16cex:dateUtc="2026-05-19T17:20:00Z"/>
  <w16cex:commentExtensible w16cex:durableId="367777A2" w16cex:dateUtc="2026-06-01T16:54:00Z"/>
  <w16cex:commentExtensible w16cex:durableId="0E02632A" w16cex:dateUtc="2026-06-01T16:54:00Z"/>
  <w16cex:commentExtensible w16cex:durableId="3E7B11BB" w16cex:dateUtc="2026-05-20T14:44:00Z"/>
  <w16cex:commentExtensible w16cex:durableId="7C956EBF" w16cex:dateUtc="2026-05-20T15:33:00Z"/>
  <w16cex:commentExtensible w16cex:durableId="608E377B" w16cex:dateUtc="2026-06-01T16:55:00Z"/>
  <w16cex:commentExtensible w16cex:durableId="6C289F5A" w16cex:dateUtc="2026-06-01T16:56:00Z"/>
  <w16cex:commentExtensible w16cex:durableId="65839F09" w16cex:dateUtc="2026-06-01T16:56:00Z"/>
  <w16cex:commentExtensible w16cex:durableId="1A6B76A8" w16cex:dateUtc="2026-05-20T15:48:00Z"/>
  <w16cex:commentExtensible w16cex:durableId="5C2FDE44" w16cex:dateUtc="2026-06-01T16:49:00Z"/>
  <w16cex:commentExtensible w16cex:durableId="608E8313" w16cex:dateUtc="2026-06-01T16:57:00Z"/>
  <w16cex:commentExtensible w16cex:durableId="5E2EAFB8" w16cex:dateUtc="2026-05-20T15:51:00Z"/>
  <w16cex:commentExtensible w16cex:durableId="3474FA47" w16cex:dateUtc="2026-06-01T16:57:00Z"/>
  <w16cex:commentExtensible w16cex:durableId="1032CEC8" w16cex:dateUtc="2026-06-01T16:58:00Z"/>
  <w16cex:commentExtensible w16cex:durableId="46C6A9FD" w16cex:dateUtc="2026-06-01T16:58:00Z"/>
  <w16cex:commentExtensible w16cex:durableId="455E5E7B" w16cex:dateUtc="2026-05-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E61F39" w16cid:durableId="15DA6A00"/>
  <w16cid:commentId w16cid:paraId="1207D032" w16cid:durableId="65C06920"/>
  <w16cid:commentId w16cid:paraId="0750B676" w16cid:durableId="160686CD"/>
  <w16cid:commentId w16cid:paraId="337CB6C2" w16cid:durableId="4D273B77"/>
  <w16cid:commentId w16cid:paraId="2B99078A" w16cid:durableId="4B3D0E36"/>
  <w16cid:commentId w16cid:paraId="754210E1" w16cid:durableId="4C6F41AC"/>
  <w16cid:commentId w16cid:paraId="4DCF4252" w16cid:durableId="2E07B74B"/>
  <w16cid:commentId w16cid:paraId="26803446" w16cid:durableId="2BCEBFDA"/>
  <w16cid:commentId w16cid:paraId="11966178" w16cid:durableId="367777A2"/>
  <w16cid:commentId w16cid:paraId="55E7BB60" w16cid:durableId="0E02632A"/>
  <w16cid:commentId w16cid:paraId="0793E1B2" w16cid:durableId="3E7B11BB"/>
  <w16cid:commentId w16cid:paraId="41678735" w16cid:durableId="7C956EBF"/>
  <w16cid:commentId w16cid:paraId="435AA533" w16cid:durableId="608E377B"/>
  <w16cid:commentId w16cid:paraId="0F29341D" w16cid:durableId="6C289F5A"/>
  <w16cid:commentId w16cid:paraId="5E7578FC" w16cid:durableId="65839F09"/>
  <w16cid:commentId w16cid:paraId="3F266A52" w16cid:durableId="1A6B76A8"/>
  <w16cid:commentId w16cid:paraId="3FF4B50C" w16cid:durableId="5C2FDE44"/>
  <w16cid:commentId w16cid:paraId="3318EFE2" w16cid:durableId="608E8313"/>
  <w16cid:commentId w16cid:paraId="119E1F60" w16cid:durableId="5E2EAFB8"/>
  <w16cid:commentId w16cid:paraId="3EC787AE" w16cid:durableId="3474FA47"/>
  <w16cid:commentId w16cid:paraId="298254BC" w16cid:durableId="1032CEC8"/>
  <w16cid:commentId w16cid:paraId="0757B10A" w16cid:durableId="46C6A9FD"/>
  <w16cid:commentId w16cid:paraId="24657CB9" w16cid:durableId="455E5E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CE36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31"/>
    <w:multiLevelType w:val="multilevel"/>
    <w:tmpl w:val="7E24B8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3E8163E"/>
    <w:multiLevelType w:val="hybridMultilevel"/>
    <w:tmpl w:val="E89EBBEE"/>
    <w:lvl w:ilvl="0" w:tplc="58BEDF4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580F99"/>
    <w:multiLevelType w:val="multilevel"/>
    <w:tmpl w:val="4A2C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FC6B1E"/>
    <w:multiLevelType w:val="multilevel"/>
    <w:tmpl w:val="6DE8D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8850662">
    <w:abstractNumId w:val="0"/>
  </w:num>
  <w:num w:numId="2" w16cid:durableId="5183498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8214263">
    <w:abstractNumId w:val="2"/>
  </w:num>
  <w:num w:numId="4" w16cid:durableId="2098598637">
    <w:abstractNumId w:val="4"/>
  </w:num>
  <w:num w:numId="5" w16cid:durableId="143243773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atrice Bock">
    <w15:presenceInfo w15:providerId="None" w15:userId="Beatrice Bock"/>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9F4D6D"/>
    <w:rsid w:val="0002156E"/>
    <w:rsid w:val="00031A02"/>
    <w:rsid w:val="00034A20"/>
    <w:rsid w:val="00035883"/>
    <w:rsid w:val="000525C8"/>
    <w:rsid w:val="0007625B"/>
    <w:rsid w:val="00080AE0"/>
    <w:rsid w:val="00085BBB"/>
    <w:rsid w:val="000A56A7"/>
    <w:rsid w:val="000D6FC5"/>
    <w:rsid w:val="000E5838"/>
    <w:rsid w:val="00107BF6"/>
    <w:rsid w:val="0011498F"/>
    <w:rsid w:val="0013106E"/>
    <w:rsid w:val="001431F9"/>
    <w:rsid w:val="00156E7C"/>
    <w:rsid w:val="00160FBA"/>
    <w:rsid w:val="00170AF4"/>
    <w:rsid w:val="00173FDB"/>
    <w:rsid w:val="00185238"/>
    <w:rsid w:val="001A1879"/>
    <w:rsid w:val="001B0317"/>
    <w:rsid w:val="001B5728"/>
    <w:rsid w:val="001E430A"/>
    <w:rsid w:val="001E54EC"/>
    <w:rsid w:val="001F236E"/>
    <w:rsid w:val="0020061A"/>
    <w:rsid w:val="0020088B"/>
    <w:rsid w:val="002061DA"/>
    <w:rsid w:val="00234BDB"/>
    <w:rsid w:val="0024060E"/>
    <w:rsid w:val="0024411D"/>
    <w:rsid w:val="00255CDF"/>
    <w:rsid w:val="00267A70"/>
    <w:rsid w:val="002748B5"/>
    <w:rsid w:val="0027524D"/>
    <w:rsid w:val="0028066A"/>
    <w:rsid w:val="0028152E"/>
    <w:rsid w:val="002843C6"/>
    <w:rsid w:val="00285150"/>
    <w:rsid w:val="002B2905"/>
    <w:rsid w:val="002C614C"/>
    <w:rsid w:val="002C779E"/>
    <w:rsid w:val="002C7856"/>
    <w:rsid w:val="003066E5"/>
    <w:rsid w:val="00313494"/>
    <w:rsid w:val="00322EC2"/>
    <w:rsid w:val="00330D4E"/>
    <w:rsid w:val="0033447F"/>
    <w:rsid w:val="00342E9D"/>
    <w:rsid w:val="00346E26"/>
    <w:rsid w:val="00347A73"/>
    <w:rsid w:val="00356E8E"/>
    <w:rsid w:val="003768AC"/>
    <w:rsid w:val="00380F86"/>
    <w:rsid w:val="003A6160"/>
    <w:rsid w:val="003B0DC2"/>
    <w:rsid w:val="003C283D"/>
    <w:rsid w:val="003C2D71"/>
    <w:rsid w:val="003D2C92"/>
    <w:rsid w:val="0040081F"/>
    <w:rsid w:val="00400EAE"/>
    <w:rsid w:val="00420A06"/>
    <w:rsid w:val="004249C9"/>
    <w:rsid w:val="00425F6B"/>
    <w:rsid w:val="00431816"/>
    <w:rsid w:val="00431824"/>
    <w:rsid w:val="00435ED8"/>
    <w:rsid w:val="00450237"/>
    <w:rsid w:val="00456732"/>
    <w:rsid w:val="00456BF8"/>
    <w:rsid w:val="0046205F"/>
    <w:rsid w:val="00463FD4"/>
    <w:rsid w:val="004705A0"/>
    <w:rsid w:val="00470874"/>
    <w:rsid w:val="00472E83"/>
    <w:rsid w:val="0048460A"/>
    <w:rsid w:val="00486568"/>
    <w:rsid w:val="00486781"/>
    <w:rsid w:val="0049458C"/>
    <w:rsid w:val="004A1743"/>
    <w:rsid w:val="004A28CD"/>
    <w:rsid w:val="004A2A52"/>
    <w:rsid w:val="004B2605"/>
    <w:rsid w:val="004D18A8"/>
    <w:rsid w:val="004D28E1"/>
    <w:rsid w:val="004D55E8"/>
    <w:rsid w:val="004E16A9"/>
    <w:rsid w:val="004E5A59"/>
    <w:rsid w:val="004F179F"/>
    <w:rsid w:val="00512A4F"/>
    <w:rsid w:val="00526817"/>
    <w:rsid w:val="0053331D"/>
    <w:rsid w:val="00552E2D"/>
    <w:rsid w:val="00553045"/>
    <w:rsid w:val="005533D4"/>
    <w:rsid w:val="00563FB6"/>
    <w:rsid w:val="00566ED1"/>
    <w:rsid w:val="00571278"/>
    <w:rsid w:val="005724C1"/>
    <w:rsid w:val="005774DE"/>
    <w:rsid w:val="00584AEA"/>
    <w:rsid w:val="00593279"/>
    <w:rsid w:val="005A562F"/>
    <w:rsid w:val="005A5761"/>
    <w:rsid w:val="005A710C"/>
    <w:rsid w:val="005B162E"/>
    <w:rsid w:val="005B79C9"/>
    <w:rsid w:val="005C6DD3"/>
    <w:rsid w:val="005C7F33"/>
    <w:rsid w:val="005E5130"/>
    <w:rsid w:val="005E5DB9"/>
    <w:rsid w:val="005E6831"/>
    <w:rsid w:val="005E70A1"/>
    <w:rsid w:val="005F08A1"/>
    <w:rsid w:val="005F10B3"/>
    <w:rsid w:val="005F767C"/>
    <w:rsid w:val="005F7AC2"/>
    <w:rsid w:val="006111DD"/>
    <w:rsid w:val="00613174"/>
    <w:rsid w:val="00614A40"/>
    <w:rsid w:val="00621422"/>
    <w:rsid w:val="00622E6D"/>
    <w:rsid w:val="006317F8"/>
    <w:rsid w:val="00633C85"/>
    <w:rsid w:val="00645F90"/>
    <w:rsid w:val="00646E89"/>
    <w:rsid w:val="006658E2"/>
    <w:rsid w:val="00677C67"/>
    <w:rsid w:val="00686E88"/>
    <w:rsid w:val="00692942"/>
    <w:rsid w:val="006A0E24"/>
    <w:rsid w:val="006A7159"/>
    <w:rsid w:val="006B0BBE"/>
    <w:rsid w:val="006C06B3"/>
    <w:rsid w:val="006D0AFF"/>
    <w:rsid w:val="006D41A3"/>
    <w:rsid w:val="006F7508"/>
    <w:rsid w:val="007112DB"/>
    <w:rsid w:val="007127CB"/>
    <w:rsid w:val="0071372D"/>
    <w:rsid w:val="007156AF"/>
    <w:rsid w:val="007252E8"/>
    <w:rsid w:val="00727AED"/>
    <w:rsid w:val="0074725C"/>
    <w:rsid w:val="00760974"/>
    <w:rsid w:val="0076134B"/>
    <w:rsid w:val="007749FF"/>
    <w:rsid w:val="00792CAB"/>
    <w:rsid w:val="00796C64"/>
    <w:rsid w:val="007B18FC"/>
    <w:rsid w:val="007C3696"/>
    <w:rsid w:val="007C7F41"/>
    <w:rsid w:val="007E681B"/>
    <w:rsid w:val="007F5CC1"/>
    <w:rsid w:val="00813069"/>
    <w:rsid w:val="00820BAB"/>
    <w:rsid w:val="00825272"/>
    <w:rsid w:val="00830434"/>
    <w:rsid w:val="0083299E"/>
    <w:rsid w:val="00832A63"/>
    <w:rsid w:val="00853774"/>
    <w:rsid w:val="008649D1"/>
    <w:rsid w:val="0086675E"/>
    <w:rsid w:val="0087214C"/>
    <w:rsid w:val="00880002"/>
    <w:rsid w:val="00886979"/>
    <w:rsid w:val="00890F8C"/>
    <w:rsid w:val="008953BD"/>
    <w:rsid w:val="008A57FC"/>
    <w:rsid w:val="008A6862"/>
    <w:rsid w:val="008B59A2"/>
    <w:rsid w:val="008C6CE7"/>
    <w:rsid w:val="008D2307"/>
    <w:rsid w:val="008D49B8"/>
    <w:rsid w:val="008F1956"/>
    <w:rsid w:val="009166C0"/>
    <w:rsid w:val="0096791E"/>
    <w:rsid w:val="00976671"/>
    <w:rsid w:val="009A42FA"/>
    <w:rsid w:val="009B1317"/>
    <w:rsid w:val="009B77EC"/>
    <w:rsid w:val="009C7418"/>
    <w:rsid w:val="009D33F7"/>
    <w:rsid w:val="009E6E28"/>
    <w:rsid w:val="009F15C5"/>
    <w:rsid w:val="009F2AB2"/>
    <w:rsid w:val="009F4D6D"/>
    <w:rsid w:val="009F6377"/>
    <w:rsid w:val="00A06509"/>
    <w:rsid w:val="00A07834"/>
    <w:rsid w:val="00A110AC"/>
    <w:rsid w:val="00A14650"/>
    <w:rsid w:val="00A14A68"/>
    <w:rsid w:val="00A17B96"/>
    <w:rsid w:val="00A2475B"/>
    <w:rsid w:val="00A366BC"/>
    <w:rsid w:val="00A54BE0"/>
    <w:rsid w:val="00A62257"/>
    <w:rsid w:val="00A70A1A"/>
    <w:rsid w:val="00AA0BA7"/>
    <w:rsid w:val="00AA633E"/>
    <w:rsid w:val="00AB20C5"/>
    <w:rsid w:val="00AB2456"/>
    <w:rsid w:val="00AB5231"/>
    <w:rsid w:val="00AB69A0"/>
    <w:rsid w:val="00AC7438"/>
    <w:rsid w:val="00AD10F2"/>
    <w:rsid w:val="00AE2C3E"/>
    <w:rsid w:val="00AE5C9A"/>
    <w:rsid w:val="00AE5E89"/>
    <w:rsid w:val="00B000A4"/>
    <w:rsid w:val="00B04577"/>
    <w:rsid w:val="00B310AA"/>
    <w:rsid w:val="00B350A4"/>
    <w:rsid w:val="00B355D7"/>
    <w:rsid w:val="00B412B3"/>
    <w:rsid w:val="00B6176C"/>
    <w:rsid w:val="00B746AC"/>
    <w:rsid w:val="00B7579B"/>
    <w:rsid w:val="00B8482A"/>
    <w:rsid w:val="00B94124"/>
    <w:rsid w:val="00BA5764"/>
    <w:rsid w:val="00BB32EC"/>
    <w:rsid w:val="00BC7A69"/>
    <w:rsid w:val="00BE1876"/>
    <w:rsid w:val="00C110C3"/>
    <w:rsid w:val="00C26D3D"/>
    <w:rsid w:val="00C27E41"/>
    <w:rsid w:val="00C31F81"/>
    <w:rsid w:val="00C34A0B"/>
    <w:rsid w:val="00C35EF8"/>
    <w:rsid w:val="00C5156E"/>
    <w:rsid w:val="00C57540"/>
    <w:rsid w:val="00C57588"/>
    <w:rsid w:val="00C64C04"/>
    <w:rsid w:val="00C85808"/>
    <w:rsid w:val="00C87F06"/>
    <w:rsid w:val="00C9416C"/>
    <w:rsid w:val="00CA1FCE"/>
    <w:rsid w:val="00CA2079"/>
    <w:rsid w:val="00CA4DE3"/>
    <w:rsid w:val="00CC1C62"/>
    <w:rsid w:val="00CC32F0"/>
    <w:rsid w:val="00CC5305"/>
    <w:rsid w:val="00CD0B77"/>
    <w:rsid w:val="00CD0C1F"/>
    <w:rsid w:val="00CF47C8"/>
    <w:rsid w:val="00CF52A4"/>
    <w:rsid w:val="00CF6E0E"/>
    <w:rsid w:val="00D057AE"/>
    <w:rsid w:val="00D20A1B"/>
    <w:rsid w:val="00D242B3"/>
    <w:rsid w:val="00D263B6"/>
    <w:rsid w:val="00D270A4"/>
    <w:rsid w:val="00D34264"/>
    <w:rsid w:val="00D3509D"/>
    <w:rsid w:val="00D47763"/>
    <w:rsid w:val="00D5159D"/>
    <w:rsid w:val="00D65B02"/>
    <w:rsid w:val="00D72E25"/>
    <w:rsid w:val="00D754AB"/>
    <w:rsid w:val="00D7643C"/>
    <w:rsid w:val="00D81CB9"/>
    <w:rsid w:val="00D87F70"/>
    <w:rsid w:val="00D9120C"/>
    <w:rsid w:val="00DB0E0E"/>
    <w:rsid w:val="00DC26FC"/>
    <w:rsid w:val="00DD51BB"/>
    <w:rsid w:val="00DE0585"/>
    <w:rsid w:val="00DE5AD7"/>
    <w:rsid w:val="00E14E1D"/>
    <w:rsid w:val="00E155F6"/>
    <w:rsid w:val="00E3558B"/>
    <w:rsid w:val="00E37FA8"/>
    <w:rsid w:val="00E40FAB"/>
    <w:rsid w:val="00E5281E"/>
    <w:rsid w:val="00E64EFA"/>
    <w:rsid w:val="00E66566"/>
    <w:rsid w:val="00E870A3"/>
    <w:rsid w:val="00E942C8"/>
    <w:rsid w:val="00E97A61"/>
    <w:rsid w:val="00EA2B69"/>
    <w:rsid w:val="00EC2751"/>
    <w:rsid w:val="00EC3D4E"/>
    <w:rsid w:val="00ED3AF0"/>
    <w:rsid w:val="00ED6DAE"/>
    <w:rsid w:val="00EE4DEA"/>
    <w:rsid w:val="00EE7991"/>
    <w:rsid w:val="00EF7681"/>
    <w:rsid w:val="00F10295"/>
    <w:rsid w:val="00F17B7F"/>
    <w:rsid w:val="00F44696"/>
    <w:rsid w:val="00F46073"/>
    <w:rsid w:val="00F53620"/>
    <w:rsid w:val="00F5597B"/>
    <w:rsid w:val="00F57C36"/>
    <w:rsid w:val="00F862B7"/>
    <w:rsid w:val="00F92D40"/>
    <w:rsid w:val="00FA743E"/>
    <w:rsid w:val="00FB1C44"/>
    <w:rsid w:val="00FB24E9"/>
    <w:rsid w:val="00FB4307"/>
    <w:rsid w:val="00FB7CEC"/>
    <w:rsid w:val="00FC1F2B"/>
    <w:rsid w:val="00FE16DB"/>
    <w:rsid w:val="00FF27B4"/>
    <w:rsid w:val="00FF5C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1D18"/>
  <w15:docId w15:val="{F1C43865-E18A-4AF7-BC57-575B0E91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spacing w:after="24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CommentReference">
    <w:name w:val="annotation reference"/>
    <w:basedOn w:val="DefaultParagraphFont"/>
    <w:rsid w:val="003066E5"/>
    <w:rPr>
      <w:sz w:val="16"/>
      <w:szCs w:val="16"/>
    </w:rPr>
  </w:style>
  <w:style w:type="paragraph" w:styleId="CommentText">
    <w:name w:val="annotation text"/>
    <w:basedOn w:val="Normal"/>
    <w:link w:val="CommentTextChar"/>
    <w:rsid w:val="003066E5"/>
    <w:rPr>
      <w:sz w:val="20"/>
      <w:szCs w:val="20"/>
    </w:rPr>
  </w:style>
  <w:style w:type="character" w:customStyle="1" w:styleId="CommentTextChar">
    <w:name w:val="Comment Text Char"/>
    <w:basedOn w:val="DefaultParagraphFont"/>
    <w:link w:val="CommentText"/>
    <w:rsid w:val="003066E5"/>
    <w:rPr>
      <w:sz w:val="20"/>
      <w:szCs w:val="20"/>
    </w:rPr>
  </w:style>
  <w:style w:type="paragraph" w:styleId="CommentSubject">
    <w:name w:val="annotation subject"/>
    <w:basedOn w:val="CommentText"/>
    <w:next w:val="CommentText"/>
    <w:link w:val="CommentSubjectChar"/>
    <w:rsid w:val="003066E5"/>
    <w:rPr>
      <w:b/>
      <w:bCs/>
    </w:rPr>
  </w:style>
  <w:style w:type="character" w:customStyle="1" w:styleId="CommentSubjectChar">
    <w:name w:val="Comment Subject Char"/>
    <w:basedOn w:val="CommentTextChar"/>
    <w:link w:val="CommentSubject"/>
    <w:rsid w:val="003066E5"/>
    <w:rPr>
      <w:b/>
      <w:bCs/>
      <w:sz w:val="20"/>
      <w:szCs w:val="20"/>
    </w:rPr>
  </w:style>
  <w:style w:type="paragraph" w:styleId="ListParagraph">
    <w:name w:val="List Paragraph"/>
    <w:basedOn w:val="Normal"/>
    <w:rsid w:val="0024411D"/>
    <w:pPr>
      <w:ind w:left="720"/>
      <w:contextualSpacing/>
    </w:pPr>
  </w:style>
  <w:style w:type="character" w:styleId="UnresolvedMention">
    <w:name w:val="Unresolved Mention"/>
    <w:basedOn w:val="DefaultParagraphFont"/>
    <w:uiPriority w:val="99"/>
    <w:semiHidden/>
    <w:unhideWhenUsed/>
    <w:rsid w:val="00FB1C44"/>
    <w:rPr>
      <w:color w:val="605E5C"/>
      <w:shd w:val="clear" w:color="auto" w:fill="E1DFDD"/>
    </w:rPr>
  </w:style>
  <w:style w:type="paragraph" w:styleId="NormalWeb">
    <w:name w:val="Normal (Web)"/>
    <w:basedOn w:val="Normal"/>
    <w:rsid w:val="00342E9D"/>
    <w:rPr>
      <w:rFonts w:ascii="Times New Roman" w:hAnsi="Times New Roman" w:cs="Times New Roman"/>
    </w:rPr>
  </w:style>
  <w:style w:type="paragraph" w:customStyle="1" w:styleId="subsubhead">
    <w:name w:val="sub sub head"/>
    <w:basedOn w:val="Heading4"/>
    <w:link w:val="subsubheadChar"/>
    <w:qFormat/>
    <w:rsid w:val="00C9416C"/>
  </w:style>
  <w:style w:type="character" w:customStyle="1" w:styleId="subsubheadChar">
    <w:name w:val="sub sub head Char"/>
    <w:basedOn w:val="Heading4Char"/>
    <w:link w:val="subsubhead"/>
    <w:rsid w:val="00C9416C"/>
    <w:rPr>
      <w:rFonts w:eastAsiaTheme="majorEastAsia" w:cstheme="majorBidi"/>
      <w:i/>
      <w:iCs/>
      <w:color w:val="0F4761" w:themeColor="accent1" w:themeShade="BF"/>
    </w:rPr>
  </w:style>
  <w:style w:type="paragraph" w:customStyle="1" w:styleId="scriptname">
    <w:name w:val="script name"/>
    <w:basedOn w:val="FirstParagraph"/>
    <w:link w:val="scriptnameChar"/>
    <w:qFormat/>
    <w:rsid w:val="001E430A"/>
    <w:rPr>
      <w:rFonts w:ascii="Consolas" w:hAnsi="Consolas"/>
    </w:rPr>
  </w:style>
  <w:style w:type="character" w:customStyle="1" w:styleId="BodyTextChar">
    <w:name w:val="Body Text Char"/>
    <w:basedOn w:val="DefaultParagraphFont"/>
    <w:link w:val="BodyText"/>
    <w:rsid w:val="001E430A"/>
  </w:style>
  <w:style w:type="character" w:customStyle="1" w:styleId="FirstParagraphChar">
    <w:name w:val="First Paragraph Char"/>
    <w:basedOn w:val="BodyTextChar"/>
    <w:link w:val="FirstParagraph"/>
    <w:rsid w:val="001E430A"/>
  </w:style>
  <w:style w:type="character" w:customStyle="1" w:styleId="scriptnameChar">
    <w:name w:val="script name Char"/>
    <w:basedOn w:val="FirstParagraphChar"/>
    <w:link w:val="scriptname"/>
    <w:rsid w:val="001E430A"/>
    <w:rPr>
      <w:rFonts w:ascii="Consolas" w:hAnsi="Consolas"/>
    </w:rPr>
  </w:style>
  <w:style w:type="paragraph" w:customStyle="1" w:styleId="Style1">
    <w:name w:val="Style1"/>
    <w:basedOn w:val="Heading3"/>
    <w:link w:val="Style1Char"/>
    <w:qFormat/>
    <w:rsid w:val="00FB7CEC"/>
  </w:style>
  <w:style w:type="character" w:customStyle="1" w:styleId="Style1Char">
    <w:name w:val="Style1 Char"/>
    <w:basedOn w:val="Heading3Char"/>
    <w:link w:val="Style1"/>
    <w:rsid w:val="00FB7CEC"/>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vscode-file://vscode-app/c:/Users/beabo/AppData/Local/Programs/Microsoft%20VS%20Code/0958016b2a/resources/app/out/vs/code/electron-browser/workbench/workbench.html"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8.png"/><Relationship Id="rId7" Type="http://schemas.microsoft.com/office/2016/09/relationships/commentsIds" Target="commentsIds.xml"/><Relationship Id="rId12" Type="http://schemas.openxmlformats.org/officeDocument/2006/relationships/hyperlink" Target="vscode-file://vscode-app/c:/Users/beabo/AppData/Local/Programs/Microsoft%20VS%20Code/0958016b2a/resources/app/out/vs/code/electron-browser/workbench/workbench.html" TargetMode="External"/><Relationship Id="rId17" Type="http://schemas.openxmlformats.org/officeDocument/2006/relationships/image" Target="media/image4.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vscode-file://vscode-app/c:/Users/beabo/AppData/Local/Programs/Microsoft%20VS%20Code/0958016b2a/resources/app/out/vs/code/electron-browser/workbench/workbench.html" TargetMode="External"/><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vscode-file://vscode-app/c:/Users/beabo/AppData/Local/Programs/Microsoft%20VS%20Code/0958016b2a/resources/app/out/vs/code/electron-browser/workbench/workbench.html"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vscode-file://vscode-app/c:/Users/beabo/AppData/Local/Programs/Microsoft%20VS%20Code/0958016b2a/resources/app/out/vs/code/electron-browser/workbench/workbench.html"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7d49e9f-89e1-4aa0-99a3-d35b57b2ba03}" enabled="0" method="" siteId="{27d49e9f-89e1-4aa0-99a3-d35b57b2ba03}" removed="1"/>
</clbl:labelList>
</file>

<file path=docProps/app.xml><?xml version="1.0" encoding="utf-8"?>
<Properties xmlns="http://schemas.openxmlformats.org/officeDocument/2006/extended-properties" xmlns:vt="http://schemas.openxmlformats.org/officeDocument/2006/docPropsVTypes">
  <Template>Normal.dotm</Template>
  <TotalTime>6234</TotalTime>
  <Pages>26</Pages>
  <Words>24031</Words>
  <Characters>136979</Characters>
  <Application>Microsoft Office Word</Application>
  <DocSecurity>0</DocSecurity>
  <Lines>1141</Lines>
  <Paragraphs>321</Paragraphs>
  <ScaleCrop>false</ScaleCrop>
  <Company/>
  <LinksUpToDate>false</LinksUpToDate>
  <CharactersWithSpaces>160689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Beatrice Bock</cp:lastModifiedBy>
  <cp:revision>25</cp:revision>
  <dcterms:created xsi:type="dcterms:W3CDTF">2026-05-19T14:43:00Z</dcterms:created>
  <dcterms:modified xsi:type="dcterms:W3CDTF">2026-06-01T17:01:00Z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id="PIV7u3rZ"/&gt;&lt;style id="http://www.zotero.org/styles/new-phytologist"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